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E6B6C" w14:textId="55675959" w:rsidR="006478E7" w:rsidRPr="00DA79F1" w:rsidRDefault="006478E7" w:rsidP="00CC7D3E">
      <w:pPr>
        <w:jc w:val="center"/>
      </w:pPr>
      <w:r w:rsidRPr="00DA79F1">
        <w:rPr>
          <w:noProof/>
          <w:lang w:eastAsia="en-AU"/>
        </w:rPr>
        <w:drawing>
          <wp:inline distT="0" distB="0" distL="0" distR="0" wp14:anchorId="42587FCD" wp14:editId="582BB802">
            <wp:extent cx="1891665" cy="1229995"/>
            <wp:effectExtent l="0" t="0" r="0" b="0"/>
            <wp:docPr id="1" name="Picture 1" title="Department of Health Logo"/>
            <wp:cNvGraphicFramePr/>
            <a:graphic xmlns:a="http://schemas.openxmlformats.org/drawingml/2006/main">
              <a:graphicData uri="http://schemas.openxmlformats.org/drawingml/2006/picture">
                <pic:pic xmlns:pic="http://schemas.openxmlformats.org/drawingml/2006/picture">
                  <pic:nvPicPr>
                    <pic:cNvPr id="1" name="Picture 2" title="Department of Health 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50B6D781" w14:textId="6B324660" w:rsidR="006478E7" w:rsidRPr="00DA79F1" w:rsidRDefault="00F654AE" w:rsidP="008C4B3C">
      <w:pPr>
        <w:pStyle w:val="Heading10"/>
        <w:spacing w:before="1800"/>
        <w:jc w:val="center"/>
        <w:rPr>
          <w:sz w:val="48"/>
          <w:szCs w:val="48"/>
          <w:lang w:val="en-AU"/>
        </w:rPr>
      </w:pPr>
      <w:r>
        <w:rPr>
          <w:sz w:val="48"/>
          <w:szCs w:val="48"/>
          <w:lang w:val="en-AU"/>
        </w:rPr>
        <w:t xml:space="preserve">MSAC </w:t>
      </w:r>
      <w:r w:rsidR="006478E7" w:rsidRPr="00DA79F1">
        <w:rPr>
          <w:sz w:val="48"/>
          <w:szCs w:val="48"/>
          <w:lang w:val="en-AU"/>
        </w:rPr>
        <w:t xml:space="preserve">Application </w:t>
      </w:r>
      <w:r w:rsidR="00715AE7" w:rsidRPr="00DA79F1">
        <w:rPr>
          <w:sz w:val="48"/>
          <w:szCs w:val="48"/>
          <w:lang w:val="en-AU"/>
        </w:rPr>
        <w:t>1702</w:t>
      </w:r>
    </w:p>
    <w:p w14:paraId="11765312" w14:textId="201FEF48" w:rsidR="006478E7" w:rsidRPr="00DA79F1" w:rsidRDefault="00715AE7" w:rsidP="006478E7">
      <w:pPr>
        <w:pStyle w:val="Heading10"/>
        <w:jc w:val="center"/>
        <w:rPr>
          <w:sz w:val="48"/>
          <w:szCs w:val="48"/>
          <w:lang w:val="en-AU"/>
        </w:rPr>
      </w:pPr>
      <w:r w:rsidRPr="00DA79F1">
        <w:rPr>
          <w:color w:val="548DD4"/>
          <w:sz w:val="48"/>
          <w:szCs w:val="48"/>
          <w:lang w:val="en-AU"/>
        </w:rPr>
        <w:t>A</w:t>
      </w:r>
      <w:r w:rsidR="00B13C96">
        <w:rPr>
          <w:color w:val="548DD4"/>
          <w:sz w:val="48"/>
          <w:szCs w:val="48"/>
          <w:lang w:val="en-AU"/>
        </w:rPr>
        <w:t>bdominal</w:t>
      </w:r>
      <w:r w:rsidRPr="00DA79F1">
        <w:rPr>
          <w:color w:val="548DD4"/>
          <w:sz w:val="48"/>
          <w:szCs w:val="48"/>
          <w:lang w:val="en-AU"/>
        </w:rPr>
        <w:t xml:space="preserve"> </w:t>
      </w:r>
      <w:r w:rsidR="00F654AE">
        <w:rPr>
          <w:color w:val="548DD4"/>
          <w:sz w:val="48"/>
          <w:szCs w:val="48"/>
          <w:lang w:val="en-AU"/>
        </w:rPr>
        <w:t>M</w:t>
      </w:r>
      <w:r w:rsidR="00B13C96" w:rsidRPr="00B13C96">
        <w:rPr>
          <w:color w:val="548DD4"/>
          <w:sz w:val="48"/>
          <w:szCs w:val="48"/>
          <w:lang w:val="en-AU"/>
        </w:rPr>
        <w:t xml:space="preserve">agnetic </w:t>
      </w:r>
      <w:r w:rsidR="00F654AE">
        <w:rPr>
          <w:color w:val="548DD4"/>
          <w:sz w:val="48"/>
          <w:szCs w:val="48"/>
          <w:lang w:val="en-AU"/>
        </w:rPr>
        <w:t>R</w:t>
      </w:r>
      <w:r w:rsidR="00B13C96" w:rsidRPr="00B13C96">
        <w:rPr>
          <w:color w:val="548DD4"/>
          <w:sz w:val="48"/>
          <w:szCs w:val="48"/>
          <w:lang w:val="en-AU"/>
        </w:rPr>
        <w:t xml:space="preserve">esonance </w:t>
      </w:r>
      <w:r w:rsidR="00F654AE">
        <w:rPr>
          <w:color w:val="548DD4"/>
          <w:sz w:val="48"/>
          <w:szCs w:val="48"/>
          <w:lang w:val="en-AU"/>
        </w:rPr>
        <w:t>I</w:t>
      </w:r>
      <w:r w:rsidR="00B13C96" w:rsidRPr="00B13C96">
        <w:rPr>
          <w:color w:val="548DD4"/>
          <w:sz w:val="48"/>
          <w:szCs w:val="48"/>
          <w:lang w:val="en-AU"/>
        </w:rPr>
        <w:t>maging</w:t>
      </w:r>
      <w:r w:rsidR="00F654AE">
        <w:rPr>
          <w:color w:val="548DD4"/>
          <w:sz w:val="48"/>
          <w:szCs w:val="48"/>
          <w:lang w:val="en-AU"/>
        </w:rPr>
        <w:t xml:space="preserve"> (MRI)</w:t>
      </w:r>
      <w:r w:rsidR="00B13C96" w:rsidRPr="00B13C96">
        <w:rPr>
          <w:color w:val="548DD4"/>
          <w:sz w:val="48"/>
          <w:szCs w:val="48"/>
          <w:lang w:val="en-AU"/>
        </w:rPr>
        <w:t xml:space="preserve"> </w:t>
      </w:r>
      <w:r w:rsidR="00B13C96">
        <w:rPr>
          <w:color w:val="548DD4"/>
          <w:sz w:val="48"/>
          <w:szCs w:val="48"/>
          <w:lang w:val="en-AU"/>
        </w:rPr>
        <w:t>for rare genetic conditions associated with increased risk of renal tumours</w:t>
      </w:r>
    </w:p>
    <w:p w14:paraId="39CC0389" w14:textId="1C45DDF3" w:rsidR="006478E7" w:rsidRPr="00DA79F1" w:rsidRDefault="00BE0E73" w:rsidP="008C4B3C">
      <w:pPr>
        <w:pStyle w:val="Heading1"/>
        <w:rPr>
          <w:lang w:val="en-AU"/>
        </w:rPr>
      </w:pPr>
      <w:r>
        <w:rPr>
          <w:lang w:val="en-AU"/>
        </w:rPr>
        <w:t>Ratified</w:t>
      </w:r>
      <w:r w:rsidR="001A382A">
        <w:rPr>
          <w:lang w:val="en-AU"/>
        </w:rPr>
        <w:br/>
      </w:r>
      <w:r w:rsidR="006478E7" w:rsidRPr="00DA79F1">
        <w:rPr>
          <w:lang w:val="en-AU"/>
        </w:rPr>
        <w:t>PICO Confirmation</w:t>
      </w:r>
    </w:p>
    <w:p w14:paraId="5D870BB3" w14:textId="29C3EF50" w:rsidR="00C54349" w:rsidRPr="00DA79F1" w:rsidRDefault="006478E7" w:rsidP="005D2196">
      <w:r w:rsidRPr="00DA79F1">
        <w:br w:type="page"/>
      </w:r>
    </w:p>
    <w:p w14:paraId="50B97A14" w14:textId="5CC09A17" w:rsidR="006478E7" w:rsidRPr="00DA79F1" w:rsidRDefault="006478E7" w:rsidP="005D2196">
      <w:pPr>
        <w:rPr>
          <w:u w:color="FF0000"/>
        </w:rPr>
      </w:pPr>
    </w:p>
    <w:p w14:paraId="219312C8" w14:textId="331A7570" w:rsidR="006478E7" w:rsidRPr="00F654AE" w:rsidRDefault="006478E7" w:rsidP="005D2196">
      <w:pPr>
        <w:rPr>
          <w:b/>
          <w:bCs/>
          <w:i/>
          <w:iCs w:val="0"/>
        </w:rPr>
      </w:pPr>
      <w:r w:rsidRPr="00F654AE">
        <w:rPr>
          <w:b/>
          <w:bCs/>
          <w:i/>
          <w:iCs w:val="0"/>
        </w:rPr>
        <w:t>Summary of PI</w:t>
      </w:r>
      <w:r w:rsidR="00235B21" w:rsidRPr="00F654AE">
        <w:rPr>
          <w:b/>
          <w:bCs/>
          <w:i/>
          <w:iCs w:val="0"/>
        </w:rPr>
        <w:t xml:space="preserve">CO/PPICO criteria to define </w:t>
      </w:r>
      <w:r w:rsidRPr="00F654AE">
        <w:rPr>
          <w:b/>
          <w:bCs/>
          <w:i/>
          <w:iCs w:val="0"/>
        </w:rPr>
        <w:t>question</w:t>
      </w:r>
      <w:r w:rsidR="00874223" w:rsidRPr="00F654AE">
        <w:rPr>
          <w:b/>
          <w:bCs/>
          <w:i/>
          <w:iCs w:val="0"/>
        </w:rPr>
        <w:t>s</w:t>
      </w:r>
      <w:r w:rsidRPr="00F654AE">
        <w:rPr>
          <w:b/>
          <w:bCs/>
          <w:i/>
          <w:iCs w:val="0"/>
        </w:rPr>
        <w:t xml:space="preserve"> to be addressed in an Assessment Report to the Medical Services Advisory Committee (MSAC)</w:t>
      </w:r>
      <w:r w:rsidR="00AD60AE" w:rsidRPr="00F654AE">
        <w:rPr>
          <w:b/>
          <w:bCs/>
          <w:i/>
          <w:iCs w:val="0"/>
        </w:rPr>
        <w:t>.</w:t>
      </w:r>
    </w:p>
    <w:p w14:paraId="224459F3" w14:textId="0CCFC2E3" w:rsidR="00D52956" w:rsidRPr="00DA79F1" w:rsidRDefault="00D52956" w:rsidP="005D2196">
      <w:pPr>
        <w:pStyle w:val="Caption"/>
      </w:pPr>
      <w:bookmarkStart w:id="0" w:name="_Ref69732160"/>
      <w:bookmarkStart w:id="1" w:name="_Ref69732155"/>
      <w:r w:rsidRPr="00DA79F1">
        <w:t>Table</w:t>
      </w:r>
      <w:r w:rsidR="00FD4C65" w:rsidRPr="00DA79F1">
        <w:t> </w:t>
      </w:r>
      <w:r w:rsidRPr="00DA79F1">
        <w:fldChar w:fldCharType="begin"/>
      </w:r>
      <w:r w:rsidRPr="00DA79F1">
        <w:instrText xml:space="preserve"> SEQ Table \* ARABIC </w:instrText>
      </w:r>
      <w:r w:rsidRPr="00DA79F1">
        <w:fldChar w:fldCharType="separate"/>
      </w:r>
      <w:r w:rsidR="0069673F">
        <w:rPr>
          <w:noProof/>
        </w:rPr>
        <w:t>1</w:t>
      </w:r>
      <w:r w:rsidRPr="00DA79F1">
        <w:fldChar w:fldCharType="end"/>
      </w:r>
      <w:bookmarkEnd w:id="0"/>
      <w:r w:rsidRPr="00DA79F1">
        <w:tab/>
        <w:t xml:space="preserve">PICO for </w:t>
      </w:r>
      <w:r w:rsidR="00CB22FB" w:rsidRPr="00DA79F1">
        <w:t>Abdominal MRI</w:t>
      </w:r>
      <w:r w:rsidRPr="00DA79F1">
        <w:t xml:space="preserve"> </w:t>
      </w:r>
      <w:r w:rsidR="00874223" w:rsidRPr="00DA79F1">
        <w:t>for detection of new tumours in rare genetic conditions associated with increased risk of renal tumours</w:t>
      </w:r>
      <w:r w:rsidR="00DB0A10">
        <w:t xml:space="preserve">: </w:t>
      </w:r>
      <w:r w:rsidRPr="00DA79F1">
        <w:t>PICO Set 1</w:t>
      </w:r>
      <w:bookmarkEnd w:id="1"/>
    </w:p>
    <w:tbl>
      <w:tblPr>
        <w:tblW w:w="500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A0" w:firstRow="1" w:lastRow="0" w:firstColumn="1" w:lastColumn="0" w:noHBand="0" w:noVBand="0"/>
      </w:tblPr>
      <w:tblGrid>
        <w:gridCol w:w="1922"/>
        <w:gridCol w:w="7639"/>
      </w:tblGrid>
      <w:tr w:rsidR="006478E7" w:rsidRPr="00DA79F1" w14:paraId="2A509B30" w14:textId="77777777" w:rsidTr="005D2196">
        <w:trPr>
          <w:trHeight w:val="372"/>
          <w:tblHeader/>
        </w:trPr>
        <w:tc>
          <w:tcPr>
            <w:tcW w:w="1005" w:type="pct"/>
            <w:shd w:val="clear" w:color="auto" w:fill="D9D9D9"/>
            <w:vAlign w:val="center"/>
            <w:hideMark/>
          </w:tcPr>
          <w:p w14:paraId="333B8A35" w14:textId="77777777" w:rsidR="006478E7" w:rsidRPr="00DA79F1" w:rsidRDefault="006478E7" w:rsidP="005D2196">
            <w:pPr>
              <w:spacing w:after="120" w:line="22" w:lineRule="atLeast"/>
            </w:pPr>
            <w:bookmarkStart w:id="2" w:name="Title_Table1" w:colFirst="0" w:colLast="0"/>
            <w:r w:rsidRPr="005D2196">
              <w:rPr>
                <w:rFonts w:asciiTheme="minorHAnsi" w:eastAsia="Times New Roman" w:hAnsiTheme="minorHAnsi"/>
                <w:b/>
                <w:iCs w:val="0"/>
                <w:szCs w:val="24"/>
              </w:rPr>
              <w:t>Component</w:t>
            </w:r>
          </w:p>
        </w:tc>
        <w:tc>
          <w:tcPr>
            <w:tcW w:w="3995" w:type="pct"/>
            <w:shd w:val="clear" w:color="auto" w:fill="D9D9D9"/>
            <w:vAlign w:val="center"/>
            <w:hideMark/>
          </w:tcPr>
          <w:p w14:paraId="0E31DF4F" w14:textId="77777777" w:rsidR="006478E7" w:rsidRPr="00DA79F1" w:rsidRDefault="006478E7" w:rsidP="005D2196">
            <w:pPr>
              <w:spacing w:after="120" w:line="22" w:lineRule="atLeast"/>
            </w:pPr>
            <w:r w:rsidRPr="005D2196">
              <w:rPr>
                <w:rFonts w:asciiTheme="minorHAnsi" w:eastAsia="Times New Roman" w:hAnsiTheme="minorHAnsi"/>
                <w:b/>
                <w:iCs w:val="0"/>
                <w:szCs w:val="24"/>
              </w:rPr>
              <w:t>Description</w:t>
            </w:r>
          </w:p>
        </w:tc>
      </w:tr>
      <w:bookmarkEnd w:id="2"/>
      <w:tr w:rsidR="006478E7" w:rsidRPr="00DA79F1" w14:paraId="78E0BB65" w14:textId="77777777" w:rsidTr="005D2196">
        <w:tc>
          <w:tcPr>
            <w:tcW w:w="1005" w:type="pct"/>
            <w:hideMark/>
          </w:tcPr>
          <w:p w14:paraId="715E50D5" w14:textId="74EB4863" w:rsidR="006478E7" w:rsidRPr="00DA79F1" w:rsidRDefault="00F660E8" w:rsidP="005D2196">
            <w:pPr>
              <w:spacing w:after="120" w:line="22" w:lineRule="atLeast"/>
            </w:pPr>
            <w:r w:rsidRPr="00DA79F1">
              <w:t>Population</w:t>
            </w:r>
          </w:p>
        </w:tc>
        <w:tc>
          <w:tcPr>
            <w:tcW w:w="3995" w:type="pct"/>
            <w:hideMark/>
          </w:tcPr>
          <w:p w14:paraId="3707830C" w14:textId="02BBA701" w:rsidR="00CB22FB" w:rsidRPr="004829E9" w:rsidRDefault="00CB22FB" w:rsidP="005D2196">
            <w:pPr>
              <w:spacing w:after="120" w:line="22" w:lineRule="atLeast"/>
            </w:pPr>
            <w:r w:rsidRPr="004829E9">
              <w:t>Patients with rare</w:t>
            </w:r>
            <w:r w:rsidR="00D70A4B">
              <w:t xml:space="preserve"> heritable</w:t>
            </w:r>
            <w:r w:rsidRPr="004829E9">
              <w:t xml:space="preserve"> genetic conditions that are strongly associated with the development of renal tumours over time</w:t>
            </w:r>
            <w:r w:rsidR="00497025">
              <w:t>,</w:t>
            </w:r>
            <w:r w:rsidR="00BF7D01">
              <w:t xml:space="preserve"> </w:t>
            </w:r>
            <w:r w:rsidR="00BF7D01" w:rsidRPr="00BF7D01">
              <w:t>who may or may not be currently undergoing stable, disease-specific therapy</w:t>
            </w:r>
            <w:r w:rsidRPr="004829E9">
              <w:t>. These conditions</w:t>
            </w:r>
            <w:r w:rsidR="00D70A4B">
              <w:t xml:space="preserve"> </w:t>
            </w:r>
            <w:r w:rsidR="00683145">
              <w:t xml:space="preserve">currently identified </w:t>
            </w:r>
            <w:r w:rsidR="00D70A4B">
              <w:t>are</w:t>
            </w:r>
            <w:r w:rsidRPr="004829E9">
              <w:t>:</w:t>
            </w:r>
          </w:p>
          <w:p w14:paraId="0E084B3A" w14:textId="174FFED7" w:rsidR="00CB22FB" w:rsidRPr="00AD60AE" w:rsidRDefault="00CB22FB" w:rsidP="00543E05">
            <w:pPr>
              <w:pStyle w:val="ListParagraph"/>
              <w:numPr>
                <w:ilvl w:val="0"/>
                <w:numId w:val="14"/>
              </w:numPr>
            </w:pPr>
            <w:r w:rsidRPr="00AD60AE">
              <w:t>Tuberous Sclerosis Complex (TSC)</w:t>
            </w:r>
            <w:r w:rsidR="004829E9" w:rsidRPr="00AD60AE">
              <w:t>;</w:t>
            </w:r>
          </w:p>
          <w:p w14:paraId="774B0B75" w14:textId="02CABCE4" w:rsidR="00CB22FB" w:rsidRPr="00AD60AE" w:rsidRDefault="00CB22FB" w:rsidP="00543E05">
            <w:pPr>
              <w:pStyle w:val="ListParagraph"/>
              <w:numPr>
                <w:ilvl w:val="0"/>
                <w:numId w:val="14"/>
              </w:numPr>
            </w:pPr>
            <w:r w:rsidRPr="00AD60AE">
              <w:t>Von Hippel-Lindau disease (VHL)</w:t>
            </w:r>
            <w:r w:rsidR="004829E9" w:rsidRPr="00AD60AE">
              <w:t>;</w:t>
            </w:r>
            <w:r w:rsidRPr="00AD60AE">
              <w:t xml:space="preserve"> </w:t>
            </w:r>
          </w:p>
          <w:p w14:paraId="27541E38" w14:textId="14292BB3" w:rsidR="001F68ED" w:rsidRPr="00AD60AE" w:rsidRDefault="00CB22FB" w:rsidP="00543E05">
            <w:pPr>
              <w:pStyle w:val="ListParagraph"/>
              <w:numPr>
                <w:ilvl w:val="0"/>
                <w:numId w:val="14"/>
              </w:numPr>
            </w:pPr>
            <w:proofErr w:type="spellStart"/>
            <w:r w:rsidRPr="00AD60AE">
              <w:t>Birt</w:t>
            </w:r>
            <w:proofErr w:type="spellEnd"/>
            <w:r w:rsidRPr="00AD60AE">
              <w:t>-Hogg</w:t>
            </w:r>
            <w:r w:rsidR="004829E9" w:rsidRPr="00AD60AE">
              <w:t>-</w:t>
            </w:r>
            <w:r w:rsidRPr="00AD60AE">
              <w:t>Dube syndrome (BHD)</w:t>
            </w:r>
            <w:r w:rsidR="004829E9" w:rsidRPr="00AD60AE">
              <w:t>;</w:t>
            </w:r>
          </w:p>
          <w:p w14:paraId="67CF501A" w14:textId="0A7E3491" w:rsidR="00C83DE2" w:rsidRPr="00AD60AE" w:rsidRDefault="00C83DE2" w:rsidP="00543E05">
            <w:pPr>
              <w:pStyle w:val="ListParagraph"/>
              <w:numPr>
                <w:ilvl w:val="0"/>
                <w:numId w:val="14"/>
              </w:numPr>
            </w:pPr>
            <w:r w:rsidRPr="00AD60AE">
              <w:t>Hereditary papillary renal carcinoma (Type 1 papillary)</w:t>
            </w:r>
            <w:r w:rsidR="004829E9" w:rsidRPr="00AD60AE">
              <w:t>;</w:t>
            </w:r>
          </w:p>
          <w:p w14:paraId="3D6C37F3" w14:textId="4A18602F" w:rsidR="00CB22FB" w:rsidRPr="00AD60AE" w:rsidRDefault="00C83DE2" w:rsidP="00543E05">
            <w:pPr>
              <w:pStyle w:val="ListParagraph"/>
              <w:numPr>
                <w:ilvl w:val="0"/>
                <w:numId w:val="14"/>
              </w:numPr>
            </w:pPr>
            <w:r w:rsidRPr="00AD60AE">
              <w:t>H</w:t>
            </w:r>
            <w:r w:rsidR="00CB22FB" w:rsidRPr="00AD60AE">
              <w:t xml:space="preserve">ereditary </w:t>
            </w:r>
            <w:proofErr w:type="spellStart"/>
            <w:r w:rsidR="00CB22FB" w:rsidRPr="00AD60AE">
              <w:t>lei</w:t>
            </w:r>
            <w:r w:rsidR="00E82916" w:rsidRPr="00AD60AE">
              <w:t>o</w:t>
            </w:r>
            <w:r w:rsidR="00CB22FB" w:rsidRPr="00AD60AE">
              <w:t>myomatosis</w:t>
            </w:r>
            <w:proofErr w:type="spellEnd"/>
            <w:r w:rsidR="00CB22FB" w:rsidRPr="00AD60AE">
              <w:t xml:space="preserve"> and renal cell cancer (HLRCC)</w:t>
            </w:r>
            <w:r w:rsidR="004829E9" w:rsidRPr="00AD60AE">
              <w:t>;</w:t>
            </w:r>
          </w:p>
          <w:p w14:paraId="73C3B204" w14:textId="043A9229" w:rsidR="00CB22FB" w:rsidRPr="00AD60AE" w:rsidRDefault="00CB22FB" w:rsidP="00543E05">
            <w:pPr>
              <w:pStyle w:val="ListParagraph"/>
              <w:numPr>
                <w:ilvl w:val="0"/>
                <w:numId w:val="14"/>
              </w:numPr>
            </w:pPr>
            <w:r w:rsidRPr="00AD60AE">
              <w:t>Cowden syndrome</w:t>
            </w:r>
            <w:r w:rsidR="009C5AB2">
              <w:t xml:space="preserve"> </w:t>
            </w:r>
            <w:bookmarkStart w:id="3" w:name="_Hlk98681997"/>
            <w:r w:rsidR="009C5AB2">
              <w:t>(</w:t>
            </w:r>
            <w:r w:rsidR="009C5AB2" w:rsidRPr="009C5AB2">
              <w:rPr>
                <w:i/>
              </w:rPr>
              <w:t>PTEN </w:t>
            </w:r>
            <w:r w:rsidR="009C5AB2" w:rsidRPr="009C5AB2">
              <w:t>Hamartoma Tumo</w:t>
            </w:r>
            <w:r w:rsidR="001B2352">
              <w:t>u</w:t>
            </w:r>
            <w:r w:rsidR="009C5AB2" w:rsidRPr="009C5AB2">
              <w:t>r Syndrome spectrum</w:t>
            </w:r>
            <w:r w:rsidR="009C5AB2">
              <w:t>)</w:t>
            </w:r>
            <w:bookmarkEnd w:id="3"/>
            <w:r w:rsidR="004829E9" w:rsidRPr="00AD60AE">
              <w:t>;</w:t>
            </w:r>
            <w:r w:rsidRPr="00AD60AE">
              <w:t xml:space="preserve"> </w:t>
            </w:r>
          </w:p>
          <w:p w14:paraId="6C61B444" w14:textId="7051D83B" w:rsidR="00CB22FB" w:rsidRPr="00AD60AE" w:rsidRDefault="00CB22FB" w:rsidP="00543E05">
            <w:pPr>
              <w:pStyle w:val="ListParagraph"/>
              <w:numPr>
                <w:ilvl w:val="0"/>
                <w:numId w:val="14"/>
              </w:numPr>
            </w:pPr>
            <w:r w:rsidRPr="00E02CEB">
              <w:rPr>
                <w:i/>
              </w:rPr>
              <w:t>BAP1</w:t>
            </w:r>
            <w:r w:rsidRPr="00AD60AE">
              <w:t>-associated cancer syndrome</w:t>
            </w:r>
            <w:r w:rsidR="004829E9" w:rsidRPr="00AD60AE">
              <w:t>;</w:t>
            </w:r>
            <w:r w:rsidR="0084737B" w:rsidRPr="00AD60AE">
              <w:t xml:space="preserve"> </w:t>
            </w:r>
          </w:p>
          <w:p w14:paraId="4B4124CA" w14:textId="5DAB6BD2" w:rsidR="006478E7" w:rsidRDefault="009C5AB2" w:rsidP="00543E05">
            <w:pPr>
              <w:pStyle w:val="ListParagraph"/>
              <w:numPr>
                <w:ilvl w:val="0"/>
                <w:numId w:val="14"/>
              </w:numPr>
            </w:pPr>
            <w:bookmarkStart w:id="4" w:name="_Hlk98682033"/>
            <w:r w:rsidRPr="00E02CEB">
              <w:rPr>
                <w:i/>
              </w:rPr>
              <w:t>SDH</w:t>
            </w:r>
            <w:r w:rsidR="001140EF">
              <w:rPr>
                <w:i/>
              </w:rPr>
              <w:t>-</w:t>
            </w:r>
            <w:r w:rsidRPr="009C5AB2">
              <w:t>associated renal cancer</w:t>
            </w:r>
            <w:r>
              <w:t xml:space="preserve"> (risk for phaeoc</w:t>
            </w:r>
            <w:r w:rsidR="001B2352">
              <w:t>h</w:t>
            </w:r>
            <w:r>
              <w:t>romocytoma and p</w:t>
            </w:r>
            <w:r w:rsidR="00CB22FB" w:rsidRPr="00AD60AE">
              <w:t>araganglioma</w:t>
            </w:r>
            <w:r>
              <w:t>)</w:t>
            </w:r>
            <w:r w:rsidR="00E667AE">
              <w:t xml:space="preserve">; </w:t>
            </w:r>
          </w:p>
          <w:p w14:paraId="0CAF5A68" w14:textId="27DEB206" w:rsidR="00543E05" w:rsidRDefault="009C5AB2" w:rsidP="00543E05">
            <w:pPr>
              <w:pStyle w:val="ListParagraph"/>
              <w:numPr>
                <w:ilvl w:val="0"/>
                <w:numId w:val="14"/>
              </w:numPr>
            </w:pPr>
            <w:r>
              <w:t>Familial clear renal cell carcinoma with chromosome 3 translocation</w:t>
            </w:r>
            <w:bookmarkEnd w:id="4"/>
            <w:r w:rsidR="00543E05">
              <w:t>;</w:t>
            </w:r>
          </w:p>
          <w:p w14:paraId="3E2C06A6" w14:textId="77777777" w:rsidR="00543E05" w:rsidRPr="00CC7D3E" w:rsidRDefault="00543E05" w:rsidP="00543E05">
            <w:pPr>
              <w:pStyle w:val="ListParagraph"/>
              <w:numPr>
                <w:ilvl w:val="0"/>
                <w:numId w:val="14"/>
              </w:numPr>
            </w:pPr>
            <w:r w:rsidRPr="00CC7D3E">
              <w:t>Microphthalmia-associated transcription factor (</w:t>
            </w:r>
            <w:proofErr w:type="spellStart"/>
            <w:r w:rsidRPr="00CC7D3E">
              <w:t>MiTF</w:t>
            </w:r>
            <w:proofErr w:type="spellEnd"/>
            <w:r w:rsidRPr="00CC7D3E">
              <w:t>)-associated renal cell carcinoma (RCC); and</w:t>
            </w:r>
          </w:p>
          <w:p w14:paraId="43A1A80C" w14:textId="493C5A40" w:rsidR="009C5AB2" w:rsidRPr="00CC7D3E" w:rsidRDefault="00543E05" w:rsidP="00543E05">
            <w:pPr>
              <w:pStyle w:val="ListParagraph"/>
              <w:numPr>
                <w:ilvl w:val="0"/>
                <w:numId w:val="14"/>
              </w:numPr>
            </w:pPr>
            <w:r w:rsidRPr="00CC7D3E">
              <w:t>Hereditary non-polyposis colon cancer (HNPCC; Lynch syndrome).</w:t>
            </w:r>
          </w:p>
          <w:p w14:paraId="4A4FF7C2" w14:textId="053A5F19" w:rsidR="00B34266" w:rsidRPr="00B34266" w:rsidRDefault="00B34266" w:rsidP="005D2196">
            <w:pPr>
              <w:spacing w:after="120" w:line="22" w:lineRule="atLeast"/>
            </w:pPr>
            <w:r>
              <w:t xml:space="preserve">While these are the currently defined conditions, </w:t>
            </w:r>
            <w:r w:rsidRPr="00F130F5">
              <w:t>other rare genetic disorders associated with the increased risk of developing renal tumours</w:t>
            </w:r>
            <w:r>
              <w:t xml:space="preserve"> are also intended to be eligible for this service.</w:t>
            </w:r>
          </w:p>
        </w:tc>
      </w:tr>
      <w:tr w:rsidR="006478E7" w:rsidRPr="00DA79F1" w14:paraId="2A9CC9A6" w14:textId="77777777" w:rsidTr="005D2196">
        <w:tc>
          <w:tcPr>
            <w:tcW w:w="1005" w:type="pct"/>
            <w:hideMark/>
          </w:tcPr>
          <w:p w14:paraId="75E49351" w14:textId="21054C6C" w:rsidR="006478E7" w:rsidRPr="00DA79F1" w:rsidRDefault="006478E7" w:rsidP="005D2196">
            <w:pPr>
              <w:spacing w:after="120" w:line="22" w:lineRule="atLeast"/>
            </w:pPr>
            <w:r w:rsidRPr="00DA79F1">
              <w:t>Prior tests</w:t>
            </w:r>
            <w:r w:rsidR="00C54349" w:rsidRPr="00DA79F1">
              <w:t xml:space="preserve"> </w:t>
            </w:r>
            <w:r w:rsidR="00C54349" w:rsidRPr="00DA79F1">
              <w:br/>
            </w:r>
          </w:p>
        </w:tc>
        <w:tc>
          <w:tcPr>
            <w:tcW w:w="3995" w:type="pct"/>
            <w:hideMark/>
          </w:tcPr>
          <w:p w14:paraId="5CF47E43" w14:textId="42A0BA78" w:rsidR="006478E7" w:rsidRPr="004829E9" w:rsidRDefault="001F68ED" w:rsidP="005D2196">
            <w:pPr>
              <w:spacing w:after="120" w:line="22" w:lineRule="atLeast"/>
            </w:pPr>
            <w:r w:rsidRPr="004829E9">
              <w:t xml:space="preserve">Genetic testing to confirm </w:t>
            </w:r>
            <w:r w:rsidR="00CB22FB" w:rsidRPr="004829E9">
              <w:t xml:space="preserve">germline pathogenic variants of the genes associated with the condition in question. However, </w:t>
            </w:r>
            <w:r w:rsidR="00683145">
              <w:t xml:space="preserve">the </w:t>
            </w:r>
            <w:r w:rsidR="00CB22FB" w:rsidRPr="004829E9">
              <w:t xml:space="preserve">diagnosis </w:t>
            </w:r>
            <w:r w:rsidR="00CE5BB0" w:rsidRPr="004829E9">
              <w:t>may</w:t>
            </w:r>
            <w:r w:rsidR="00CB22FB" w:rsidRPr="004829E9">
              <w:t xml:space="preserve"> not require </w:t>
            </w:r>
            <w:r w:rsidR="00D70A4B">
              <w:t xml:space="preserve">confirmatory </w:t>
            </w:r>
            <w:r w:rsidR="00CB22FB" w:rsidRPr="004829E9">
              <w:t xml:space="preserve">genetic </w:t>
            </w:r>
            <w:r w:rsidR="004829E9" w:rsidRPr="004829E9">
              <w:t xml:space="preserve">testing </w:t>
            </w:r>
            <w:r w:rsidR="00CB22FB" w:rsidRPr="004829E9">
              <w:t xml:space="preserve">and </w:t>
            </w:r>
            <w:r w:rsidR="004829E9" w:rsidRPr="004829E9">
              <w:t xml:space="preserve">may be a </w:t>
            </w:r>
            <w:r w:rsidR="00CB22FB" w:rsidRPr="004829E9">
              <w:t>clinical diagnosis</w:t>
            </w:r>
            <w:r w:rsidR="00D70A4B">
              <w:t xml:space="preserve"> alone, where </w:t>
            </w:r>
            <w:r w:rsidR="00683145">
              <w:t xml:space="preserve">there are standardised phenotypic diagnostic criteria </w:t>
            </w:r>
            <w:r w:rsidR="00D70A4B">
              <w:t>applicable</w:t>
            </w:r>
            <w:r w:rsidR="00CE5BB0" w:rsidRPr="004829E9">
              <w:t>.</w:t>
            </w:r>
          </w:p>
        </w:tc>
      </w:tr>
      <w:tr w:rsidR="006478E7" w:rsidRPr="00DA79F1" w14:paraId="654E13A9" w14:textId="77777777" w:rsidTr="005D2196">
        <w:tc>
          <w:tcPr>
            <w:tcW w:w="1005" w:type="pct"/>
            <w:hideMark/>
          </w:tcPr>
          <w:p w14:paraId="5BF0C211" w14:textId="77777777" w:rsidR="006478E7" w:rsidRPr="00DA79F1" w:rsidRDefault="006478E7" w:rsidP="005D2196">
            <w:pPr>
              <w:spacing w:after="120" w:line="22" w:lineRule="atLeast"/>
            </w:pPr>
            <w:r w:rsidRPr="00DA79F1">
              <w:t>Intervention</w:t>
            </w:r>
          </w:p>
        </w:tc>
        <w:tc>
          <w:tcPr>
            <w:tcW w:w="3995" w:type="pct"/>
            <w:hideMark/>
          </w:tcPr>
          <w:p w14:paraId="3E51DB12" w14:textId="0CB08913" w:rsidR="006478E7" w:rsidRPr="004829E9" w:rsidRDefault="00A44A74" w:rsidP="005D2196">
            <w:pPr>
              <w:spacing w:after="120" w:line="22" w:lineRule="atLeast"/>
            </w:pPr>
            <w:r w:rsidRPr="004829E9">
              <w:t>Magnetic Resonance Imaging (MRI) of the abdomen using gadolinium-based contrast</w:t>
            </w:r>
            <w:r w:rsidR="0060071E">
              <w:t xml:space="preserve"> (where applicable)</w:t>
            </w:r>
            <w:r w:rsidR="00AD60AE">
              <w:t>; annual surveillance</w:t>
            </w:r>
            <w:r w:rsidR="004829E9" w:rsidRPr="004829E9">
              <w:t>.</w:t>
            </w:r>
          </w:p>
        </w:tc>
      </w:tr>
      <w:tr w:rsidR="006478E7" w:rsidRPr="00DA79F1" w14:paraId="1F5647C3" w14:textId="77777777" w:rsidTr="005D2196">
        <w:tc>
          <w:tcPr>
            <w:tcW w:w="1005" w:type="pct"/>
            <w:hideMark/>
          </w:tcPr>
          <w:p w14:paraId="7F55173A" w14:textId="21AC65A6" w:rsidR="006478E7" w:rsidRPr="00DA79F1" w:rsidRDefault="006478E7" w:rsidP="005D2196">
            <w:pPr>
              <w:spacing w:after="120" w:line="22" w:lineRule="atLeast"/>
            </w:pPr>
            <w:r w:rsidRPr="00DA79F1">
              <w:t>Comparator</w:t>
            </w:r>
            <w:r w:rsidR="00D83062" w:rsidRPr="00DA79F1">
              <w:t>s</w:t>
            </w:r>
          </w:p>
        </w:tc>
        <w:tc>
          <w:tcPr>
            <w:tcW w:w="3995" w:type="pct"/>
            <w:hideMark/>
          </w:tcPr>
          <w:p w14:paraId="7E690E4B" w14:textId="2FE1D699" w:rsidR="006478E7" w:rsidRPr="004829E9" w:rsidRDefault="00570208" w:rsidP="005D2196">
            <w:pPr>
              <w:spacing w:after="120" w:line="22" w:lineRule="atLeast"/>
            </w:pPr>
            <w:r>
              <w:t>Computed</w:t>
            </w:r>
            <w:r w:rsidR="00CB22FB" w:rsidRPr="004829E9">
              <w:t xml:space="preserve"> tomography</w:t>
            </w:r>
            <w:r w:rsidR="0084737B" w:rsidRPr="004829E9">
              <w:t xml:space="preserve"> (CT)</w:t>
            </w:r>
            <w:r w:rsidR="00CB22FB" w:rsidRPr="004829E9">
              <w:t xml:space="preserve"> or ultrasound</w:t>
            </w:r>
            <w:r w:rsidR="0084737B" w:rsidRPr="004829E9">
              <w:t xml:space="preserve"> (US)</w:t>
            </w:r>
            <w:r w:rsidR="004829E9" w:rsidRPr="004829E9">
              <w:t>.</w:t>
            </w:r>
          </w:p>
        </w:tc>
      </w:tr>
      <w:tr w:rsidR="00C64764" w:rsidRPr="00DA79F1" w14:paraId="7B9D3F1A" w14:textId="77777777" w:rsidTr="005D2196">
        <w:tc>
          <w:tcPr>
            <w:tcW w:w="1005" w:type="pct"/>
          </w:tcPr>
          <w:p w14:paraId="4C0BC8B3" w14:textId="2DE19888" w:rsidR="00C64764" w:rsidRPr="00DA79F1" w:rsidRDefault="00C64764" w:rsidP="005D2196">
            <w:pPr>
              <w:spacing w:after="120" w:line="22" w:lineRule="atLeast"/>
            </w:pPr>
            <w:r w:rsidRPr="00DA79F1">
              <w:t xml:space="preserve">Reference standard </w:t>
            </w:r>
          </w:p>
        </w:tc>
        <w:tc>
          <w:tcPr>
            <w:tcW w:w="3995" w:type="pct"/>
            <w:vAlign w:val="center"/>
          </w:tcPr>
          <w:p w14:paraId="7B1F5217" w14:textId="33746279" w:rsidR="00C64764" w:rsidRPr="004829E9" w:rsidRDefault="00CB22FB" w:rsidP="005D2196">
            <w:pPr>
              <w:spacing w:after="120" w:line="22" w:lineRule="atLeast"/>
            </w:pPr>
            <w:r w:rsidRPr="004829E9">
              <w:t>Biopsy</w:t>
            </w:r>
            <w:r w:rsidR="0084737B" w:rsidRPr="004829E9">
              <w:t xml:space="preserve"> and histo</w:t>
            </w:r>
            <w:r w:rsidR="00AD60AE">
              <w:t>pathology</w:t>
            </w:r>
            <w:r w:rsidR="004829E9" w:rsidRPr="004829E9">
              <w:t>.</w:t>
            </w:r>
          </w:p>
        </w:tc>
      </w:tr>
      <w:tr w:rsidR="006478E7" w:rsidRPr="00DA79F1" w14:paraId="591B1D2D" w14:textId="77777777" w:rsidTr="005D2196">
        <w:tc>
          <w:tcPr>
            <w:tcW w:w="1005" w:type="pct"/>
            <w:hideMark/>
          </w:tcPr>
          <w:p w14:paraId="635F9D15" w14:textId="77777777" w:rsidR="006478E7" w:rsidRPr="00DA79F1" w:rsidRDefault="006478E7" w:rsidP="005D2196">
            <w:pPr>
              <w:spacing w:after="120" w:line="22" w:lineRule="atLeast"/>
            </w:pPr>
            <w:r w:rsidRPr="00DA79F1">
              <w:t>Outcomes</w:t>
            </w:r>
          </w:p>
        </w:tc>
        <w:tc>
          <w:tcPr>
            <w:tcW w:w="3995" w:type="pct"/>
            <w:hideMark/>
          </w:tcPr>
          <w:p w14:paraId="4962A63B" w14:textId="070058E2" w:rsidR="00053D52" w:rsidRPr="00DA79F1" w:rsidRDefault="00DF081B" w:rsidP="005D2196">
            <w:pPr>
              <w:spacing w:after="60" w:line="22" w:lineRule="atLeast"/>
            </w:pPr>
            <w:r>
              <w:t>Safety</w:t>
            </w:r>
            <w:r w:rsidR="00053D52" w:rsidRPr="00DA79F1">
              <w:t xml:space="preserve"> outcomes:</w:t>
            </w:r>
          </w:p>
          <w:p w14:paraId="27A71FA5" w14:textId="5F0D8FBF" w:rsidR="00DF081B" w:rsidRPr="00E02CEB" w:rsidRDefault="00DF081B" w:rsidP="00AA4DCC">
            <w:pPr>
              <w:pStyle w:val="paragraph"/>
              <w:numPr>
                <w:ilvl w:val="0"/>
                <w:numId w:val="15"/>
              </w:numPr>
              <w:spacing w:before="0" w:beforeAutospacing="0" w:after="0" w:afterAutospacing="0" w:line="22" w:lineRule="atLeast"/>
              <w:ind w:left="714" w:hanging="357"/>
              <w:rPr>
                <w:rFonts w:ascii="Segoe UI" w:hAnsi="Segoe UI" w:cs="Segoe UI"/>
              </w:rPr>
            </w:pPr>
            <w:r w:rsidRPr="00E02CEB">
              <w:rPr>
                <w:rStyle w:val="normaltextrun"/>
                <w:rFonts w:ascii="Calibri" w:hAnsi="Calibri" w:cs="Calibri"/>
                <w:sz w:val="22"/>
              </w:rPr>
              <w:t>Adverse reaction to contrast agent</w:t>
            </w:r>
            <w:r w:rsidR="0068492C">
              <w:rPr>
                <w:rStyle w:val="normaltextrun"/>
                <w:rFonts w:ascii="Calibri" w:hAnsi="Calibri" w:cs="Calibri"/>
                <w:sz w:val="22"/>
              </w:rPr>
              <w:t>.</w:t>
            </w:r>
            <w:r w:rsidRPr="00E02CEB">
              <w:rPr>
                <w:rStyle w:val="eop"/>
                <w:rFonts w:eastAsia="MS Gothic" w:cs="Calibri"/>
                <w:sz w:val="22"/>
              </w:rPr>
              <w:t> </w:t>
            </w:r>
          </w:p>
          <w:p w14:paraId="5175C83E" w14:textId="4A783F23" w:rsidR="00DF081B" w:rsidRPr="00E02CEB" w:rsidRDefault="00DF081B" w:rsidP="00AA4DCC">
            <w:pPr>
              <w:pStyle w:val="paragraph"/>
              <w:numPr>
                <w:ilvl w:val="0"/>
                <w:numId w:val="15"/>
              </w:numPr>
              <w:spacing w:after="0" w:afterAutospacing="0" w:line="22" w:lineRule="atLeast"/>
              <w:rPr>
                <w:rFonts w:ascii="Segoe UI" w:hAnsi="Segoe UI" w:cs="Segoe UI"/>
              </w:rPr>
            </w:pPr>
            <w:r w:rsidRPr="00E02CEB">
              <w:rPr>
                <w:rStyle w:val="normaltextrun"/>
                <w:rFonts w:ascii="Calibri" w:hAnsi="Calibri" w:cs="Calibri"/>
                <w:sz w:val="22"/>
              </w:rPr>
              <w:t>Cumulative effects of multiple contrast agent injections</w:t>
            </w:r>
            <w:r w:rsidR="0068492C">
              <w:rPr>
                <w:rStyle w:val="normaltextrun"/>
                <w:rFonts w:ascii="Calibri" w:hAnsi="Calibri" w:cs="Calibri"/>
                <w:sz w:val="22"/>
              </w:rPr>
              <w:t>.</w:t>
            </w:r>
            <w:r w:rsidRPr="00E02CEB">
              <w:rPr>
                <w:rStyle w:val="eop"/>
                <w:rFonts w:eastAsia="MS Gothic" w:cs="Calibri"/>
                <w:sz w:val="22"/>
              </w:rPr>
              <w:t> </w:t>
            </w:r>
          </w:p>
          <w:p w14:paraId="2E8FE16B" w14:textId="600A40DD" w:rsidR="00DF081B" w:rsidRPr="00E02CEB" w:rsidRDefault="00DF081B" w:rsidP="00AA4DCC">
            <w:pPr>
              <w:pStyle w:val="paragraph"/>
              <w:numPr>
                <w:ilvl w:val="0"/>
                <w:numId w:val="15"/>
              </w:numPr>
              <w:spacing w:after="0" w:afterAutospacing="0" w:line="22" w:lineRule="atLeast"/>
              <w:rPr>
                <w:rFonts w:ascii="Segoe UI" w:hAnsi="Segoe UI" w:cs="Segoe UI"/>
              </w:rPr>
            </w:pPr>
            <w:r w:rsidRPr="00E02CEB">
              <w:rPr>
                <w:rStyle w:val="normaltextrun"/>
                <w:rFonts w:ascii="Calibri" w:hAnsi="Calibri" w:cs="Calibri"/>
                <w:sz w:val="22"/>
              </w:rPr>
              <w:t>Claustrophobia requiring the administration of sedation or general anaesthetic</w:t>
            </w:r>
            <w:r w:rsidR="0068492C">
              <w:rPr>
                <w:rStyle w:val="normaltextrun"/>
                <w:rFonts w:ascii="Calibri" w:hAnsi="Calibri" w:cs="Calibri"/>
                <w:sz w:val="22"/>
              </w:rPr>
              <w:t>.</w:t>
            </w:r>
            <w:r w:rsidRPr="00E02CEB">
              <w:rPr>
                <w:rStyle w:val="eop"/>
                <w:rFonts w:eastAsia="MS Gothic" w:cs="Calibri"/>
                <w:sz w:val="22"/>
              </w:rPr>
              <w:t> </w:t>
            </w:r>
          </w:p>
          <w:p w14:paraId="60C7991D" w14:textId="20D6643D" w:rsidR="00DF081B" w:rsidRPr="00E02CEB" w:rsidRDefault="0068492C" w:rsidP="00AA4DCC">
            <w:pPr>
              <w:pStyle w:val="paragraph"/>
              <w:numPr>
                <w:ilvl w:val="0"/>
                <w:numId w:val="15"/>
              </w:numPr>
              <w:spacing w:after="0" w:afterAutospacing="0" w:line="22" w:lineRule="atLeast"/>
              <w:rPr>
                <w:rFonts w:ascii="Segoe UI" w:hAnsi="Segoe UI" w:cs="Segoe UI"/>
              </w:rPr>
            </w:pPr>
            <w:r>
              <w:rPr>
                <w:rStyle w:val="normaltextrun"/>
                <w:rFonts w:ascii="Calibri" w:hAnsi="Calibri" w:cs="Calibri"/>
                <w:sz w:val="22"/>
              </w:rPr>
              <w:lastRenderedPageBreak/>
              <w:t>H</w:t>
            </w:r>
            <w:r w:rsidR="00DF081B" w:rsidRPr="00E02CEB">
              <w:rPr>
                <w:rStyle w:val="normaltextrun"/>
                <w:rFonts w:ascii="Calibri" w:hAnsi="Calibri" w:cs="Calibri"/>
                <w:sz w:val="22"/>
              </w:rPr>
              <w:t>arms from follow-up testing</w:t>
            </w:r>
            <w:r>
              <w:rPr>
                <w:rStyle w:val="normaltextrun"/>
                <w:rFonts w:ascii="Calibri" w:hAnsi="Calibri" w:cs="Calibri"/>
                <w:sz w:val="22"/>
              </w:rPr>
              <w:t>.</w:t>
            </w:r>
            <w:r w:rsidR="00DF081B" w:rsidRPr="00E02CEB">
              <w:rPr>
                <w:rStyle w:val="eop"/>
                <w:rFonts w:eastAsia="MS Gothic" w:cs="Calibri"/>
                <w:sz w:val="22"/>
              </w:rPr>
              <w:t> </w:t>
            </w:r>
          </w:p>
          <w:p w14:paraId="6449E62B" w14:textId="5BD04CFB" w:rsidR="00DF081B" w:rsidRPr="00E02CEB" w:rsidRDefault="00DF081B" w:rsidP="00AA4DCC">
            <w:pPr>
              <w:pStyle w:val="paragraph"/>
              <w:numPr>
                <w:ilvl w:val="0"/>
                <w:numId w:val="15"/>
              </w:numPr>
              <w:spacing w:after="0" w:afterAutospacing="0" w:line="22" w:lineRule="atLeast"/>
              <w:rPr>
                <w:rStyle w:val="eop"/>
                <w:rFonts w:ascii="Segoe UI" w:hAnsi="Segoe UI" w:cs="Segoe UI"/>
                <w:sz w:val="22"/>
              </w:rPr>
            </w:pPr>
            <w:r w:rsidRPr="00E02CEB">
              <w:rPr>
                <w:rStyle w:val="normaltextrun"/>
                <w:rFonts w:ascii="Calibri" w:hAnsi="Calibri" w:cs="Calibri"/>
                <w:sz w:val="22"/>
              </w:rPr>
              <w:t>Other adverse events arising from</w:t>
            </w:r>
            <w:r w:rsidR="0068492C">
              <w:rPr>
                <w:rStyle w:val="normaltextrun"/>
                <w:rFonts w:ascii="Calibri" w:hAnsi="Calibri" w:cs="Calibri"/>
                <w:sz w:val="22"/>
              </w:rPr>
              <w:t xml:space="preserve"> </w:t>
            </w:r>
            <w:r w:rsidRPr="00E02CEB">
              <w:rPr>
                <w:rStyle w:val="normaltextrun"/>
                <w:rFonts w:ascii="Calibri" w:hAnsi="Calibri" w:cs="Calibri"/>
                <w:sz w:val="22"/>
              </w:rPr>
              <w:t>MRI</w:t>
            </w:r>
            <w:r w:rsidR="0068492C">
              <w:rPr>
                <w:rStyle w:val="normaltextrun"/>
                <w:rFonts w:ascii="Calibri" w:hAnsi="Calibri" w:cs="Calibri"/>
                <w:sz w:val="22"/>
              </w:rPr>
              <w:t>.</w:t>
            </w:r>
            <w:r w:rsidRPr="00E02CEB">
              <w:rPr>
                <w:rStyle w:val="eop"/>
                <w:rFonts w:eastAsia="MS Gothic" w:cs="Calibri"/>
                <w:sz w:val="22"/>
              </w:rPr>
              <w:t> </w:t>
            </w:r>
          </w:p>
          <w:p w14:paraId="3508A4CD" w14:textId="333DC53B" w:rsidR="00DF081B" w:rsidRDefault="006959DD" w:rsidP="00AA4DCC">
            <w:pPr>
              <w:pStyle w:val="ListParagraph"/>
              <w:numPr>
                <w:ilvl w:val="0"/>
                <w:numId w:val="15"/>
              </w:numPr>
            </w:pPr>
            <w:r w:rsidRPr="00E02CEB">
              <w:t>Exposure to ioni</w:t>
            </w:r>
            <w:r w:rsidR="0068492C">
              <w:t>s</w:t>
            </w:r>
            <w:r w:rsidRPr="00E02CEB">
              <w:t>ing radiation.</w:t>
            </w:r>
          </w:p>
          <w:p w14:paraId="5F32F5ED" w14:textId="365B67DA" w:rsidR="00DF081B" w:rsidRPr="00E02CEB" w:rsidRDefault="00DF081B" w:rsidP="005D2196">
            <w:pPr>
              <w:spacing w:after="60" w:line="22" w:lineRule="atLeast"/>
            </w:pPr>
            <w:r>
              <w:t>Effectiveness outcomes:</w:t>
            </w:r>
          </w:p>
          <w:p w14:paraId="68901347" w14:textId="398FC62B" w:rsidR="00053D52" w:rsidRPr="00AD60AE" w:rsidRDefault="0068492C" w:rsidP="00AA4DCC">
            <w:pPr>
              <w:pStyle w:val="ListParagraph"/>
              <w:numPr>
                <w:ilvl w:val="0"/>
                <w:numId w:val="15"/>
              </w:numPr>
            </w:pPr>
            <w:r>
              <w:t>M</w:t>
            </w:r>
            <w:r w:rsidR="00053D52" w:rsidRPr="00AD60AE">
              <w:t>ortality</w:t>
            </w:r>
            <w:r w:rsidR="004829E9" w:rsidRPr="00AD60AE">
              <w:t>.</w:t>
            </w:r>
          </w:p>
          <w:p w14:paraId="7A406F91" w14:textId="35FE49B9" w:rsidR="00053D52" w:rsidRDefault="0068492C" w:rsidP="00AA4DCC">
            <w:pPr>
              <w:pStyle w:val="ListParagraph"/>
              <w:numPr>
                <w:ilvl w:val="0"/>
                <w:numId w:val="15"/>
              </w:numPr>
            </w:pPr>
            <w:r>
              <w:t>T</w:t>
            </w:r>
            <w:r w:rsidR="00053D52" w:rsidRPr="00AD60AE">
              <w:t>ime to diagnosis of tumours</w:t>
            </w:r>
            <w:r w:rsidR="004829E9" w:rsidRPr="00AD60AE">
              <w:t>.</w:t>
            </w:r>
          </w:p>
          <w:p w14:paraId="7E96FDDA" w14:textId="5BDA027D" w:rsidR="001140EF" w:rsidRDefault="001140EF" w:rsidP="00AA4DCC">
            <w:pPr>
              <w:pStyle w:val="ListParagraph"/>
              <w:numPr>
                <w:ilvl w:val="0"/>
                <w:numId w:val="15"/>
              </w:numPr>
            </w:pPr>
            <w:r>
              <w:t xml:space="preserve">Monitoring growth </w:t>
            </w:r>
            <w:r w:rsidR="00543E05">
              <w:t xml:space="preserve">and number </w:t>
            </w:r>
            <w:r>
              <w:t>of tumours.</w:t>
            </w:r>
          </w:p>
          <w:p w14:paraId="3576CBB6" w14:textId="125EC1BF" w:rsidR="00053D52" w:rsidRDefault="0068492C" w:rsidP="00AA4DCC">
            <w:pPr>
              <w:pStyle w:val="ListParagraph"/>
              <w:numPr>
                <w:ilvl w:val="0"/>
                <w:numId w:val="15"/>
              </w:numPr>
            </w:pPr>
            <w:r>
              <w:t>T</w:t>
            </w:r>
            <w:r w:rsidR="00053D52" w:rsidRPr="00AD60AE">
              <w:t>ime from diagnosis to treatment</w:t>
            </w:r>
            <w:r w:rsidR="004829E9" w:rsidRPr="00AD60AE">
              <w:t>.</w:t>
            </w:r>
          </w:p>
          <w:p w14:paraId="367763B5" w14:textId="247F4D15" w:rsidR="0068492C" w:rsidRDefault="0068492C" w:rsidP="00AA4DCC">
            <w:pPr>
              <w:pStyle w:val="ListParagraph"/>
              <w:numPr>
                <w:ilvl w:val="0"/>
                <w:numId w:val="15"/>
              </w:numPr>
            </w:pPr>
            <w:r>
              <w:t>Changes to</w:t>
            </w:r>
            <w:r w:rsidRPr="00AD60AE">
              <w:t xml:space="preserve"> </w:t>
            </w:r>
            <w:r w:rsidR="00053D52" w:rsidRPr="00AD60AE">
              <w:t>management of treatment</w:t>
            </w:r>
            <w:r w:rsidR="001140EF">
              <w:t>, for example</w:t>
            </w:r>
            <w:r w:rsidR="00251A96" w:rsidRPr="00AD60AE">
              <w:t xml:space="preserve">: </w:t>
            </w:r>
          </w:p>
          <w:p w14:paraId="222664F5" w14:textId="30E88241" w:rsidR="0068492C" w:rsidRDefault="00C20CB0" w:rsidP="00CC7D3E">
            <w:pPr>
              <w:pStyle w:val="ListParagraph"/>
              <w:numPr>
                <w:ilvl w:val="1"/>
                <w:numId w:val="28"/>
              </w:numPr>
              <w:ind w:left="1080" w:hanging="284"/>
            </w:pPr>
            <w:r>
              <w:t>use</w:t>
            </w:r>
            <w:r w:rsidR="00251A96" w:rsidRPr="00AD60AE">
              <w:t xml:space="preserve"> of mammalian target of rapamycin inhibitor (</w:t>
            </w:r>
            <w:proofErr w:type="spellStart"/>
            <w:r w:rsidR="00251A96" w:rsidRPr="00AD60AE">
              <w:t>mTORi</w:t>
            </w:r>
            <w:proofErr w:type="spellEnd"/>
            <w:r w:rsidR="00251A96" w:rsidRPr="00AD60AE">
              <w:t>) therapy (TSC)</w:t>
            </w:r>
            <w:r w:rsidR="00251A96">
              <w:t xml:space="preserve">; </w:t>
            </w:r>
          </w:p>
          <w:p w14:paraId="71009AFF" w14:textId="1665C095" w:rsidR="0068492C" w:rsidRDefault="001140EF" w:rsidP="00CC7D3E">
            <w:pPr>
              <w:pStyle w:val="ListParagraph"/>
              <w:numPr>
                <w:ilvl w:val="1"/>
                <w:numId w:val="28"/>
              </w:numPr>
              <w:ind w:left="1080" w:hanging="284"/>
            </w:pPr>
            <w:r>
              <w:t>impacts on</w:t>
            </w:r>
            <w:r w:rsidR="008155FC">
              <w:t xml:space="preserve"> </w:t>
            </w:r>
            <w:r w:rsidR="00251A96" w:rsidRPr="00E02CEB">
              <w:t>emergency presentations for spontaneous</w:t>
            </w:r>
            <w:r w:rsidR="008155FC">
              <w:t xml:space="preserve"> </w:t>
            </w:r>
            <w:r w:rsidR="008155FC" w:rsidRPr="00482E22">
              <w:rPr>
                <w:noProof/>
              </w:rPr>
              <w:t>angiomyolipomas</w:t>
            </w:r>
            <w:r w:rsidR="00251A96" w:rsidRPr="00E02CEB">
              <w:t xml:space="preserve"> </w:t>
            </w:r>
            <w:r w:rsidR="008155FC">
              <w:t>(</w:t>
            </w:r>
            <w:r w:rsidR="00251A96" w:rsidRPr="00E02CEB">
              <w:t>AML</w:t>
            </w:r>
            <w:r w:rsidR="008155FC">
              <w:t>)</w:t>
            </w:r>
            <w:r w:rsidR="00251A96" w:rsidRPr="00E02CEB">
              <w:t xml:space="preserve"> bleeding (TSC)</w:t>
            </w:r>
            <w:r w:rsidR="00251A96">
              <w:t xml:space="preserve">; </w:t>
            </w:r>
          </w:p>
          <w:p w14:paraId="26419F8F" w14:textId="2877D983" w:rsidR="00251A96" w:rsidRPr="00E02CEB" w:rsidRDefault="00251A96" w:rsidP="00CC7D3E">
            <w:pPr>
              <w:pStyle w:val="ListParagraph"/>
              <w:numPr>
                <w:ilvl w:val="1"/>
                <w:numId w:val="28"/>
              </w:numPr>
              <w:ind w:left="1080" w:hanging="284"/>
            </w:pPr>
            <w:r w:rsidRPr="00AD60AE">
              <w:t>curative management</w:t>
            </w:r>
            <w:r w:rsidR="008155FC">
              <w:t xml:space="preserve"> (surgical and/or </w:t>
            </w:r>
            <w:r w:rsidR="008155FC" w:rsidRPr="00AD60AE">
              <w:t>systemic cytotoxic therapy</w:t>
            </w:r>
            <w:r w:rsidR="008155FC">
              <w:t>) for malignant tumours</w:t>
            </w:r>
            <w:r w:rsidRPr="00AD60AE">
              <w:t>.</w:t>
            </w:r>
          </w:p>
          <w:p w14:paraId="5C69BA4C" w14:textId="1CD00E29" w:rsidR="00053D52" w:rsidRPr="00AD60AE" w:rsidRDefault="0068492C" w:rsidP="00AA4DCC">
            <w:pPr>
              <w:pStyle w:val="ListParagraph"/>
              <w:numPr>
                <w:ilvl w:val="0"/>
                <w:numId w:val="15"/>
              </w:numPr>
            </w:pPr>
            <w:r>
              <w:t>Q</w:t>
            </w:r>
            <w:r w:rsidR="00053D52" w:rsidRPr="00AD60AE">
              <w:t>uality of life</w:t>
            </w:r>
            <w:r w:rsidR="004829E9" w:rsidRPr="00AD60AE">
              <w:t>.</w:t>
            </w:r>
          </w:p>
          <w:p w14:paraId="2753C3A7" w14:textId="4D3AC2AF" w:rsidR="00125E36" w:rsidRDefault="00125E36" w:rsidP="005D2196">
            <w:pPr>
              <w:spacing w:after="60" w:line="22" w:lineRule="atLeast"/>
            </w:pPr>
            <w:r>
              <w:t>Test accuracy</w:t>
            </w:r>
            <w:r w:rsidR="00D678F0">
              <w:t xml:space="preserve"> outcomes</w:t>
            </w:r>
            <w:r>
              <w:t>:</w:t>
            </w:r>
          </w:p>
          <w:p w14:paraId="4623BB62" w14:textId="6D0FD201" w:rsidR="00D678F0" w:rsidRPr="00E02CEB" w:rsidRDefault="0068492C" w:rsidP="00AA4DCC">
            <w:pPr>
              <w:pStyle w:val="ListParagraph"/>
              <w:numPr>
                <w:ilvl w:val="0"/>
                <w:numId w:val="15"/>
              </w:numPr>
            </w:pPr>
            <w:r>
              <w:t>S</w:t>
            </w:r>
            <w:r w:rsidR="00125E36" w:rsidRPr="00AD60AE">
              <w:t>ensitivity and specificity compared to existing modalities.</w:t>
            </w:r>
          </w:p>
          <w:p w14:paraId="7CFB41E5" w14:textId="6217DEC1" w:rsidR="00D678F0" w:rsidRDefault="00D678F0" w:rsidP="005D2196">
            <w:pPr>
              <w:spacing w:after="60" w:line="22" w:lineRule="atLeast"/>
            </w:pPr>
            <w:r>
              <w:t>Economic outcomes:</w:t>
            </w:r>
          </w:p>
          <w:p w14:paraId="6558100A" w14:textId="77777777" w:rsidR="00D678F0" w:rsidRPr="00447205" w:rsidRDefault="00D678F0" w:rsidP="00AA4DCC">
            <w:pPr>
              <w:pStyle w:val="ListParagraph"/>
              <w:numPr>
                <w:ilvl w:val="0"/>
                <w:numId w:val="15"/>
              </w:numPr>
            </w:pPr>
            <w:r w:rsidRPr="00447205">
              <w:t>Healthcare resources.</w:t>
            </w:r>
          </w:p>
          <w:p w14:paraId="7E6C493D" w14:textId="77777777" w:rsidR="00D678F0" w:rsidRPr="00447205" w:rsidRDefault="00D678F0" w:rsidP="00AA4DCC">
            <w:pPr>
              <w:pStyle w:val="ListParagraph"/>
              <w:numPr>
                <w:ilvl w:val="0"/>
                <w:numId w:val="15"/>
              </w:numPr>
            </w:pPr>
            <w:r w:rsidRPr="00447205">
              <w:t>Cost-</w:t>
            </w:r>
            <w:r w:rsidRPr="003636A2">
              <w:t>effectiveness</w:t>
            </w:r>
            <w:r w:rsidRPr="00447205">
              <w:t>.</w:t>
            </w:r>
          </w:p>
          <w:p w14:paraId="6F9242D7" w14:textId="1B42A1CC" w:rsidR="00D678F0" w:rsidRPr="003636A2" w:rsidRDefault="00D678F0" w:rsidP="00AA4DCC">
            <w:pPr>
              <w:pStyle w:val="ListParagraph"/>
              <w:numPr>
                <w:ilvl w:val="0"/>
                <w:numId w:val="15"/>
              </w:numPr>
              <w:rPr>
                <w:color w:val="000000" w:themeColor="text1"/>
              </w:rPr>
            </w:pPr>
            <w:r w:rsidRPr="00447205">
              <w:t xml:space="preserve">Total </w:t>
            </w:r>
            <w:r w:rsidRPr="003636A2">
              <w:rPr>
                <w:color w:val="000000" w:themeColor="text1"/>
              </w:rPr>
              <w:t>Australian</w:t>
            </w:r>
            <w:r w:rsidRPr="00447205">
              <w:t xml:space="preserve"> Government healthcare costs.</w:t>
            </w:r>
          </w:p>
        </w:tc>
      </w:tr>
      <w:tr w:rsidR="00BB1698" w:rsidRPr="00DA79F1" w14:paraId="4A55FFDB" w14:textId="77777777" w:rsidTr="005D2196">
        <w:tc>
          <w:tcPr>
            <w:tcW w:w="1005" w:type="pct"/>
          </w:tcPr>
          <w:p w14:paraId="003B36EC" w14:textId="77777777" w:rsidR="00BB1698" w:rsidRPr="00DA79F1" w:rsidRDefault="00BB1698" w:rsidP="005D2196">
            <w:pPr>
              <w:spacing w:after="120" w:line="22" w:lineRule="atLeast"/>
            </w:pPr>
            <w:r w:rsidRPr="00DA79F1">
              <w:lastRenderedPageBreak/>
              <w:t>Assessment questions</w:t>
            </w:r>
          </w:p>
        </w:tc>
        <w:tc>
          <w:tcPr>
            <w:tcW w:w="3995" w:type="pct"/>
          </w:tcPr>
          <w:p w14:paraId="7AB69A9A" w14:textId="10B958C1" w:rsidR="00BB1698" w:rsidRPr="00DA79F1" w:rsidRDefault="00BB1698" w:rsidP="005D2196">
            <w:pPr>
              <w:spacing w:after="120" w:line="22" w:lineRule="atLeast"/>
            </w:pPr>
            <w:r w:rsidRPr="00DA79F1">
              <w:t xml:space="preserve">What is the safety, effectiveness and cost-effectiveness of </w:t>
            </w:r>
            <w:r w:rsidR="00CB22FB" w:rsidRPr="00DA79F1">
              <w:t>abdominal MRI</w:t>
            </w:r>
            <w:r w:rsidRPr="00DA79F1">
              <w:t xml:space="preserve"> </w:t>
            </w:r>
            <w:r w:rsidR="004829E9">
              <w:t xml:space="preserve">surveillance </w:t>
            </w:r>
            <w:r w:rsidRPr="00DA79F1">
              <w:t xml:space="preserve">versus </w:t>
            </w:r>
            <w:r w:rsidR="00570208">
              <w:t>computed</w:t>
            </w:r>
            <w:r w:rsidR="00570208" w:rsidRPr="00DA79F1">
              <w:t xml:space="preserve"> </w:t>
            </w:r>
            <w:r w:rsidR="00CB22FB" w:rsidRPr="00DA79F1">
              <w:t xml:space="preserve">tomography scans or ultrasound </w:t>
            </w:r>
            <w:r w:rsidR="004829E9">
              <w:t xml:space="preserve">surveillance </w:t>
            </w:r>
            <w:r w:rsidRPr="00DA79F1">
              <w:t xml:space="preserve">in </w:t>
            </w:r>
            <w:r w:rsidR="00CB22FB" w:rsidRPr="00DA79F1">
              <w:t xml:space="preserve">patients with rare </w:t>
            </w:r>
            <w:r w:rsidR="00D70A4B">
              <w:t xml:space="preserve">heritable </w:t>
            </w:r>
            <w:r w:rsidR="00CB22FB" w:rsidRPr="00DA79F1">
              <w:t>genetic conditions that are strongly associated with the development of renal tumours</w:t>
            </w:r>
            <w:r w:rsidR="004829E9">
              <w:t>?</w:t>
            </w:r>
          </w:p>
        </w:tc>
      </w:tr>
    </w:tbl>
    <w:p w14:paraId="5D5376EF" w14:textId="77777777" w:rsidR="006478E7" w:rsidRPr="00DA79F1" w:rsidRDefault="006478E7" w:rsidP="005D2196">
      <w:r w:rsidRPr="00DA79F1">
        <w:br w:type="page"/>
      </w:r>
    </w:p>
    <w:p w14:paraId="5CE3E8D0" w14:textId="44A7EF97" w:rsidR="004829E9" w:rsidRPr="00DA79F1" w:rsidRDefault="004829E9" w:rsidP="005D2196">
      <w:pPr>
        <w:pStyle w:val="Caption"/>
      </w:pPr>
      <w:r w:rsidRPr="00DA79F1">
        <w:lastRenderedPageBreak/>
        <w:t>Table </w:t>
      </w:r>
      <w:r w:rsidRPr="00DA79F1">
        <w:fldChar w:fldCharType="begin"/>
      </w:r>
      <w:r w:rsidRPr="00DA79F1">
        <w:instrText xml:space="preserve"> SEQ Table \* ARABIC </w:instrText>
      </w:r>
      <w:r w:rsidRPr="00DA79F1">
        <w:fldChar w:fldCharType="separate"/>
      </w:r>
      <w:r w:rsidR="0069673F">
        <w:rPr>
          <w:noProof/>
        </w:rPr>
        <w:t>2</w:t>
      </w:r>
      <w:r w:rsidRPr="00DA79F1">
        <w:fldChar w:fldCharType="end"/>
      </w:r>
      <w:r w:rsidRPr="00DA79F1">
        <w:tab/>
        <w:t>PICO for MRI to assess response after disease</w:t>
      </w:r>
      <w:r w:rsidR="00AD60AE">
        <w:t>-</w:t>
      </w:r>
      <w:r w:rsidRPr="00DA79F1">
        <w:t>specific therapeutic intervention in rare genetic conditions associated with increased risk of renal tumours: PICO Set 2</w:t>
      </w:r>
    </w:p>
    <w:tbl>
      <w:tblPr>
        <w:tblW w:w="500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A0" w:firstRow="1" w:lastRow="0" w:firstColumn="1" w:lastColumn="0" w:noHBand="0" w:noVBand="0"/>
      </w:tblPr>
      <w:tblGrid>
        <w:gridCol w:w="1922"/>
        <w:gridCol w:w="7639"/>
      </w:tblGrid>
      <w:tr w:rsidR="004829E9" w:rsidRPr="00DA79F1" w14:paraId="006278ED" w14:textId="77777777" w:rsidTr="00637438">
        <w:trPr>
          <w:trHeight w:val="372"/>
          <w:tblHeader/>
        </w:trPr>
        <w:tc>
          <w:tcPr>
            <w:tcW w:w="1005" w:type="pct"/>
            <w:shd w:val="clear" w:color="auto" w:fill="D9D9D9"/>
            <w:vAlign w:val="center"/>
            <w:hideMark/>
          </w:tcPr>
          <w:p w14:paraId="2E675666" w14:textId="77777777" w:rsidR="004829E9" w:rsidRPr="005D2196" w:rsidRDefault="004829E9" w:rsidP="005D2196">
            <w:pPr>
              <w:spacing w:after="120" w:line="22" w:lineRule="atLeast"/>
              <w:rPr>
                <w:rFonts w:asciiTheme="minorHAnsi" w:eastAsia="Times New Roman" w:hAnsiTheme="minorHAnsi"/>
                <w:b/>
                <w:iCs w:val="0"/>
                <w:szCs w:val="24"/>
              </w:rPr>
            </w:pPr>
            <w:r w:rsidRPr="005D2196">
              <w:rPr>
                <w:rFonts w:asciiTheme="minorHAnsi" w:eastAsia="Times New Roman" w:hAnsiTheme="minorHAnsi"/>
                <w:b/>
                <w:iCs w:val="0"/>
                <w:szCs w:val="24"/>
              </w:rPr>
              <w:t>Component</w:t>
            </w:r>
          </w:p>
        </w:tc>
        <w:tc>
          <w:tcPr>
            <w:tcW w:w="3995" w:type="pct"/>
            <w:shd w:val="clear" w:color="auto" w:fill="D9D9D9"/>
            <w:vAlign w:val="center"/>
            <w:hideMark/>
          </w:tcPr>
          <w:p w14:paraId="4D6A4193" w14:textId="77777777" w:rsidR="004829E9" w:rsidRPr="005D2196" w:rsidRDefault="004829E9" w:rsidP="005D2196">
            <w:pPr>
              <w:spacing w:after="120" w:line="22" w:lineRule="atLeast"/>
              <w:rPr>
                <w:rFonts w:asciiTheme="minorHAnsi" w:eastAsia="Times New Roman" w:hAnsiTheme="minorHAnsi"/>
                <w:b/>
                <w:iCs w:val="0"/>
                <w:szCs w:val="24"/>
              </w:rPr>
            </w:pPr>
            <w:r w:rsidRPr="005D2196">
              <w:rPr>
                <w:rFonts w:asciiTheme="minorHAnsi" w:eastAsia="Times New Roman" w:hAnsiTheme="minorHAnsi"/>
                <w:b/>
                <w:iCs w:val="0"/>
                <w:szCs w:val="24"/>
              </w:rPr>
              <w:t>Description</w:t>
            </w:r>
          </w:p>
        </w:tc>
      </w:tr>
      <w:tr w:rsidR="004829E9" w:rsidRPr="00DA79F1" w14:paraId="55A9F2CD" w14:textId="77777777" w:rsidTr="00637438">
        <w:trPr>
          <w:trHeight w:val="1145"/>
        </w:trPr>
        <w:tc>
          <w:tcPr>
            <w:tcW w:w="1005" w:type="pct"/>
            <w:hideMark/>
          </w:tcPr>
          <w:p w14:paraId="5CC5CB60" w14:textId="77777777" w:rsidR="004829E9" w:rsidRPr="00DA79F1" w:rsidRDefault="004829E9" w:rsidP="005D2196">
            <w:pPr>
              <w:spacing w:after="0" w:line="22" w:lineRule="atLeast"/>
            </w:pPr>
            <w:r w:rsidRPr="00DA79F1">
              <w:t>Population</w:t>
            </w:r>
          </w:p>
        </w:tc>
        <w:tc>
          <w:tcPr>
            <w:tcW w:w="3995" w:type="pct"/>
            <w:hideMark/>
          </w:tcPr>
          <w:p w14:paraId="647B9049" w14:textId="318EA0E2" w:rsidR="004829E9" w:rsidRPr="004829E9" w:rsidRDefault="00DB0A10" w:rsidP="005D2196">
            <w:pPr>
              <w:spacing w:after="0" w:line="22" w:lineRule="atLeast"/>
            </w:pPr>
            <w:r w:rsidRPr="004829E9">
              <w:t>Patients with rare</w:t>
            </w:r>
            <w:r w:rsidR="00D70A4B">
              <w:t xml:space="preserve"> heritable</w:t>
            </w:r>
            <w:r w:rsidRPr="004829E9">
              <w:t xml:space="preserve"> genetic conditions that are strongly associated with the development of renal tumours </w:t>
            </w:r>
            <w:r w:rsidRPr="00DB0A10">
              <w:rPr>
                <w:u w:val="single"/>
              </w:rPr>
              <w:t>who require assessment of</w:t>
            </w:r>
            <w:r>
              <w:rPr>
                <w:u w:val="single"/>
              </w:rPr>
              <w:t xml:space="preserve"> response</w:t>
            </w:r>
            <w:r w:rsidRPr="004829E9">
              <w:rPr>
                <w:u w:val="single"/>
              </w:rPr>
              <w:t xml:space="preserve"> </w:t>
            </w:r>
            <w:r>
              <w:rPr>
                <w:u w:val="single"/>
              </w:rPr>
              <w:t xml:space="preserve">to </w:t>
            </w:r>
            <w:r w:rsidR="004829E9" w:rsidRPr="004829E9">
              <w:rPr>
                <w:u w:val="single"/>
              </w:rPr>
              <w:t>disease</w:t>
            </w:r>
            <w:r w:rsidR="004829E9">
              <w:rPr>
                <w:u w:val="single"/>
              </w:rPr>
              <w:t>-</w:t>
            </w:r>
            <w:r w:rsidR="004829E9" w:rsidRPr="004829E9">
              <w:rPr>
                <w:u w:val="single"/>
              </w:rPr>
              <w:t>specific therapeutic intervention</w:t>
            </w:r>
            <w:r w:rsidR="004829E9" w:rsidRPr="004829E9">
              <w:t>.</w:t>
            </w:r>
            <w:r w:rsidR="004829E9">
              <w:t xml:space="preserve"> </w:t>
            </w:r>
            <w:r w:rsidR="004829E9" w:rsidRPr="004829E9">
              <w:t xml:space="preserve">These conditions </w:t>
            </w:r>
            <w:r w:rsidR="00683145">
              <w:t xml:space="preserve">currently identified </w:t>
            </w:r>
            <w:r w:rsidR="00D70A4B">
              <w:t>are</w:t>
            </w:r>
            <w:r w:rsidR="004829E9" w:rsidRPr="004829E9">
              <w:t>:</w:t>
            </w:r>
          </w:p>
          <w:p w14:paraId="735B3D0C" w14:textId="77777777" w:rsidR="004829E9" w:rsidRPr="00AD60AE" w:rsidRDefault="004829E9" w:rsidP="00AA4DCC">
            <w:pPr>
              <w:pStyle w:val="ListParagraph"/>
              <w:numPr>
                <w:ilvl w:val="0"/>
                <w:numId w:val="14"/>
              </w:numPr>
            </w:pPr>
            <w:r w:rsidRPr="00AD60AE">
              <w:t>Tuberous Sclerosis Complex (TSC);</w:t>
            </w:r>
          </w:p>
          <w:p w14:paraId="0E41F138" w14:textId="77777777" w:rsidR="004829E9" w:rsidRPr="00AD60AE" w:rsidRDefault="004829E9" w:rsidP="00AA4DCC">
            <w:pPr>
              <w:pStyle w:val="ListParagraph"/>
              <w:numPr>
                <w:ilvl w:val="0"/>
                <w:numId w:val="14"/>
              </w:numPr>
            </w:pPr>
            <w:r w:rsidRPr="00AD60AE">
              <w:t xml:space="preserve">Von Hippel-Lindau disease (VHL); </w:t>
            </w:r>
          </w:p>
          <w:p w14:paraId="12CFAE90" w14:textId="77777777" w:rsidR="004829E9" w:rsidRPr="00AD60AE" w:rsidRDefault="004829E9" w:rsidP="00AA4DCC">
            <w:pPr>
              <w:pStyle w:val="ListParagraph"/>
              <w:numPr>
                <w:ilvl w:val="0"/>
                <w:numId w:val="14"/>
              </w:numPr>
            </w:pPr>
            <w:proofErr w:type="spellStart"/>
            <w:r w:rsidRPr="00AD60AE">
              <w:t>Birt</w:t>
            </w:r>
            <w:proofErr w:type="spellEnd"/>
            <w:r w:rsidRPr="00AD60AE">
              <w:t>-Hogg-Dube syndrome (BHD);</w:t>
            </w:r>
          </w:p>
          <w:p w14:paraId="44688D26" w14:textId="77777777" w:rsidR="004829E9" w:rsidRPr="00AD60AE" w:rsidRDefault="004829E9" w:rsidP="00AA4DCC">
            <w:pPr>
              <w:pStyle w:val="ListParagraph"/>
              <w:numPr>
                <w:ilvl w:val="0"/>
                <w:numId w:val="14"/>
              </w:numPr>
            </w:pPr>
            <w:r w:rsidRPr="00AD60AE">
              <w:t>Hereditary papillary renal carcinoma (Type 1 papillary);</w:t>
            </w:r>
          </w:p>
          <w:p w14:paraId="79FBC58A" w14:textId="77777777" w:rsidR="004829E9" w:rsidRPr="00AD60AE" w:rsidRDefault="004829E9" w:rsidP="00AA4DCC">
            <w:pPr>
              <w:pStyle w:val="ListParagraph"/>
              <w:numPr>
                <w:ilvl w:val="0"/>
                <w:numId w:val="14"/>
              </w:numPr>
            </w:pPr>
            <w:r w:rsidRPr="00AD60AE">
              <w:t xml:space="preserve">Hereditary </w:t>
            </w:r>
            <w:proofErr w:type="spellStart"/>
            <w:r w:rsidRPr="00AD60AE">
              <w:t>leiomyomatosis</w:t>
            </w:r>
            <w:proofErr w:type="spellEnd"/>
            <w:r w:rsidRPr="00AD60AE">
              <w:t xml:space="preserve"> and renal cell cancer (HLRCC);</w:t>
            </w:r>
          </w:p>
          <w:p w14:paraId="55F2D22D" w14:textId="5E98028F" w:rsidR="00E667AE" w:rsidRDefault="004829E9" w:rsidP="00AA4DCC">
            <w:pPr>
              <w:pStyle w:val="ListParagraph"/>
              <w:numPr>
                <w:ilvl w:val="0"/>
                <w:numId w:val="14"/>
              </w:numPr>
            </w:pPr>
            <w:r w:rsidRPr="00AD60AE">
              <w:t>Cowden syndrome</w:t>
            </w:r>
            <w:r w:rsidR="00D61DA2">
              <w:t>-</w:t>
            </w:r>
            <w:r w:rsidR="00D61DA2" w:rsidRPr="00D61DA2">
              <w:t>(</w:t>
            </w:r>
            <w:r w:rsidR="00D61DA2" w:rsidRPr="00E02CEB">
              <w:rPr>
                <w:i/>
              </w:rPr>
              <w:t>PTEN</w:t>
            </w:r>
            <w:r w:rsidR="00D61DA2" w:rsidRPr="00D61DA2">
              <w:t xml:space="preserve"> Hamartoma Tumo</w:t>
            </w:r>
            <w:r w:rsidR="001B2352">
              <w:t>u</w:t>
            </w:r>
            <w:r w:rsidR="00D61DA2" w:rsidRPr="00D61DA2">
              <w:t>r Syndrome spectrum)</w:t>
            </w:r>
            <w:r w:rsidR="00E667AE">
              <w:t>;</w:t>
            </w:r>
            <w:r w:rsidR="00D61DA2">
              <w:t xml:space="preserve"> </w:t>
            </w:r>
          </w:p>
          <w:p w14:paraId="00E05011" w14:textId="77777777" w:rsidR="00D678F0" w:rsidRPr="00AD60AE" w:rsidRDefault="00D678F0" w:rsidP="00AA4DCC">
            <w:pPr>
              <w:pStyle w:val="ListParagraph"/>
              <w:numPr>
                <w:ilvl w:val="0"/>
                <w:numId w:val="14"/>
              </w:numPr>
            </w:pPr>
            <w:r w:rsidRPr="00E02CEB">
              <w:rPr>
                <w:i/>
              </w:rPr>
              <w:t>BAP1</w:t>
            </w:r>
            <w:r w:rsidRPr="00AD60AE">
              <w:t xml:space="preserve">-associated cancer syndrome; </w:t>
            </w:r>
          </w:p>
          <w:p w14:paraId="6F7F40A2" w14:textId="7B7857DF" w:rsidR="00D61DA2" w:rsidRPr="00D61DA2" w:rsidRDefault="00D678F0" w:rsidP="00AA4DCC">
            <w:pPr>
              <w:pStyle w:val="ListParagraph"/>
              <w:numPr>
                <w:ilvl w:val="0"/>
                <w:numId w:val="14"/>
              </w:numPr>
            </w:pPr>
            <w:r w:rsidRPr="00E02CEB">
              <w:rPr>
                <w:i/>
              </w:rPr>
              <w:t>SDH</w:t>
            </w:r>
            <w:r>
              <w:rPr>
                <w:i/>
              </w:rPr>
              <w:t>-</w:t>
            </w:r>
            <w:r w:rsidRPr="009C5AB2">
              <w:t>associated renal cancer</w:t>
            </w:r>
            <w:r>
              <w:t xml:space="preserve"> (risk for phaeochromocytoma and p</w:t>
            </w:r>
            <w:r w:rsidRPr="00AD60AE">
              <w:t>araganglioma</w:t>
            </w:r>
            <w:r>
              <w:t>)</w:t>
            </w:r>
            <w:r w:rsidR="00E667AE">
              <w:t xml:space="preserve">; </w:t>
            </w:r>
          </w:p>
          <w:p w14:paraId="3D8F5889" w14:textId="52D002B1" w:rsidR="00543E05" w:rsidRPr="00E642F3" w:rsidRDefault="00D61DA2" w:rsidP="00543E05">
            <w:pPr>
              <w:pStyle w:val="ListParagraph"/>
              <w:numPr>
                <w:ilvl w:val="0"/>
                <w:numId w:val="14"/>
              </w:numPr>
              <w:rPr>
                <w:color w:val="000000" w:themeColor="text1"/>
              </w:rPr>
            </w:pPr>
            <w:r w:rsidRPr="00D61DA2">
              <w:t>Familial clear renal cell carcinoma with chromosome 3 translocation</w:t>
            </w:r>
            <w:r w:rsidR="00543E05">
              <w:t>;</w:t>
            </w:r>
          </w:p>
          <w:p w14:paraId="3F44678C" w14:textId="77777777" w:rsidR="00543E05" w:rsidRPr="00CC7D3E" w:rsidRDefault="00543E05" w:rsidP="00543E05">
            <w:pPr>
              <w:pStyle w:val="ListParagraph"/>
              <w:numPr>
                <w:ilvl w:val="0"/>
                <w:numId w:val="14"/>
              </w:numPr>
            </w:pPr>
            <w:r w:rsidRPr="00CC7D3E">
              <w:t>Microphthalmia-associated transcription factor (</w:t>
            </w:r>
            <w:proofErr w:type="spellStart"/>
            <w:r w:rsidRPr="00CC7D3E">
              <w:t>MiTF</w:t>
            </w:r>
            <w:proofErr w:type="spellEnd"/>
            <w:r w:rsidRPr="00CC7D3E">
              <w:t>)-associated renal cell carcinoma (RCC); and</w:t>
            </w:r>
          </w:p>
          <w:p w14:paraId="64FD2F9E" w14:textId="45C5FF5F" w:rsidR="004829E9" w:rsidRPr="00CC7D3E" w:rsidRDefault="00543E05" w:rsidP="00543E05">
            <w:pPr>
              <w:pStyle w:val="ListParagraph"/>
              <w:numPr>
                <w:ilvl w:val="0"/>
                <w:numId w:val="14"/>
              </w:numPr>
              <w:rPr>
                <w:color w:val="000000" w:themeColor="text1"/>
              </w:rPr>
            </w:pPr>
            <w:r w:rsidRPr="00CC7D3E">
              <w:t>Hereditary non-polyposis colon cancer (HNPCC; Lynch syndrome)</w:t>
            </w:r>
            <w:r w:rsidR="00E667AE" w:rsidRPr="00CC7D3E">
              <w:t>.</w:t>
            </w:r>
          </w:p>
          <w:p w14:paraId="2B181352" w14:textId="7C555259" w:rsidR="00B34266" w:rsidRPr="00B34266" w:rsidRDefault="00B34266" w:rsidP="005D2196">
            <w:pPr>
              <w:spacing w:after="120" w:line="22" w:lineRule="atLeast"/>
              <w:rPr>
                <w:color w:val="000000" w:themeColor="text1"/>
              </w:rPr>
            </w:pPr>
            <w:r>
              <w:t xml:space="preserve">While these are the currently defined conditions, </w:t>
            </w:r>
            <w:r w:rsidRPr="00F130F5">
              <w:t>other rare genetic disorders associated with the increased risk of developing renal tumours</w:t>
            </w:r>
            <w:r>
              <w:t xml:space="preserve"> are also intended to be eligible for this service.</w:t>
            </w:r>
          </w:p>
        </w:tc>
      </w:tr>
      <w:tr w:rsidR="004829E9" w:rsidRPr="00DA79F1" w14:paraId="7B451BAA" w14:textId="77777777" w:rsidTr="00637438">
        <w:tc>
          <w:tcPr>
            <w:tcW w:w="1005" w:type="pct"/>
            <w:hideMark/>
          </w:tcPr>
          <w:p w14:paraId="73D47D48" w14:textId="77777777" w:rsidR="004829E9" w:rsidRPr="00DA79F1" w:rsidRDefault="004829E9" w:rsidP="005D2196">
            <w:pPr>
              <w:spacing w:after="0" w:line="22" w:lineRule="atLeast"/>
            </w:pPr>
            <w:r w:rsidRPr="00DA79F1">
              <w:t xml:space="preserve">Prior tests </w:t>
            </w:r>
            <w:r w:rsidRPr="00DA79F1">
              <w:br/>
            </w:r>
          </w:p>
        </w:tc>
        <w:tc>
          <w:tcPr>
            <w:tcW w:w="3995" w:type="pct"/>
            <w:hideMark/>
          </w:tcPr>
          <w:p w14:paraId="10B49858" w14:textId="7531AF29" w:rsidR="004829E9" w:rsidRPr="00AD60AE" w:rsidRDefault="004829E9" w:rsidP="005D2196">
            <w:pPr>
              <w:spacing w:after="120" w:line="22" w:lineRule="atLeast"/>
            </w:pPr>
            <w:r w:rsidRPr="00AD60AE">
              <w:t xml:space="preserve">Previous </w:t>
            </w:r>
            <w:r w:rsidR="00AD60AE">
              <w:t xml:space="preserve">abdominal </w:t>
            </w:r>
            <w:r w:rsidR="00570208">
              <w:t>computed</w:t>
            </w:r>
            <w:r w:rsidRPr="00AD60AE">
              <w:t xml:space="preserve"> tomography (CT) scan, ultrasound (US), or MRI to identify benign or malignant </w:t>
            </w:r>
            <w:r w:rsidR="00AD60AE">
              <w:t xml:space="preserve">renal </w:t>
            </w:r>
            <w:r w:rsidRPr="00AD60AE">
              <w:t>tumours requiring treatment</w:t>
            </w:r>
            <w:r w:rsidR="00DE7BDE">
              <w:t xml:space="preserve"> </w:t>
            </w:r>
            <w:r w:rsidR="00DE7BDE" w:rsidRPr="002267DC">
              <w:rPr>
                <w:rFonts w:asciiTheme="minorHAnsi" w:hAnsiTheme="minorHAnsi" w:cstheme="minorHAnsi"/>
                <w:iCs w:val="0"/>
              </w:rPr>
              <w:t xml:space="preserve">followed by biopsy/histopathology to confirm </w:t>
            </w:r>
            <w:r w:rsidR="003E3644">
              <w:rPr>
                <w:rFonts w:asciiTheme="minorHAnsi" w:hAnsiTheme="minorHAnsi" w:cstheme="minorHAnsi"/>
                <w:iCs w:val="0"/>
              </w:rPr>
              <w:t>morphological diagnosis</w:t>
            </w:r>
            <w:r w:rsidR="00DE7BDE" w:rsidRPr="002267DC">
              <w:rPr>
                <w:rFonts w:asciiTheme="minorHAnsi" w:hAnsiTheme="minorHAnsi" w:cstheme="minorHAnsi"/>
                <w:iCs w:val="0"/>
              </w:rPr>
              <w:t xml:space="preserve"> of the tumour</w:t>
            </w:r>
          </w:p>
        </w:tc>
      </w:tr>
      <w:tr w:rsidR="004829E9" w:rsidRPr="00DA79F1" w14:paraId="3CD5A54E" w14:textId="77777777" w:rsidTr="00637438">
        <w:tc>
          <w:tcPr>
            <w:tcW w:w="1005" w:type="pct"/>
            <w:hideMark/>
          </w:tcPr>
          <w:p w14:paraId="254355B3" w14:textId="77777777" w:rsidR="004829E9" w:rsidRPr="00DA79F1" w:rsidRDefault="004829E9" w:rsidP="005D2196">
            <w:pPr>
              <w:spacing w:after="0" w:line="22" w:lineRule="atLeast"/>
            </w:pPr>
            <w:r w:rsidRPr="00DA79F1">
              <w:t>Intervention</w:t>
            </w:r>
          </w:p>
        </w:tc>
        <w:tc>
          <w:tcPr>
            <w:tcW w:w="3995" w:type="pct"/>
            <w:hideMark/>
          </w:tcPr>
          <w:p w14:paraId="233B8121" w14:textId="492E6B70" w:rsidR="004829E9" w:rsidRPr="00AD60AE" w:rsidRDefault="004829E9" w:rsidP="005D2196">
            <w:pPr>
              <w:spacing w:after="120" w:line="22" w:lineRule="atLeast"/>
            </w:pPr>
            <w:r w:rsidRPr="00AD60AE">
              <w:t>Magnetic Resonance Imaging (MRI) of the abdomen using gadolinium-based contrast</w:t>
            </w:r>
            <w:r w:rsidR="006E7D12">
              <w:t xml:space="preserve"> (where applicable)</w:t>
            </w:r>
            <w:r w:rsidRPr="00AD60AE">
              <w:t xml:space="preserve"> </w:t>
            </w:r>
            <w:r w:rsidR="006E7D12" w:rsidRPr="006E7D12">
              <w:t xml:space="preserve">to evaluate changes in clinical condition or suspected complications of known renal tumours arising between the annual surveillance MRI, </w:t>
            </w:r>
            <w:r w:rsidR="006E7D12">
              <w:t>or</w:t>
            </w:r>
            <w:r w:rsidR="006E7D12" w:rsidRPr="006E7D12">
              <w:t xml:space="preserve"> where a disease specific line of treatment has been initiated and an assessment of patient responsiveness to this treatment is required</w:t>
            </w:r>
            <w:r w:rsidR="006E7D12">
              <w:t xml:space="preserve">, no more than once per patient in a </w:t>
            </w:r>
            <w:r w:rsidR="00A55E53">
              <w:t>three-month</w:t>
            </w:r>
            <w:r w:rsidR="006E7D12">
              <w:t xml:space="preserve"> period.</w:t>
            </w:r>
          </w:p>
        </w:tc>
      </w:tr>
      <w:tr w:rsidR="004829E9" w:rsidRPr="00DA79F1" w14:paraId="6DF86E5C" w14:textId="77777777" w:rsidTr="00637438">
        <w:tc>
          <w:tcPr>
            <w:tcW w:w="1005" w:type="pct"/>
            <w:hideMark/>
          </w:tcPr>
          <w:p w14:paraId="6B3384C3" w14:textId="77777777" w:rsidR="004829E9" w:rsidRPr="00DA79F1" w:rsidRDefault="004829E9" w:rsidP="00CC7D3E">
            <w:pPr>
              <w:spacing w:after="120" w:line="22" w:lineRule="atLeast"/>
            </w:pPr>
            <w:r w:rsidRPr="00DA79F1">
              <w:t>Comparator/s</w:t>
            </w:r>
          </w:p>
        </w:tc>
        <w:tc>
          <w:tcPr>
            <w:tcW w:w="3995" w:type="pct"/>
            <w:hideMark/>
          </w:tcPr>
          <w:p w14:paraId="6B4C8AC0" w14:textId="0E19B900" w:rsidR="004829E9" w:rsidRDefault="00570208" w:rsidP="005D2196">
            <w:pPr>
              <w:spacing w:after="0" w:line="22" w:lineRule="atLeast"/>
            </w:pPr>
            <w:r>
              <w:t>Computed</w:t>
            </w:r>
            <w:r w:rsidR="004829E9" w:rsidRPr="004829E9">
              <w:t xml:space="preserve"> tomography (CT) scans or ultrasound </w:t>
            </w:r>
            <w:r>
              <w:t>(US)</w:t>
            </w:r>
          </w:p>
          <w:p w14:paraId="32792E78" w14:textId="60BA6F4B" w:rsidR="00145C62" w:rsidRPr="004829E9" w:rsidRDefault="00145C62" w:rsidP="005D2196">
            <w:pPr>
              <w:spacing w:after="0" w:line="22" w:lineRule="atLeast"/>
            </w:pPr>
          </w:p>
        </w:tc>
      </w:tr>
      <w:tr w:rsidR="004829E9" w:rsidRPr="00DA79F1" w14:paraId="49CFDDE9" w14:textId="77777777" w:rsidTr="00637438">
        <w:tc>
          <w:tcPr>
            <w:tcW w:w="1005" w:type="pct"/>
          </w:tcPr>
          <w:p w14:paraId="6EAEA52C" w14:textId="77777777" w:rsidR="004829E9" w:rsidRPr="00DA79F1" w:rsidRDefault="004829E9" w:rsidP="00CC7D3E">
            <w:pPr>
              <w:spacing w:after="120" w:line="22" w:lineRule="atLeast"/>
            </w:pPr>
            <w:r w:rsidRPr="00DA79F1">
              <w:t xml:space="preserve">Reference standard </w:t>
            </w:r>
          </w:p>
        </w:tc>
        <w:tc>
          <w:tcPr>
            <w:tcW w:w="3995" w:type="pct"/>
            <w:vAlign w:val="center"/>
          </w:tcPr>
          <w:p w14:paraId="3D037C99" w14:textId="14F837C4" w:rsidR="004829E9" w:rsidRPr="004829E9" w:rsidRDefault="00AD60AE" w:rsidP="005D2196">
            <w:pPr>
              <w:spacing w:after="0" w:line="22" w:lineRule="atLeast"/>
            </w:pPr>
            <w:r w:rsidRPr="004829E9">
              <w:t>Biopsy and histo</w:t>
            </w:r>
            <w:r>
              <w:t>pathology</w:t>
            </w:r>
            <w:r w:rsidR="000C4E3B">
              <w:t xml:space="preserve"> for morphological diagnosis,</w:t>
            </w:r>
            <w:r w:rsidRPr="004829E9">
              <w:t xml:space="preserve"> </w:t>
            </w:r>
            <w:r w:rsidR="000C4E3B">
              <w:t>and/</w:t>
            </w:r>
            <w:r w:rsidRPr="004829E9">
              <w:t>or CT or US.</w:t>
            </w:r>
          </w:p>
        </w:tc>
      </w:tr>
      <w:tr w:rsidR="004829E9" w:rsidRPr="00DA79F1" w14:paraId="56DF2464" w14:textId="77777777" w:rsidTr="00637438">
        <w:tc>
          <w:tcPr>
            <w:tcW w:w="1005" w:type="pct"/>
            <w:hideMark/>
          </w:tcPr>
          <w:p w14:paraId="468115CD" w14:textId="77777777" w:rsidR="004829E9" w:rsidRPr="00DA79F1" w:rsidRDefault="004829E9" w:rsidP="005D2196">
            <w:pPr>
              <w:spacing w:after="0" w:line="22" w:lineRule="atLeast"/>
            </w:pPr>
            <w:r w:rsidRPr="00DA79F1">
              <w:t>Outcomes</w:t>
            </w:r>
          </w:p>
        </w:tc>
        <w:tc>
          <w:tcPr>
            <w:tcW w:w="3995" w:type="pct"/>
            <w:hideMark/>
          </w:tcPr>
          <w:p w14:paraId="1E400707" w14:textId="77777777" w:rsidR="0060071E" w:rsidRPr="00DA79F1" w:rsidRDefault="0060071E" w:rsidP="005D2196">
            <w:pPr>
              <w:spacing w:after="0" w:line="22" w:lineRule="atLeast"/>
            </w:pPr>
            <w:r>
              <w:t>Safety</w:t>
            </w:r>
            <w:r w:rsidRPr="00DA79F1">
              <w:t xml:space="preserve"> outcomes:</w:t>
            </w:r>
          </w:p>
          <w:p w14:paraId="195A4866" w14:textId="77777777" w:rsidR="0060071E" w:rsidRPr="00E02CEB" w:rsidRDefault="0060071E" w:rsidP="00AA4DCC">
            <w:pPr>
              <w:pStyle w:val="paragraph"/>
              <w:numPr>
                <w:ilvl w:val="0"/>
                <w:numId w:val="15"/>
              </w:numPr>
              <w:spacing w:before="0" w:beforeAutospacing="0" w:after="0" w:afterAutospacing="0" w:line="22" w:lineRule="atLeast"/>
              <w:rPr>
                <w:rFonts w:ascii="Segoe UI" w:hAnsi="Segoe UI" w:cs="Segoe UI"/>
              </w:rPr>
            </w:pPr>
            <w:r w:rsidRPr="00E02CEB">
              <w:rPr>
                <w:rStyle w:val="normaltextrun"/>
                <w:rFonts w:ascii="Calibri" w:hAnsi="Calibri" w:cs="Calibri"/>
                <w:sz w:val="22"/>
              </w:rPr>
              <w:t>Adverse reaction to contrast agent</w:t>
            </w:r>
            <w:r>
              <w:rPr>
                <w:rStyle w:val="normaltextrun"/>
                <w:rFonts w:ascii="Calibri" w:hAnsi="Calibri" w:cs="Calibri"/>
                <w:sz w:val="22"/>
              </w:rPr>
              <w:t>.</w:t>
            </w:r>
            <w:r w:rsidRPr="00E02CEB">
              <w:rPr>
                <w:rStyle w:val="eop"/>
                <w:rFonts w:eastAsia="MS Gothic" w:cs="Calibri"/>
                <w:sz w:val="22"/>
              </w:rPr>
              <w:t> </w:t>
            </w:r>
          </w:p>
          <w:p w14:paraId="37983504" w14:textId="77777777" w:rsidR="0060071E" w:rsidRPr="00E02CEB" w:rsidRDefault="0060071E" w:rsidP="00AA4DCC">
            <w:pPr>
              <w:pStyle w:val="paragraph"/>
              <w:numPr>
                <w:ilvl w:val="0"/>
                <w:numId w:val="15"/>
              </w:numPr>
              <w:spacing w:before="0" w:beforeAutospacing="0" w:after="0" w:afterAutospacing="0" w:line="22" w:lineRule="atLeast"/>
              <w:rPr>
                <w:rFonts w:ascii="Segoe UI" w:hAnsi="Segoe UI" w:cs="Segoe UI"/>
              </w:rPr>
            </w:pPr>
            <w:r w:rsidRPr="00E02CEB">
              <w:rPr>
                <w:rStyle w:val="normaltextrun"/>
                <w:rFonts w:ascii="Calibri" w:hAnsi="Calibri" w:cs="Calibri"/>
                <w:sz w:val="22"/>
              </w:rPr>
              <w:t>Cumulative effects of multiple contrast agent injections</w:t>
            </w:r>
            <w:r>
              <w:rPr>
                <w:rStyle w:val="normaltextrun"/>
                <w:rFonts w:ascii="Calibri" w:hAnsi="Calibri" w:cs="Calibri"/>
                <w:sz w:val="22"/>
              </w:rPr>
              <w:t>.</w:t>
            </w:r>
            <w:r w:rsidRPr="00E02CEB">
              <w:rPr>
                <w:rStyle w:val="eop"/>
                <w:rFonts w:eastAsia="MS Gothic" w:cs="Calibri"/>
                <w:sz w:val="22"/>
              </w:rPr>
              <w:t> </w:t>
            </w:r>
          </w:p>
          <w:p w14:paraId="6536AAA0" w14:textId="77777777" w:rsidR="0060071E" w:rsidRPr="00E02CEB" w:rsidRDefault="0060071E" w:rsidP="00AA4DCC">
            <w:pPr>
              <w:pStyle w:val="paragraph"/>
              <w:numPr>
                <w:ilvl w:val="0"/>
                <w:numId w:val="15"/>
              </w:numPr>
              <w:spacing w:before="0" w:beforeAutospacing="0" w:after="0" w:afterAutospacing="0" w:line="22" w:lineRule="atLeast"/>
              <w:rPr>
                <w:rFonts w:ascii="Segoe UI" w:hAnsi="Segoe UI" w:cs="Segoe UI"/>
              </w:rPr>
            </w:pPr>
            <w:r w:rsidRPr="00E02CEB">
              <w:rPr>
                <w:rStyle w:val="normaltextrun"/>
                <w:rFonts w:ascii="Calibri" w:hAnsi="Calibri" w:cs="Calibri"/>
                <w:sz w:val="22"/>
              </w:rPr>
              <w:t>Claustrophobia requiring the administration of sedation or general anaesthetic</w:t>
            </w:r>
            <w:r>
              <w:rPr>
                <w:rStyle w:val="normaltextrun"/>
                <w:rFonts w:ascii="Calibri" w:hAnsi="Calibri" w:cs="Calibri"/>
                <w:sz w:val="22"/>
              </w:rPr>
              <w:t>.</w:t>
            </w:r>
            <w:r w:rsidRPr="00E02CEB">
              <w:rPr>
                <w:rStyle w:val="eop"/>
                <w:rFonts w:eastAsia="MS Gothic" w:cs="Calibri"/>
                <w:sz w:val="22"/>
              </w:rPr>
              <w:t> </w:t>
            </w:r>
          </w:p>
          <w:p w14:paraId="7D3CA399" w14:textId="77777777" w:rsidR="0060071E" w:rsidRPr="00E02CEB" w:rsidRDefault="0060071E" w:rsidP="00AA4DCC">
            <w:pPr>
              <w:pStyle w:val="paragraph"/>
              <w:numPr>
                <w:ilvl w:val="0"/>
                <w:numId w:val="15"/>
              </w:numPr>
              <w:spacing w:before="0" w:beforeAutospacing="0" w:after="0" w:afterAutospacing="0" w:line="22" w:lineRule="atLeast"/>
              <w:rPr>
                <w:rFonts w:ascii="Segoe UI" w:hAnsi="Segoe UI" w:cs="Segoe UI"/>
              </w:rPr>
            </w:pPr>
            <w:r>
              <w:rPr>
                <w:rStyle w:val="normaltextrun"/>
                <w:rFonts w:ascii="Calibri" w:hAnsi="Calibri" w:cs="Calibri"/>
                <w:sz w:val="22"/>
              </w:rPr>
              <w:t>H</w:t>
            </w:r>
            <w:r w:rsidRPr="00E02CEB">
              <w:rPr>
                <w:rStyle w:val="normaltextrun"/>
                <w:rFonts w:ascii="Calibri" w:hAnsi="Calibri" w:cs="Calibri"/>
                <w:sz w:val="22"/>
              </w:rPr>
              <w:t>arms from follow-up testing</w:t>
            </w:r>
            <w:r>
              <w:rPr>
                <w:rStyle w:val="normaltextrun"/>
                <w:rFonts w:ascii="Calibri" w:hAnsi="Calibri" w:cs="Calibri"/>
                <w:sz w:val="22"/>
              </w:rPr>
              <w:t>.</w:t>
            </w:r>
            <w:r w:rsidRPr="00E02CEB">
              <w:rPr>
                <w:rStyle w:val="eop"/>
                <w:rFonts w:eastAsia="MS Gothic" w:cs="Calibri"/>
                <w:sz w:val="22"/>
              </w:rPr>
              <w:t> </w:t>
            </w:r>
          </w:p>
          <w:p w14:paraId="1A5D1EDE" w14:textId="77777777" w:rsidR="0060071E" w:rsidRPr="00E02CEB" w:rsidRDefault="0060071E" w:rsidP="00AA4DCC">
            <w:pPr>
              <w:pStyle w:val="paragraph"/>
              <w:numPr>
                <w:ilvl w:val="0"/>
                <w:numId w:val="15"/>
              </w:numPr>
              <w:spacing w:before="0" w:beforeAutospacing="0" w:after="0" w:afterAutospacing="0" w:line="22" w:lineRule="atLeast"/>
              <w:rPr>
                <w:rStyle w:val="eop"/>
                <w:rFonts w:ascii="Segoe UI" w:hAnsi="Segoe UI" w:cs="Segoe UI"/>
                <w:sz w:val="22"/>
              </w:rPr>
            </w:pPr>
            <w:r w:rsidRPr="00E02CEB">
              <w:rPr>
                <w:rStyle w:val="normaltextrun"/>
                <w:rFonts w:ascii="Calibri" w:hAnsi="Calibri" w:cs="Calibri"/>
                <w:sz w:val="22"/>
              </w:rPr>
              <w:t>Other adverse events arising from</w:t>
            </w:r>
            <w:r>
              <w:rPr>
                <w:rStyle w:val="normaltextrun"/>
                <w:rFonts w:ascii="Calibri" w:hAnsi="Calibri" w:cs="Calibri"/>
                <w:sz w:val="22"/>
              </w:rPr>
              <w:t xml:space="preserve"> </w:t>
            </w:r>
            <w:r w:rsidRPr="00E02CEB">
              <w:rPr>
                <w:rStyle w:val="normaltextrun"/>
                <w:rFonts w:ascii="Calibri" w:hAnsi="Calibri" w:cs="Calibri"/>
                <w:sz w:val="22"/>
              </w:rPr>
              <w:t>MRI</w:t>
            </w:r>
            <w:r>
              <w:rPr>
                <w:rStyle w:val="normaltextrun"/>
                <w:rFonts w:ascii="Calibri" w:hAnsi="Calibri" w:cs="Calibri"/>
                <w:sz w:val="22"/>
              </w:rPr>
              <w:t>.</w:t>
            </w:r>
            <w:r w:rsidRPr="00E02CEB">
              <w:rPr>
                <w:rStyle w:val="eop"/>
                <w:rFonts w:eastAsia="MS Gothic" w:cs="Calibri"/>
                <w:sz w:val="22"/>
              </w:rPr>
              <w:t> </w:t>
            </w:r>
          </w:p>
          <w:p w14:paraId="245B2654" w14:textId="67BAC82C" w:rsidR="0060071E" w:rsidRDefault="0060071E" w:rsidP="00AA4DCC">
            <w:pPr>
              <w:pStyle w:val="ListParagraph"/>
              <w:numPr>
                <w:ilvl w:val="0"/>
                <w:numId w:val="15"/>
              </w:numPr>
            </w:pPr>
            <w:r w:rsidRPr="00E02CEB">
              <w:t>Exposure to ioni</w:t>
            </w:r>
            <w:r>
              <w:t>s</w:t>
            </w:r>
            <w:r w:rsidRPr="00E02CEB">
              <w:t>ing radiation.</w:t>
            </w:r>
          </w:p>
          <w:p w14:paraId="57DA3B82" w14:textId="77777777" w:rsidR="0060071E" w:rsidRPr="00E02CEB" w:rsidRDefault="0060071E" w:rsidP="00E70DE3">
            <w:pPr>
              <w:keepNext/>
              <w:spacing w:after="0" w:line="22" w:lineRule="atLeast"/>
            </w:pPr>
            <w:r>
              <w:lastRenderedPageBreak/>
              <w:t>Effectiveness outcomes:</w:t>
            </w:r>
          </w:p>
          <w:p w14:paraId="6A29CB25" w14:textId="77777777" w:rsidR="0060071E" w:rsidRPr="00AD60AE" w:rsidRDefault="0060071E" w:rsidP="00AA4DCC">
            <w:pPr>
              <w:pStyle w:val="ListParagraph"/>
              <w:numPr>
                <w:ilvl w:val="0"/>
                <w:numId w:val="15"/>
              </w:numPr>
            </w:pPr>
            <w:r>
              <w:t>M</w:t>
            </w:r>
            <w:r w:rsidRPr="00AD60AE">
              <w:t>ortality.</w:t>
            </w:r>
          </w:p>
          <w:p w14:paraId="60633596" w14:textId="77777777" w:rsidR="0060071E" w:rsidRDefault="0060071E" w:rsidP="00AA4DCC">
            <w:pPr>
              <w:pStyle w:val="ListParagraph"/>
              <w:numPr>
                <w:ilvl w:val="0"/>
                <w:numId w:val="15"/>
              </w:numPr>
            </w:pPr>
            <w:r>
              <w:t>T</w:t>
            </w:r>
            <w:r w:rsidRPr="00AD60AE">
              <w:t>ime to diagnosis of tumours.</w:t>
            </w:r>
          </w:p>
          <w:p w14:paraId="590BB1F4" w14:textId="107F8868" w:rsidR="0060071E" w:rsidRDefault="0060071E" w:rsidP="00AA4DCC">
            <w:pPr>
              <w:pStyle w:val="ListParagraph"/>
              <w:numPr>
                <w:ilvl w:val="0"/>
                <w:numId w:val="15"/>
              </w:numPr>
            </w:pPr>
            <w:r>
              <w:t>Monitoring growth</w:t>
            </w:r>
            <w:r w:rsidR="00543E05">
              <w:t xml:space="preserve">, </w:t>
            </w:r>
            <w:r w:rsidR="00543E05" w:rsidRPr="00543E05">
              <w:t>complications or recurrence</w:t>
            </w:r>
            <w:r>
              <w:t xml:space="preserve"> of tumours.</w:t>
            </w:r>
          </w:p>
          <w:p w14:paraId="30B6BE26" w14:textId="77777777" w:rsidR="0060071E" w:rsidRDefault="0060071E" w:rsidP="00AA4DCC">
            <w:pPr>
              <w:pStyle w:val="ListParagraph"/>
              <w:numPr>
                <w:ilvl w:val="0"/>
                <w:numId w:val="15"/>
              </w:numPr>
            </w:pPr>
            <w:r>
              <w:t>T</w:t>
            </w:r>
            <w:r w:rsidRPr="00AD60AE">
              <w:t>ime from diagnosis to treatment.</w:t>
            </w:r>
          </w:p>
          <w:p w14:paraId="6DA98FD8" w14:textId="6A6D6932" w:rsidR="0060071E" w:rsidRPr="00AD60AE" w:rsidRDefault="0060071E" w:rsidP="00AA4DCC">
            <w:pPr>
              <w:pStyle w:val="ListParagraph"/>
              <w:numPr>
                <w:ilvl w:val="0"/>
                <w:numId w:val="15"/>
              </w:numPr>
            </w:pPr>
            <w:r>
              <w:t>Assessing tumour response to treatment.</w:t>
            </w:r>
          </w:p>
          <w:p w14:paraId="1D003BB8" w14:textId="14DC81D4" w:rsidR="0060071E" w:rsidRDefault="0060071E" w:rsidP="00AA4DCC">
            <w:pPr>
              <w:pStyle w:val="ListParagraph"/>
              <w:numPr>
                <w:ilvl w:val="0"/>
                <w:numId w:val="15"/>
              </w:numPr>
            </w:pPr>
            <w:r>
              <w:t>Changes to</w:t>
            </w:r>
            <w:r w:rsidRPr="00AD60AE">
              <w:t xml:space="preserve"> management of treatment</w:t>
            </w:r>
            <w:r>
              <w:t>, for example</w:t>
            </w:r>
            <w:r w:rsidRPr="00AD60AE">
              <w:t>:</w:t>
            </w:r>
          </w:p>
          <w:p w14:paraId="2CFFCB33" w14:textId="77777777" w:rsidR="0060071E" w:rsidRDefault="0060071E" w:rsidP="00CC7D3E">
            <w:pPr>
              <w:pStyle w:val="ListParagraph"/>
              <w:numPr>
                <w:ilvl w:val="1"/>
                <w:numId w:val="28"/>
              </w:numPr>
              <w:ind w:left="1080" w:hanging="284"/>
            </w:pPr>
            <w:r>
              <w:t>use</w:t>
            </w:r>
            <w:r w:rsidRPr="00AD60AE">
              <w:t xml:space="preserve"> of mammalian target of rapamycin inhibitor (</w:t>
            </w:r>
            <w:proofErr w:type="spellStart"/>
            <w:r w:rsidRPr="00AD60AE">
              <w:t>mTORi</w:t>
            </w:r>
            <w:proofErr w:type="spellEnd"/>
            <w:r w:rsidRPr="00AD60AE">
              <w:t>) therapy (TSC)</w:t>
            </w:r>
            <w:r>
              <w:t xml:space="preserve">; </w:t>
            </w:r>
          </w:p>
          <w:p w14:paraId="6C2336B2" w14:textId="77777777" w:rsidR="0060071E" w:rsidRDefault="0060071E" w:rsidP="00CC7D3E">
            <w:pPr>
              <w:pStyle w:val="ListParagraph"/>
              <w:numPr>
                <w:ilvl w:val="1"/>
                <w:numId w:val="28"/>
              </w:numPr>
              <w:ind w:left="1080" w:hanging="284"/>
            </w:pPr>
            <w:r>
              <w:t xml:space="preserve">impacts on </w:t>
            </w:r>
            <w:r w:rsidRPr="00E02CEB">
              <w:t>emergency presentations for spontaneous</w:t>
            </w:r>
            <w:r>
              <w:t xml:space="preserve"> </w:t>
            </w:r>
            <w:r w:rsidRPr="00482E22">
              <w:rPr>
                <w:noProof/>
              </w:rPr>
              <w:t>angiomyolipomas</w:t>
            </w:r>
            <w:r w:rsidRPr="00E02CEB">
              <w:t xml:space="preserve"> </w:t>
            </w:r>
            <w:r>
              <w:t>(</w:t>
            </w:r>
            <w:r w:rsidRPr="00E02CEB">
              <w:t>AML</w:t>
            </w:r>
            <w:r>
              <w:t>)</w:t>
            </w:r>
            <w:r w:rsidRPr="00E02CEB">
              <w:t xml:space="preserve"> bleeding (TSC)</w:t>
            </w:r>
            <w:r>
              <w:t xml:space="preserve">; </w:t>
            </w:r>
          </w:p>
          <w:p w14:paraId="1DF63C55" w14:textId="77777777" w:rsidR="0060071E" w:rsidRPr="00E02CEB" w:rsidRDefault="0060071E" w:rsidP="00CC7D3E">
            <w:pPr>
              <w:pStyle w:val="ListParagraph"/>
              <w:numPr>
                <w:ilvl w:val="1"/>
                <w:numId w:val="28"/>
              </w:numPr>
              <w:ind w:left="1080" w:hanging="284"/>
            </w:pPr>
            <w:r w:rsidRPr="00AD60AE">
              <w:t>curative management</w:t>
            </w:r>
            <w:r>
              <w:t xml:space="preserve"> (surgical and/or </w:t>
            </w:r>
            <w:r w:rsidRPr="00AD60AE">
              <w:t>systemic cytotoxic therapy</w:t>
            </w:r>
            <w:r>
              <w:t>) for malignant tumours</w:t>
            </w:r>
            <w:r w:rsidRPr="00AD60AE">
              <w:t>.</w:t>
            </w:r>
          </w:p>
          <w:p w14:paraId="0A75517D" w14:textId="77777777" w:rsidR="0060071E" w:rsidRPr="00AD60AE" w:rsidRDefault="0060071E" w:rsidP="00AA4DCC">
            <w:pPr>
              <w:pStyle w:val="ListParagraph"/>
              <w:numPr>
                <w:ilvl w:val="0"/>
                <w:numId w:val="15"/>
              </w:numPr>
            </w:pPr>
            <w:r>
              <w:t>Q</w:t>
            </w:r>
            <w:r w:rsidRPr="00AD60AE">
              <w:t>uality of life.</w:t>
            </w:r>
          </w:p>
          <w:p w14:paraId="61E5C47D" w14:textId="24994390" w:rsidR="0060071E" w:rsidRDefault="0060071E" w:rsidP="005D2196">
            <w:pPr>
              <w:spacing w:after="0" w:line="22" w:lineRule="atLeast"/>
            </w:pPr>
            <w:r>
              <w:t>Test accuracy</w:t>
            </w:r>
            <w:r w:rsidR="00D678F0">
              <w:t xml:space="preserve"> outcomes</w:t>
            </w:r>
            <w:r>
              <w:t>:</w:t>
            </w:r>
          </w:p>
          <w:p w14:paraId="068AB434" w14:textId="77777777" w:rsidR="00D678F0" w:rsidRDefault="0060071E" w:rsidP="00AA4DCC">
            <w:pPr>
              <w:pStyle w:val="ListParagraph"/>
              <w:numPr>
                <w:ilvl w:val="0"/>
                <w:numId w:val="15"/>
              </w:numPr>
            </w:pPr>
            <w:r w:rsidRPr="003636A2">
              <w:t>Sensitivity and specificity compared to existing modalities.</w:t>
            </w:r>
          </w:p>
          <w:p w14:paraId="0C166165" w14:textId="77777777" w:rsidR="00D678F0" w:rsidRDefault="00D678F0" w:rsidP="005D2196">
            <w:pPr>
              <w:spacing w:after="0" w:line="22" w:lineRule="atLeast"/>
            </w:pPr>
            <w:r>
              <w:t>Economic outcomes:</w:t>
            </w:r>
          </w:p>
          <w:p w14:paraId="51A31E08" w14:textId="77777777" w:rsidR="00D678F0" w:rsidRPr="00447205" w:rsidRDefault="00D678F0" w:rsidP="00AA4DCC">
            <w:pPr>
              <w:pStyle w:val="ListParagraph"/>
              <w:numPr>
                <w:ilvl w:val="0"/>
                <w:numId w:val="15"/>
              </w:numPr>
            </w:pPr>
            <w:r w:rsidRPr="00447205">
              <w:t>Healthcare resources.</w:t>
            </w:r>
          </w:p>
          <w:p w14:paraId="79C3F78A" w14:textId="77777777" w:rsidR="00D678F0" w:rsidRPr="00447205" w:rsidRDefault="00D678F0" w:rsidP="00AA4DCC">
            <w:pPr>
              <w:pStyle w:val="ListParagraph"/>
              <w:numPr>
                <w:ilvl w:val="0"/>
                <w:numId w:val="15"/>
              </w:numPr>
            </w:pPr>
            <w:r w:rsidRPr="00447205">
              <w:t>Cost-</w:t>
            </w:r>
            <w:r w:rsidRPr="00125730">
              <w:t>effectiveness</w:t>
            </w:r>
            <w:r w:rsidRPr="00447205">
              <w:t>.</w:t>
            </w:r>
          </w:p>
          <w:p w14:paraId="2D23F0F1" w14:textId="3B66EFB5" w:rsidR="004829E9" w:rsidRPr="00AD60AE" w:rsidRDefault="00D678F0" w:rsidP="00CC7D3E">
            <w:pPr>
              <w:pStyle w:val="ListParagraph"/>
              <w:numPr>
                <w:ilvl w:val="0"/>
                <w:numId w:val="15"/>
              </w:numPr>
            </w:pPr>
            <w:r w:rsidRPr="00447205">
              <w:t xml:space="preserve">Total </w:t>
            </w:r>
            <w:r w:rsidRPr="005D2196">
              <w:t>Australian</w:t>
            </w:r>
            <w:r w:rsidRPr="00447205">
              <w:t xml:space="preserve"> Government healthcare costs.</w:t>
            </w:r>
          </w:p>
        </w:tc>
      </w:tr>
      <w:tr w:rsidR="004829E9" w:rsidRPr="00DA79F1" w14:paraId="02CE9872" w14:textId="77777777" w:rsidTr="00637438">
        <w:tc>
          <w:tcPr>
            <w:tcW w:w="1005" w:type="pct"/>
          </w:tcPr>
          <w:p w14:paraId="4983FE2C" w14:textId="77777777" w:rsidR="004829E9" w:rsidRPr="00DA79F1" w:rsidRDefault="004829E9" w:rsidP="005D2196">
            <w:pPr>
              <w:spacing w:after="0" w:line="259" w:lineRule="auto"/>
            </w:pPr>
            <w:r w:rsidRPr="00DA79F1">
              <w:lastRenderedPageBreak/>
              <w:t>Assessment questions</w:t>
            </w:r>
          </w:p>
        </w:tc>
        <w:tc>
          <w:tcPr>
            <w:tcW w:w="3995" w:type="pct"/>
          </w:tcPr>
          <w:p w14:paraId="67BAC2C3" w14:textId="0644BD92" w:rsidR="004829E9" w:rsidRPr="00DA79F1" w:rsidRDefault="00637438" w:rsidP="005D2196">
            <w:pPr>
              <w:spacing w:after="0" w:line="259" w:lineRule="auto"/>
            </w:pPr>
            <w:r w:rsidRPr="00637438">
              <w:t>What is the safety, effectiveness and cost-effectiveness of abdominal MRI versus US or CT for assessing changes in clinical condition, suspected complications or response to disease-specific therapeutic intervention in patients who have developed renal tumours associated with a rare heritable genetic condition?</w:t>
            </w:r>
          </w:p>
        </w:tc>
      </w:tr>
    </w:tbl>
    <w:p w14:paraId="031BCF14" w14:textId="77777777" w:rsidR="004829E9" w:rsidRDefault="004829E9" w:rsidP="005D2196">
      <w:pPr>
        <w:rPr>
          <w:rFonts w:ascii="Franklin Gothic Medium" w:eastAsiaTheme="majorEastAsia" w:hAnsi="Franklin Gothic Medium" w:cstheme="majorBidi"/>
          <w:color w:val="000000" w:themeColor="text1"/>
          <w:sz w:val="32"/>
          <w:szCs w:val="26"/>
        </w:rPr>
      </w:pPr>
      <w:r>
        <w:br w:type="page"/>
      </w:r>
    </w:p>
    <w:p w14:paraId="53297713" w14:textId="1854AA73" w:rsidR="00912660" w:rsidRPr="00DA79F1" w:rsidRDefault="00912660" w:rsidP="005D2196">
      <w:pPr>
        <w:pStyle w:val="Heading2"/>
      </w:pPr>
      <w:r w:rsidRPr="00DA79F1">
        <w:lastRenderedPageBreak/>
        <w:t>Purpose of application</w:t>
      </w:r>
    </w:p>
    <w:p w14:paraId="0E65AD1B" w14:textId="2E0F14BB" w:rsidR="004C2C5E" w:rsidRPr="00DA79F1" w:rsidRDefault="004C2C5E" w:rsidP="005D2196">
      <w:r w:rsidRPr="00DA79F1">
        <w:t>An application requesting Medicare Benefits Schedule (MBS) listing of</w:t>
      </w:r>
      <w:r w:rsidR="00CB22FB" w:rsidRPr="00DA79F1">
        <w:t xml:space="preserve"> abdominal magnetic resonance imaging (MRI)</w:t>
      </w:r>
      <w:r w:rsidR="00874223" w:rsidRPr="00DA79F1">
        <w:t xml:space="preserve"> for</w:t>
      </w:r>
      <w:r w:rsidR="00CB22FB" w:rsidRPr="00DA79F1">
        <w:t xml:space="preserve"> patients with rare genetic conditions associated with increased risk of renal tumours from Rare Voices Australia</w:t>
      </w:r>
      <w:r w:rsidR="00874223" w:rsidRPr="00DA79F1">
        <w:t xml:space="preserve"> </w:t>
      </w:r>
      <w:r w:rsidR="0084737B">
        <w:t xml:space="preserve">was received </w:t>
      </w:r>
      <w:r w:rsidRPr="00DA79F1">
        <w:t>by the Department of Health.</w:t>
      </w:r>
    </w:p>
    <w:p w14:paraId="5C628181" w14:textId="67F1ECC1" w:rsidR="00CB22FB" w:rsidRPr="00DA79F1" w:rsidRDefault="00CB22FB" w:rsidP="005D2196">
      <w:r w:rsidRPr="00DA79F1">
        <w:t>The application claimed that:</w:t>
      </w:r>
    </w:p>
    <w:p w14:paraId="2521679B" w14:textId="77777777" w:rsidR="00B651F7" w:rsidRDefault="00CB22FB" w:rsidP="00AA4DCC">
      <w:pPr>
        <w:pStyle w:val="ListParagraph"/>
        <w:numPr>
          <w:ilvl w:val="0"/>
          <w:numId w:val="16"/>
        </w:numPr>
      </w:pPr>
      <w:r w:rsidRPr="00482E22">
        <w:rPr>
          <w:noProof/>
        </w:rPr>
        <w:t>MRI was a superior diagnostic test compared to existing funded imaging modalities</w:t>
      </w:r>
      <w:r w:rsidR="00B651F7">
        <w:rPr>
          <w:noProof/>
        </w:rPr>
        <w:t>.</w:t>
      </w:r>
    </w:p>
    <w:p w14:paraId="480CC24D" w14:textId="02699270" w:rsidR="00CB22FB" w:rsidRPr="00482E22" w:rsidRDefault="00B651F7" w:rsidP="00AA4DCC">
      <w:pPr>
        <w:pStyle w:val="ListParagraph"/>
        <w:numPr>
          <w:ilvl w:val="0"/>
          <w:numId w:val="16"/>
        </w:numPr>
      </w:pPr>
      <w:r>
        <w:rPr>
          <w:noProof/>
        </w:rPr>
        <w:t xml:space="preserve">MRI was </w:t>
      </w:r>
      <w:r w:rsidR="00F130F5">
        <w:rPr>
          <w:noProof/>
        </w:rPr>
        <w:t xml:space="preserve">superior in terms of safety as it is </w:t>
      </w:r>
      <w:r>
        <w:rPr>
          <w:noProof/>
        </w:rPr>
        <w:t xml:space="preserve">associated with </w:t>
      </w:r>
      <w:r w:rsidR="00CB22FB" w:rsidRPr="00482E22">
        <w:rPr>
          <w:noProof/>
        </w:rPr>
        <w:t>decreased adverse effects compared to</w:t>
      </w:r>
      <w:r w:rsidR="00874223" w:rsidRPr="00482E22">
        <w:rPr>
          <w:noProof/>
        </w:rPr>
        <w:t xml:space="preserve"> </w:t>
      </w:r>
      <w:r w:rsidR="00570208">
        <w:rPr>
          <w:noProof/>
        </w:rPr>
        <w:t>computed</w:t>
      </w:r>
      <w:r w:rsidR="00874223" w:rsidRPr="00482E22">
        <w:rPr>
          <w:noProof/>
        </w:rPr>
        <w:t xml:space="preserve"> tomography</w:t>
      </w:r>
      <w:r w:rsidR="00CB22FB" w:rsidRPr="00482E22">
        <w:rPr>
          <w:noProof/>
        </w:rPr>
        <w:t xml:space="preserve"> </w:t>
      </w:r>
      <w:r w:rsidR="00874223" w:rsidRPr="00482E22">
        <w:rPr>
          <w:noProof/>
        </w:rPr>
        <w:t>(</w:t>
      </w:r>
      <w:r w:rsidR="00CB22FB" w:rsidRPr="00482E22">
        <w:rPr>
          <w:noProof/>
        </w:rPr>
        <w:t>CT</w:t>
      </w:r>
      <w:r w:rsidR="00874223" w:rsidRPr="00482E22">
        <w:rPr>
          <w:noProof/>
        </w:rPr>
        <w:t>)</w:t>
      </w:r>
      <w:r w:rsidR="00CB22FB" w:rsidRPr="00482E22">
        <w:rPr>
          <w:noProof/>
        </w:rPr>
        <w:t>.</w:t>
      </w:r>
    </w:p>
    <w:p w14:paraId="44E2E427" w14:textId="605909C3" w:rsidR="00CB22FB" w:rsidRPr="00482E22" w:rsidRDefault="00505317" w:rsidP="00AA4DCC">
      <w:pPr>
        <w:pStyle w:val="ListParagraph"/>
        <w:numPr>
          <w:ilvl w:val="0"/>
          <w:numId w:val="16"/>
        </w:numPr>
      </w:pPr>
      <w:r>
        <w:rPr>
          <w:noProof/>
        </w:rPr>
        <w:t xml:space="preserve">MRI </w:t>
      </w:r>
      <w:r w:rsidR="00F130F5">
        <w:rPr>
          <w:noProof/>
        </w:rPr>
        <w:t xml:space="preserve">was superior in terms of effectiveness as it </w:t>
      </w:r>
      <w:r>
        <w:rPr>
          <w:noProof/>
        </w:rPr>
        <w:t>provided an o</w:t>
      </w:r>
      <w:r w:rsidR="00CB22FB" w:rsidRPr="00482E22">
        <w:rPr>
          <w:noProof/>
        </w:rPr>
        <w:t xml:space="preserve">verall benefit in mortality through reduction in catastrophic bleeding from </w:t>
      </w:r>
      <w:r w:rsidR="00874223" w:rsidRPr="00482E22">
        <w:rPr>
          <w:noProof/>
        </w:rPr>
        <w:t>angiomyolipomas (</w:t>
      </w:r>
      <w:r w:rsidR="00CB22FB" w:rsidRPr="00482E22">
        <w:rPr>
          <w:noProof/>
        </w:rPr>
        <w:t>AMLs</w:t>
      </w:r>
      <w:r w:rsidR="00874223" w:rsidRPr="00482E22">
        <w:rPr>
          <w:noProof/>
        </w:rPr>
        <w:t>)</w:t>
      </w:r>
      <w:r w:rsidR="00CB22FB" w:rsidRPr="00482E22">
        <w:rPr>
          <w:noProof/>
        </w:rPr>
        <w:t xml:space="preserve"> and improved outcomes of malignant tumours through early diagnosis</w:t>
      </w:r>
      <w:r w:rsidR="0084737B" w:rsidRPr="00482E22">
        <w:rPr>
          <w:noProof/>
        </w:rPr>
        <w:t>.</w:t>
      </w:r>
    </w:p>
    <w:p w14:paraId="3F0653A4" w14:textId="14EDD749" w:rsidR="00AD60AE" w:rsidRPr="005D2196" w:rsidRDefault="00AD60AE" w:rsidP="005D2196">
      <w:r w:rsidRPr="005D2196">
        <w:t>The application requests MBS listing of MRI for (</w:t>
      </w:r>
      <w:proofErr w:type="spellStart"/>
      <w:r w:rsidRPr="005D2196">
        <w:t>i</w:t>
      </w:r>
      <w:proofErr w:type="spellEnd"/>
      <w:r w:rsidRPr="005D2196">
        <w:t>) annual surveillance and (ii) assessment of re</w:t>
      </w:r>
      <w:r w:rsidR="00482E22" w:rsidRPr="005D2196">
        <w:t>s</w:t>
      </w:r>
      <w:r w:rsidRPr="005D2196">
        <w:t>pon</w:t>
      </w:r>
      <w:r w:rsidR="00482E22" w:rsidRPr="005D2196">
        <w:t>s</w:t>
      </w:r>
      <w:r w:rsidRPr="005D2196">
        <w:t>e to treatment</w:t>
      </w:r>
      <w:r w:rsidR="00482E22" w:rsidRPr="005D2196">
        <w:t xml:space="preserve"> three to six months post initiation of treatment. As such, there are two PICO </w:t>
      </w:r>
      <w:r w:rsidR="00D66DA6">
        <w:t>S</w:t>
      </w:r>
      <w:r w:rsidR="00482E22" w:rsidRPr="005D2196">
        <w:t>ets, which differ with respect to (</w:t>
      </w:r>
      <w:proofErr w:type="spellStart"/>
      <w:r w:rsidR="00482E22" w:rsidRPr="005D2196">
        <w:t>i</w:t>
      </w:r>
      <w:proofErr w:type="spellEnd"/>
      <w:r w:rsidR="00482E22" w:rsidRPr="005D2196">
        <w:t>) the patient population and (ii) the intervention (</w:t>
      </w:r>
      <w:r w:rsidR="00B30220" w:rsidRPr="00EF0979" w:rsidDel="00B30220">
        <w:t xml:space="preserve"> </w:t>
      </w:r>
      <w:r w:rsidR="00D66DA6" w:rsidRPr="00EF0979">
        <w:t>(a) surveillance versus (b) assessment of complications or changes in clinical condition or response to disease-specific therapeutic intervention)</w:t>
      </w:r>
      <w:r w:rsidR="00482E22" w:rsidRPr="005D2196">
        <w:t xml:space="preserve">. There are no differences between the PICO </w:t>
      </w:r>
      <w:r w:rsidR="00D66DA6">
        <w:t>S</w:t>
      </w:r>
      <w:r w:rsidR="00482E22" w:rsidRPr="005D2196">
        <w:t xml:space="preserve">ets with regard to the comparator and </w:t>
      </w:r>
      <w:r w:rsidR="00D66DA6">
        <w:t xml:space="preserve">most </w:t>
      </w:r>
      <w:r w:rsidR="00D66DA6" w:rsidRPr="005D2196">
        <w:t>outcomes</w:t>
      </w:r>
      <w:r w:rsidR="00D66DA6">
        <w:t xml:space="preserve"> (those related to one PICO Set are explicitly reported as such)</w:t>
      </w:r>
      <w:r w:rsidR="00482E22" w:rsidRPr="005D2196">
        <w:t>. To avoid unnecessary duplication, the ‘</w:t>
      </w:r>
      <w:r w:rsidR="00B34266" w:rsidRPr="005D2196">
        <w:t>P</w:t>
      </w:r>
      <w:r w:rsidR="00482E22" w:rsidRPr="005D2196">
        <w:t>opulation’, ‘</w:t>
      </w:r>
      <w:r w:rsidR="00B34266" w:rsidRPr="005D2196">
        <w:t>I</w:t>
      </w:r>
      <w:r w:rsidR="00482E22" w:rsidRPr="005D2196">
        <w:t>ntervention’</w:t>
      </w:r>
      <w:r w:rsidR="00D66DA6">
        <w:t xml:space="preserve">, </w:t>
      </w:r>
      <w:r w:rsidR="00D66DA6" w:rsidRPr="002267DC">
        <w:t>‘Reference Standard’</w:t>
      </w:r>
      <w:r w:rsidR="00482E22" w:rsidRPr="005D2196">
        <w:t xml:space="preserve"> and ‘</w:t>
      </w:r>
      <w:r w:rsidR="00B34266" w:rsidRPr="005D2196">
        <w:t>P</w:t>
      </w:r>
      <w:r w:rsidR="00482E22" w:rsidRPr="005D2196">
        <w:t xml:space="preserve">roposal for public funding’ sections of this PICO Confirmation will </w:t>
      </w:r>
      <w:r w:rsidR="00B13C96" w:rsidRPr="005D2196">
        <w:t xml:space="preserve">be split to describe the characteristics of these with respect to the PICO </w:t>
      </w:r>
      <w:r w:rsidR="00EF0979">
        <w:t>S</w:t>
      </w:r>
      <w:r w:rsidR="00B13C96" w:rsidRPr="005D2196">
        <w:t xml:space="preserve">et, all other sections are relevant to both PICO </w:t>
      </w:r>
      <w:r w:rsidR="00EF0979">
        <w:t>S</w:t>
      </w:r>
      <w:r w:rsidR="00B13C96" w:rsidRPr="005D2196">
        <w:t>ets.</w:t>
      </w:r>
    </w:p>
    <w:p w14:paraId="18E66948" w14:textId="77777777" w:rsidR="00D73332" w:rsidRPr="00DA79F1" w:rsidRDefault="00D73332" w:rsidP="005D2196">
      <w:pPr>
        <w:pStyle w:val="Heading2"/>
      </w:pPr>
      <w:r w:rsidRPr="00DA79F1">
        <w:t xml:space="preserve">PICO </w:t>
      </w:r>
      <w:r w:rsidR="00FD4E33" w:rsidRPr="00DA79F1">
        <w:t xml:space="preserve">criteria </w:t>
      </w:r>
    </w:p>
    <w:p w14:paraId="06B30611" w14:textId="77777777" w:rsidR="007D6B83" w:rsidRPr="00DA79F1" w:rsidRDefault="007D6B83" w:rsidP="005D2196">
      <w:pPr>
        <w:pStyle w:val="Heading3"/>
      </w:pPr>
      <w:r w:rsidRPr="00DA79F1">
        <w:t>Population</w:t>
      </w:r>
    </w:p>
    <w:p w14:paraId="15F1A8BA" w14:textId="543DADD4" w:rsidR="00482E22" w:rsidRPr="005D2196" w:rsidRDefault="00482E22" w:rsidP="005D2196">
      <w:pPr>
        <w:pStyle w:val="Heading4"/>
        <w:spacing w:after="120"/>
        <w:rPr>
          <w:u w:val="single"/>
        </w:rPr>
      </w:pPr>
      <w:r w:rsidRPr="005D2196">
        <w:rPr>
          <w:u w:val="single"/>
        </w:rPr>
        <w:t>PICO Set 1</w:t>
      </w:r>
    </w:p>
    <w:p w14:paraId="0C2DA6D2" w14:textId="2C37C81F" w:rsidR="00921A3A" w:rsidRDefault="00CB22FB" w:rsidP="005D2196">
      <w:r w:rsidRPr="00DA79F1">
        <w:t xml:space="preserve">The population is patients with rare defined genetic conditions that are strongly associated with the </w:t>
      </w:r>
      <w:r w:rsidRPr="005D2196">
        <w:t>development</w:t>
      </w:r>
      <w:r w:rsidRPr="00DA79F1">
        <w:t xml:space="preserve"> of renal tumours over time</w:t>
      </w:r>
      <w:r w:rsidR="00921A3A">
        <w:t>, who may or may not be currently undergoing</w:t>
      </w:r>
      <w:r w:rsidR="00DB0A10">
        <w:t xml:space="preserve"> stable,</w:t>
      </w:r>
      <w:r w:rsidR="00921A3A">
        <w:t xml:space="preserve"> disease-specific therapy</w:t>
      </w:r>
      <w:r w:rsidRPr="00DA79F1">
        <w:t xml:space="preserve">. </w:t>
      </w:r>
    </w:p>
    <w:p w14:paraId="7B93FDB6" w14:textId="78410630" w:rsidR="00CB22FB" w:rsidRPr="00DA79F1" w:rsidRDefault="00CB22FB" w:rsidP="00135F3D">
      <w:pPr>
        <w:spacing w:after="0"/>
      </w:pPr>
      <w:r w:rsidRPr="00DA79F1">
        <w:t xml:space="preserve">These conditions </w:t>
      </w:r>
      <w:r w:rsidR="009C5AB2">
        <w:t>are currently defined as</w:t>
      </w:r>
      <w:r w:rsidRPr="00DA79F1">
        <w:t>:</w:t>
      </w:r>
    </w:p>
    <w:p w14:paraId="432BBD45" w14:textId="77777777" w:rsidR="00482E22" w:rsidRPr="00AD60AE" w:rsidRDefault="00482E22" w:rsidP="00AA4DCC">
      <w:pPr>
        <w:pStyle w:val="ListParagraph"/>
        <w:numPr>
          <w:ilvl w:val="0"/>
          <w:numId w:val="14"/>
        </w:numPr>
      </w:pPr>
      <w:r w:rsidRPr="00AD60AE">
        <w:t>Tuberous Sclerosis Complex (TSC);</w:t>
      </w:r>
    </w:p>
    <w:p w14:paraId="0008CAED" w14:textId="77777777" w:rsidR="00482E22" w:rsidRPr="00AD60AE" w:rsidRDefault="00482E22" w:rsidP="00AA4DCC">
      <w:pPr>
        <w:pStyle w:val="ListParagraph"/>
        <w:numPr>
          <w:ilvl w:val="0"/>
          <w:numId w:val="14"/>
        </w:numPr>
      </w:pPr>
      <w:r w:rsidRPr="00AD60AE">
        <w:t xml:space="preserve">Von Hippel-Lindau disease (VHL); </w:t>
      </w:r>
    </w:p>
    <w:p w14:paraId="6C5D84D1" w14:textId="77777777" w:rsidR="00482E22" w:rsidRPr="00AD60AE" w:rsidRDefault="00482E22" w:rsidP="00AA4DCC">
      <w:pPr>
        <w:pStyle w:val="ListParagraph"/>
        <w:numPr>
          <w:ilvl w:val="0"/>
          <w:numId w:val="14"/>
        </w:numPr>
      </w:pPr>
      <w:proofErr w:type="spellStart"/>
      <w:r w:rsidRPr="00AD60AE">
        <w:t>Birt</w:t>
      </w:r>
      <w:proofErr w:type="spellEnd"/>
      <w:r w:rsidRPr="00AD60AE">
        <w:t>-Hogg-Dube syndrome (BHD);</w:t>
      </w:r>
    </w:p>
    <w:p w14:paraId="5ABD31E6" w14:textId="77777777" w:rsidR="00482E22" w:rsidRPr="00AD60AE" w:rsidRDefault="00482E22" w:rsidP="00AA4DCC">
      <w:pPr>
        <w:pStyle w:val="ListParagraph"/>
        <w:numPr>
          <w:ilvl w:val="0"/>
          <w:numId w:val="14"/>
        </w:numPr>
      </w:pPr>
      <w:r w:rsidRPr="00AD60AE">
        <w:t>Hereditary papillary renal carcinoma (Type 1 papillary);</w:t>
      </w:r>
    </w:p>
    <w:p w14:paraId="2730224B" w14:textId="77777777" w:rsidR="00482E22" w:rsidRPr="00AD60AE" w:rsidRDefault="00482E22" w:rsidP="00AA4DCC">
      <w:pPr>
        <w:pStyle w:val="ListParagraph"/>
        <w:numPr>
          <w:ilvl w:val="0"/>
          <w:numId w:val="14"/>
        </w:numPr>
      </w:pPr>
      <w:r w:rsidRPr="00AD60AE">
        <w:t xml:space="preserve">Hereditary </w:t>
      </w:r>
      <w:proofErr w:type="spellStart"/>
      <w:r w:rsidRPr="00AD60AE">
        <w:t>leiomyomatosis</w:t>
      </w:r>
      <w:proofErr w:type="spellEnd"/>
      <w:r w:rsidRPr="00AD60AE">
        <w:t xml:space="preserve"> and renal cell cancer (HLRCC);</w:t>
      </w:r>
    </w:p>
    <w:p w14:paraId="7CA053A3" w14:textId="45CC2478" w:rsidR="00482E22" w:rsidRPr="00AD60AE" w:rsidRDefault="00482E22" w:rsidP="00AA4DCC">
      <w:pPr>
        <w:pStyle w:val="ListParagraph"/>
        <w:numPr>
          <w:ilvl w:val="0"/>
          <w:numId w:val="14"/>
        </w:numPr>
      </w:pPr>
      <w:r w:rsidRPr="00AD60AE">
        <w:t>Cowden syndrome</w:t>
      </w:r>
      <w:r w:rsidR="00D61DA2">
        <w:t xml:space="preserve"> </w:t>
      </w:r>
      <w:r w:rsidR="00D61DA2" w:rsidRPr="00D61DA2">
        <w:t>(</w:t>
      </w:r>
      <w:r w:rsidR="00D61DA2" w:rsidRPr="001B2352">
        <w:rPr>
          <w:i/>
        </w:rPr>
        <w:t>PTEN</w:t>
      </w:r>
      <w:r w:rsidR="00D61DA2" w:rsidRPr="00D61DA2">
        <w:t xml:space="preserve"> Hamartoma </w:t>
      </w:r>
      <w:proofErr w:type="spellStart"/>
      <w:r w:rsidR="00D61DA2" w:rsidRPr="00D61DA2">
        <w:t>Tumor</w:t>
      </w:r>
      <w:proofErr w:type="spellEnd"/>
      <w:r w:rsidR="00D61DA2" w:rsidRPr="00D61DA2">
        <w:t xml:space="preserve"> Syndrome spectrum)</w:t>
      </w:r>
      <w:r w:rsidR="00D61DA2">
        <w:t xml:space="preserve"> </w:t>
      </w:r>
      <w:r w:rsidRPr="00AD60AE">
        <w:t xml:space="preserve">; </w:t>
      </w:r>
    </w:p>
    <w:p w14:paraId="2DB57D7E" w14:textId="52FB617F" w:rsidR="00482E22" w:rsidRPr="00AD60AE" w:rsidRDefault="00482E22" w:rsidP="00AA4DCC">
      <w:pPr>
        <w:pStyle w:val="ListParagraph"/>
        <w:numPr>
          <w:ilvl w:val="0"/>
          <w:numId w:val="14"/>
        </w:numPr>
      </w:pPr>
      <w:r w:rsidRPr="00A57735">
        <w:rPr>
          <w:i/>
        </w:rPr>
        <w:t>BAP1</w:t>
      </w:r>
      <w:r w:rsidRPr="00AD60AE">
        <w:t xml:space="preserve">-associated cancer syndrome; </w:t>
      </w:r>
    </w:p>
    <w:p w14:paraId="6C628044" w14:textId="28A482AE" w:rsidR="00D61DA2" w:rsidRPr="00D61DA2" w:rsidRDefault="00D61DA2" w:rsidP="00AA4DCC">
      <w:pPr>
        <w:pStyle w:val="ListParagraph"/>
        <w:numPr>
          <w:ilvl w:val="0"/>
          <w:numId w:val="14"/>
        </w:numPr>
      </w:pPr>
      <w:r w:rsidRPr="001B2352">
        <w:rPr>
          <w:i/>
        </w:rPr>
        <w:t>SDH</w:t>
      </w:r>
      <w:r w:rsidR="00A57735" w:rsidRPr="00A57735">
        <w:t>-</w:t>
      </w:r>
      <w:r w:rsidRPr="00A57735">
        <w:t xml:space="preserve">associated </w:t>
      </w:r>
      <w:r w:rsidRPr="00D61DA2">
        <w:t>renal cancer (risk for phaeoc</w:t>
      </w:r>
      <w:r w:rsidR="001B2352">
        <w:t>h</w:t>
      </w:r>
      <w:r w:rsidRPr="00D61DA2">
        <w:t>romocytoma and paraganglioma)</w:t>
      </w:r>
      <w:r w:rsidR="00A57735">
        <w:t>; and</w:t>
      </w:r>
    </w:p>
    <w:p w14:paraId="1D680137" w14:textId="56137231" w:rsidR="00DD6981" w:rsidRDefault="00D61DA2" w:rsidP="00AA4DCC">
      <w:pPr>
        <w:pStyle w:val="ListParagraph"/>
        <w:numPr>
          <w:ilvl w:val="0"/>
          <w:numId w:val="14"/>
        </w:numPr>
      </w:pPr>
      <w:r w:rsidRPr="00D61DA2">
        <w:t>Familial clear renal cell carcinoma with chromosome 3 translocation</w:t>
      </w:r>
      <w:r w:rsidR="00A57735">
        <w:t>.</w:t>
      </w:r>
    </w:p>
    <w:p w14:paraId="5CF47229" w14:textId="32D27A06" w:rsidR="00D66DA6" w:rsidRPr="00D66DA6" w:rsidRDefault="00D66DA6" w:rsidP="00D66DA6">
      <w:pPr>
        <w:spacing w:after="0"/>
        <w:rPr>
          <w:i/>
          <w:iCs w:val="0"/>
        </w:rPr>
      </w:pPr>
      <w:r w:rsidRPr="00D66DA6">
        <w:rPr>
          <w:i/>
          <w:iCs w:val="0"/>
        </w:rPr>
        <w:lastRenderedPageBreak/>
        <w:t xml:space="preserve">PASC noted that two further syndromes </w:t>
      </w:r>
      <w:r w:rsidR="000A7C30">
        <w:rPr>
          <w:i/>
          <w:iCs w:val="0"/>
        </w:rPr>
        <w:t>could</w:t>
      </w:r>
      <w:r w:rsidRPr="00D66DA6">
        <w:rPr>
          <w:i/>
          <w:iCs w:val="0"/>
        </w:rPr>
        <w:t xml:space="preserve"> be included in both PICO </w:t>
      </w:r>
      <w:r w:rsidR="00EF0979">
        <w:rPr>
          <w:i/>
          <w:iCs w:val="0"/>
        </w:rPr>
        <w:t>S</w:t>
      </w:r>
      <w:r w:rsidRPr="00D66DA6">
        <w:rPr>
          <w:i/>
          <w:iCs w:val="0"/>
        </w:rPr>
        <w:t xml:space="preserve">ets: </w:t>
      </w:r>
    </w:p>
    <w:p w14:paraId="28CC733A" w14:textId="4D4FE9AF" w:rsidR="00D66DA6" w:rsidRPr="00D66DA6" w:rsidRDefault="00D66DA6" w:rsidP="008404A1">
      <w:pPr>
        <w:pStyle w:val="ListParagraph"/>
        <w:numPr>
          <w:ilvl w:val="0"/>
          <w:numId w:val="48"/>
        </w:numPr>
        <w:rPr>
          <w:i/>
          <w:iCs w:val="0"/>
        </w:rPr>
      </w:pPr>
      <w:r w:rsidRPr="00D66DA6">
        <w:rPr>
          <w:i/>
          <w:iCs w:val="0"/>
        </w:rPr>
        <w:t>Microphthalmia-associated transcription factor (</w:t>
      </w:r>
      <w:proofErr w:type="spellStart"/>
      <w:r w:rsidRPr="00D66DA6">
        <w:rPr>
          <w:i/>
          <w:iCs w:val="0"/>
        </w:rPr>
        <w:t>MiTF</w:t>
      </w:r>
      <w:proofErr w:type="spellEnd"/>
      <w:r w:rsidRPr="00D66DA6">
        <w:rPr>
          <w:i/>
          <w:iCs w:val="0"/>
        </w:rPr>
        <w:t xml:space="preserve">)-associated </w:t>
      </w:r>
      <w:r w:rsidR="00EF0979">
        <w:rPr>
          <w:i/>
          <w:iCs w:val="0"/>
        </w:rPr>
        <w:t>renal cell carcinoma (</w:t>
      </w:r>
      <w:r w:rsidRPr="00D66DA6">
        <w:rPr>
          <w:i/>
          <w:iCs w:val="0"/>
        </w:rPr>
        <w:t>RCC</w:t>
      </w:r>
      <w:r w:rsidR="00EF0979">
        <w:rPr>
          <w:i/>
          <w:iCs w:val="0"/>
        </w:rPr>
        <w:t>)</w:t>
      </w:r>
      <w:r>
        <w:rPr>
          <w:i/>
          <w:iCs w:val="0"/>
        </w:rPr>
        <w:t>; and</w:t>
      </w:r>
    </w:p>
    <w:p w14:paraId="5984F9C9" w14:textId="22230D70" w:rsidR="00D66DA6" w:rsidRPr="002267DC" w:rsidRDefault="00D66DA6" w:rsidP="008404A1">
      <w:pPr>
        <w:pStyle w:val="ListParagraph"/>
        <w:numPr>
          <w:ilvl w:val="0"/>
          <w:numId w:val="48"/>
        </w:numPr>
      </w:pPr>
      <w:r w:rsidRPr="00D66DA6">
        <w:rPr>
          <w:i/>
          <w:iCs w:val="0"/>
        </w:rPr>
        <w:t>Hereditary non-polyposis colon cancer (HNPCC; Lynch syndrome</w:t>
      </w:r>
      <w:r w:rsidR="00FE11CE">
        <w:rPr>
          <w:i/>
          <w:iCs w:val="0"/>
        </w:rPr>
        <w:t xml:space="preserve"> - </w:t>
      </w:r>
      <w:r w:rsidR="00FE11CE">
        <w:rPr>
          <w:rFonts w:asciiTheme="minorHAnsi" w:hAnsiTheme="minorHAnsi" w:cstheme="minorHAnsi"/>
          <w:i/>
        </w:rPr>
        <w:t>associated with an increased risk of urothelial cancers [often high-grade and with a propensity to occur in the upper urinary tract]</w:t>
      </w:r>
      <w:r>
        <w:rPr>
          <w:i/>
          <w:iCs w:val="0"/>
        </w:rPr>
        <w:t>).</w:t>
      </w:r>
    </w:p>
    <w:p w14:paraId="3A1DD217" w14:textId="77777777" w:rsidR="00FE11CE" w:rsidRDefault="00FE11CE" w:rsidP="002267DC">
      <w:pPr>
        <w:pStyle w:val="ListParagraph"/>
        <w:numPr>
          <w:ilvl w:val="0"/>
          <w:numId w:val="48"/>
        </w:numPr>
        <w:autoSpaceDE w:val="0"/>
        <w:autoSpaceDN w:val="0"/>
        <w:adjustRightInd w:val="0"/>
        <w:spacing w:line="23" w:lineRule="atLeast"/>
        <w:rPr>
          <w:rFonts w:asciiTheme="minorHAnsi" w:hAnsiTheme="minorHAnsi" w:cstheme="minorHAnsi"/>
          <w:i/>
        </w:rPr>
      </w:pPr>
      <w:r>
        <w:rPr>
          <w:rFonts w:asciiTheme="minorHAnsi" w:hAnsiTheme="minorHAnsi" w:cstheme="minorHAnsi"/>
          <w:i/>
        </w:rPr>
        <w:t>Additional syndromes are likely to be identified over time.</w:t>
      </w:r>
    </w:p>
    <w:p w14:paraId="6122B685" w14:textId="16F53F2A" w:rsidR="00CB22FB" w:rsidRPr="005D2196" w:rsidRDefault="00B7053F" w:rsidP="00D66DA6">
      <w:r w:rsidRPr="005D2196">
        <w:t>Each of these syndromes has its own molecular alteration, and these are often reflected in distinctive histologic features and clinical course (</w:t>
      </w:r>
      <w:proofErr w:type="spellStart"/>
      <w:r w:rsidR="000E1320" w:rsidRPr="005D2196">
        <w:t>Choueri</w:t>
      </w:r>
      <w:proofErr w:type="spellEnd"/>
      <w:r w:rsidR="000E1320" w:rsidRPr="005D2196">
        <w:t xml:space="preserve"> 2022</w:t>
      </w:r>
      <w:r w:rsidRPr="005D2196">
        <w:t xml:space="preserve">). </w:t>
      </w:r>
      <w:r w:rsidR="00CB22FB" w:rsidRPr="005D2196">
        <w:t>The application note</w:t>
      </w:r>
      <w:r w:rsidR="00310AE5" w:rsidRPr="005D2196">
        <w:t>s</w:t>
      </w:r>
      <w:r w:rsidR="00CB22FB" w:rsidRPr="005D2196">
        <w:t xml:space="preserve"> that </w:t>
      </w:r>
      <w:r w:rsidR="009F2567" w:rsidRPr="005D2196">
        <w:t>t</w:t>
      </w:r>
      <w:r w:rsidR="00CB22FB" w:rsidRPr="005D2196">
        <w:t xml:space="preserve">hese inheritable conditions are together responsible for </w:t>
      </w:r>
      <w:r w:rsidR="006B0BE0" w:rsidRPr="005D2196">
        <w:t>approximately</w:t>
      </w:r>
      <w:r w:rsidR="00CB22FB" w:rsidRPr="005D2196">
        <w:t xml:space="preserve"> 4% of all renal tumours (</w:t>
      </w:r>
      <w:r w:rsidR="009F2567" w:rsidRPr="005D2196">
        <w:t>Lineman 2001)</w:t>
      </w:r>
      <w:r w:rsidR="0084737B" w:rsidRPr="005D2196">
        <w:t>.</w:t>
      </w:r>
    </w:p>
    <w:p w14:paraId="5E1993C6" w14:textId="6A0B8EF0" w:rsidR="00F130F5" w:rsidRPr="005D2196" w:rsidRDefault="00F130F5" w:rsidP="005D2196">
      <w:r w:rsidRPr="005D2196">
        <w:t xml:space="preserve">While these are the currently defined conditions, other rare genetic disorders associated with the increased risk of developing renal tumours are also intended to be </w:t>
      </w:r>
      <w:r w:rsidR="00B34266" w:rsidRPr="005D2196">
        <w:t>eligible for this service</w:t>
      </w:r>
      <w:r w:rsidRPr="005D2196">
        <w:t>.</w:t>
      </w:r>
    </w:p>
    <w:p w14:paraId="03C00D65" w14:textId="2DD0BE76" w:rsidR="00CB22FB" w:rsidRPr="005D2196" w:rsidRDefault="009F2567" w:rsidP="005D2196">
      <w:r w:rsidRPr="005D2196">
        <w:fldChar w:fldCharType="begin"/>
      </w:r>
      <w:r w:rsidRPr="005D2196">
        <w:instrText xml:space="preserve"> REF _Ref96868497 \h  \* MERGEFORMAT </w:instrText>
      </w:r>
      <w:r w:rsidRPr="005D2196">
        <w:fldChar w:fldCharType="separate"/>
      </w:r>
      <w:r w:rsidR="0069673F" w:rsidRPr="0069673F">
        <w:t>Table 3</w:t>
      </w:r>
      <w:r w:rsidRPr="005D2196">
        <w:fldChar w:fldCharType="end"/>
      </w:r>
      <w:r w:rsidRPr="005D2196">
        <w:t xml:space="preserve"> </w:t>
      </w:r>
      <w:r w:rsidR="00CB22FB" w:rsidRPr="005D2196">
        <w:t xml:space="preserve">presents a brief summary of key characteristics of each </w:t>
      </w:r>
      <w:r w:rsidR="00F130F5" w:rsidRPr="005D2196">
        <w:t xml:space="preserve">currently defined </w:t>
      </w:r>
      <w:r w:rsidR="00CB22FB" w:rsidRPr="005D2196">
        <w:t>condition.</w:t>
      </w:r>
    </w:p>
    <w:p w14:paraId="6A11B3D1" w14:textId="1142700B" w:rsidR="00CB22FB" w:rsidRPr="00DA79F1" w:rsidRDefault="009F2567" w:rsidP="005D2196">
      <w:pPr>
        <w:keepNext/>
        <w:spacing w:after="0" w:line="259" w:lineRule="auto"/>
        <w:rPr>
          <w:rStyle w:val="CommentReference"/>
          <w:rFonts w:ascii="Arial Narrow" w:hAnsi="Arial Narrow"/>
          <w:b/>
          <w:bCs/>
          <w:color w:val="000000" w:themeColor="text1"/>
          <w:sz w:val="20"/>
          <w:szCs w:val="20"/>
        </w:rPr>
      </w:pPr>
      <w:bookmarkStart w:id="5" w:name="_Ref96868497"/>
      <w:r w:rsidRPr="00B13C96">
        <w:rPr>
          <w:rStyle w:val="CommentReference"/>
          <w:rFonts w:ascii="Arial Narrow" w:hAnsi="Arial Narrow"/>
          <w:b/>
          <w:bCs/>
          <w:color w:val="000000" w:themeColor="text1"/>
          <w:sz w:val="20"/>
          <w:szCs w:val="20"/>
        </w:rPr>
        <w:t>Table </w:t>
      </w:r>
      <w:r w:rsidRPr="00B13C96">
        <w:rPr>
          <w:rStyle w:val="CommentReference"/>
          <w:rFonts w:ascii="Arial Narrow" w:hAnsi="Arial Narrow"/>
          <w:b/>
          <w:bCs/>
          <w:color w:val="000000" w:themeColor="text1"/>
          <w:sz w:val="20"/>
          <w:szCs w:val="20"/>
        </w:rPr>
        <w:fldChar w:fldCharType="begin"/>
      </w:r>
      <w:r w:rsidRPr="00B13C96">
        <w:rPr>
          <w:rStyle w:val="CommentReference"/>
          <w:rFonts w:ascii="Arial Narrow" w:hAnsi="Arial Narrow"/>
          <w:b/>
          <w:bCs/>
          <w:color w:val="000000" w:themeColor="text1"/>
          <w:sz w:val="20"/>
          <w:szCs w:val="20"/>
        </w:rPr>
        <w:instrText xml:space="preserve"> SEQ Table \* ARABIC </w:instrText>
      </w:r>
      <w:r w:rsidRPr="00B13C96">
        <w:rPr>
          <w:rStyle w:val="CommentReference"/>
          <w:rFonts w:ascii="Arial Narrow" w:hAnsi="Arial Narrow"/>
          <w:b/>
          <w:bCs/>
          <w:color w:val="000000" w:themeColor="text1"/>
          <w:sz w:val="20"/>
          <w:szCs w:val="20"/>
        </w:rPr>
        <w:fldChar w:fldCharType="separate"/>
      </w:r>
      <w:r w:rsidR="0069673F">
        <w:rPr>
          <w:rStyle w:val="CommentReference"/>
          <w:rFonts w:ascii="Arial Narrow" w:hAnsi="Arial Narrow"/>
          <w:b/>
          <w:bCs/>
          <w:noProof/>
          <w:color w:val="000000" w:themeColor="text1"/>
          <w:sz w:val="20"/>
          <w:szCs w:val="20"/>
        </w:rPr>
        <w:t>3</w:t>
      </w:r>
      <w:r w:rsidRPr="00B13C96">
        <w:rPr>
          <w:rStyle w:val="CommentReference"/>
          <w:rFonts w:ascii="Arial Narrow" w:hAnsi="Arial Narrow"/>
          <w:b/>
          <w:bCs/>
          <w:color w:val="000000" w:themeColor="text1"/>
          <w:sz w:val="20"/>
          <w:szCs w:val="20"/>
        </w:rPr>
        <w:fldChar w:fldCharType="end"/>
      </w:r>
      <w:bookmarkEnd w:id="5"/>
      <w:r w:rsidR="002E6C8D">
        <w:rPr>
          <w:rStyle w:val="CommentReference"/>
          <w:rFonts w:ascii="Arial Narrow" w:hAnsi="Arial Narrow"/>
          <w:b/>
          <w:bCs/>
          <w:color w:val="000000" w:themeColor="text1"/>
          <w:sz w:val="20"/>
          <w:szCs w:val="20"/>
        </w:rPr>
        <w:tab/>
      </w:r>
      <w:r w:rsidR="00CB22FB" w:rsidRPr="00DA79F1">
        <w:rPr>
          <w:rStyle w:val="CommentReference"/>
          <w:rFonts w:ascii="Arial Narrow" w:hAnsi="Arial Narrow"/>
          <w:b/>
          <w:bCs/>
          <w:color w:val="000000" w:themeColor="text1"/>
          <w:sz w:val="20"/>
          <w:szCs w:val="20"/>
        </w:rPr>
        <w:t xml:space="preserve">Clinical and molecular </w:t>
      </w:r>
      <w:r w:rsidR="00CB22FB" w:rsidRPr="005D2196">
        <w:rPr>
          <w:rStyle w:val="CommentReference"/>
          <w:rFonts w:ascii="Arial Narrow" w:eastAsia="Times New Roman" w:hAnsi="Arial Narrow"/>
          <w:b/>
          <w:bCs/>
          <w:iCs w:val="0"/>
          <w:color w:val="000000" w:themeColor="text1"/>
          <w:sz w:val="20"/>
          <w:szCs w:val="20"/>
        </w:rPr>
        <w:t>characteristics</w:t>
      </w:r>
      <w:r w:rsidR="00CB22FB" w:rsidRPr="00DA79F1">
        <w:rPr>
          <w:rStyle w:val="CommentReference"/>
          <w:rFonts w:ascii="Arial Narrow" w:hAnsi="Arial Narrow"/>
          <w:b/>
          <w:bCs/>
          <w:color w:val="000000" w:themeColor="text1"/>
          <w:sz w:val="20"/>
          <w:szCs w:val="20"/>
        </w:rPr>
        <w:t xml:space="preserve"> of the most common hereditary kidney </w:t>
      </w:r>
      <w:r w:rsidR="00C71549">
        <w:rPr>
          <w:rStyle w:val="CommentReference"/>
          <w:rFonts w:ascii="Arial Narrow" w:hAnsi="Arial Narrow"/>
          <w:b/>
          <w:bCs/>
          <w:color w:val="000000" w:themeColor="text1"/>
          <w:sz w:val="20"/>
          <w:szCs w:val="20"/>
        </w:rPr>
        <w:t>tumour</w:t>
      </w:r>
      <w:r w:rsidR="00CB22FB" w:rsidRPr="00DA79F1">
        <w:rPr>
          <w:rStyle w:val="CommentReference"/>
          <w:rFonts w:ascii="Arial Narrow" w:hAnsi="Arial Narrow"/>
          <w:b/>
          <w:bCs/>
          <w:color w:val="000000" w:themeColor="text1"/>
          <w:sz w:val="20"/>
          <w:szCs w:val="20"/>
        </w:rPr>
        <w:t xml:space="preserve"> syndromes</w:t>
      </w:r>
    </w:p>
    <w:tbl>
      <w:tblPr>
        <w:tblStyle w:val="TableGrid"/>
        <w:tblW w:w="9378" w:type="dxa"/>
        <w:tblInd w:w="0" w:type="dxa"/>
        <w:tblCellMar>
          <w:left w:w="57" w:type="dxa"/>
          <w:right w:w="57" w:type="dxa"/>
        </w:tblCellMar>
        <w:tblLook w:val="04A0" w:firstRow="1" w:lastRow="0" w:firstColumn="1" w:lastColumn="0" w:noHBand="0" w:noVBand="1"/>
      </w:tblPr>
      <w:tblGrid>
        <w:gridCol w:w="1872"/>
        <w:gridCol w:w="1646"/>
        <w:gridCol w:w="2525"/>
        <w:gridCol w:w="3335"/>
      </w:tblGrid>
      <w:tr w:rsidR="006C24D7" w:rsidRPr="00B13C96" w14:paraId="72856536" w14:textId="77777777" w:rsidTr="00CC7D3E">
        <w:trPr>
          <w:tblHeader/>
        </w:trPr>
        <w:tc>
          <w:tcPr>
            <w:tcW w:w="1872" w:type="dxa"/>
          </w:tcPr>
          <w:p w14:paraId="19BC28A6" w14:textId="24C6895B" w:rsidR="006C24D7" w:rsidRPr="005D2196" w:rsidRDefault="00E82916" w:rsidP="005D2196">
            <w:pPr>
              <w:keepNext/>
              <w:spacing w:before="40" w:after="40" w:line="240" w:lineRule="auto"/>
              <w:rPr>
                <w:rStyle w:val="CommentReference"/>
                <w:rFonts w:ascii="Arial Narrow" w:eastAsia="Times New Roman" w:hAnsi="Arial Narrow"/>
                <w:b/>
                <w:bCs/>
                <w:iCs w:val="0"/>
                <w:color w:val="000000" w:themeColor="text1"/>
                <w:sz w:val="20"/>
                <w:szCs w:val="20"/>
              </w:rPr>
            </w:pPr>
            <w:r w:rsidRPr="005D2196">
              <w:rPr>
                <w:rStyle w:val="CommentReference"/>
                <w:rFonts w:ascii="Arial Narrow" w:eastAsia="Times New Roman" w:hAnsi="Arial Narrow"/>
                <w:b/>
                <w:bCs/>
                <w:iCs w:val="0"/>
                <w:color w:val="000000" w:themeColor="text1"/>
                <w:sz w:val="20"/>
                <w:szCs w:val="20"/>
              </w:rPr>
              <w:t>Syndrome</w:t>
            </w:r>
          </w:p>
        </w:tc>
        <w:tc>
          <w:tcPr>
            <w:tcW w:w="1646" w:type="dxa"/>
            <w:vAlign w:val="center"/>
          </w:tcPr>
          <w:p w14:paraId="62701F13" w14:textId="4A415A35" w:rsidR="006C24D7" w:rsidRPr="005D2196" w:rsidRDefault="006C24D7" w:rsidP="005D2196">
            <w:pPr>
              <w:keepNext/>
              <w:spacing w:before="40" w:after="40" w:line="240" w:lineRule="auto"/>
              <w:rPr>
                <w:rStyle w:val="CommentReference"/>
                <w:rFonts w:ascii="Arial Narrow" w:eastAsia="Times New Roman" w:hAnsi="Arial Narrow"/>
                <w:b/>
                <w:bCs/>
                <w:iCs w:val="0"/>
                <w:color w:val="000000" w:themeColor="text1"/>
                <w:sz w:val="20"/>
                <w:szCs w:val="20"/>
              </w:rPr>
            </w:pPr>
            <w:r w:rsidRPr="005D2196">
              <w:rPr>
                <w:rStyle w:val="CommentReference"/>
                <w:rFonts w:ascii="Arial Narrow" w:eastAsia="Times New Roman" w:hAnsi="Arial Narrow"/>
                <w:b/>
                <w:bCs/>
                <w:iCs w:val="0"/>
                <w:color w:val="000000" w:themeColor="text1"/>
                <w:sz w:val="20"/>
                <w:szCs w:val="20"/>
              </w:rPr>
              <w:t>Gene (OMIM #)</w:t>
            </w:r>
          </w:p>
        </w:tc>
        <w:tc>
          <w:tcPr>
            <w:tcW w:w="2525" w:type="dxa"/>
            <w:vAlign w:val="center"/>
          </w:tcPr>
          <w:p w14:paraId="7AAF3817" w14:textId="6604D7C9" w:rsidR="006C24D7" w:rsidRPr="005D2196" w:rsidRDefault="006C24D7" w:rsidP="005D2196">
            <w:pPr>
              <w:keepNext/>
              <w:spacing w:before="40" w:after="40" w:line="240" w:lineRule="auto"/>
              <w:rPr>
                <w:rStyle w:val="CommentReference"/>
                <w:rFonts w:ascii="Arial Narrow" w:eastAsia="Times New Roman" w:hAnsi="Arial Narrow"/>
                <w:b/>
                <w:bCs/>
                <w:iCs w:val="0"/>
                <w:color w:val="000000" w:themeColor="text1"/>
                <w:sz w:val="20"/>
                <w:szCs w:val="20"/>
              </w:rPr>
            </w:pPr>
            <w:r w:rsidRPr="005D2196">
              <w:rPr>
                <w:rStyle w:val="CommentReference"/>
                <w:rFonts w:ascii="Arial Narrow" w:eastAsia="Times New Roman" w:hAnsi="Arial Narrow"/>
                <w:b/>
                <w:bCs/>
                <w:iCs w:val="0"/>
                <w:color w:val="000000" w:themeColor="text1"/>
                <w:sz w:val="20"/>
                <w:szCs w:val="20"/>
              </w:rPr>
              <w:t>Major clinical presentations</w:t>
            </w:r>
          </w:p>
        </w:tc>
        <w:tc>
          <w:tcPr>
            <w:tcW w:w="3335" w:type="dxa"/>
          </w:tcPr>
          <w:p w14:paraId="2F07CF6F" w14:textId="095D9409" w:rsidR="006C24D7" w:rsidRPr="005D2196" w:rsidRDefault="006B0BE0" w:rsidP="005D2196">
            <w:pPr>
              <w:keepNext/>
              <w:spacing w:before="40" w:after="40" w:line="240" w:lineRule="auto"/>
              <w:rPr>
                <w:rStyle w:val="CommentReference"/>
                <w:rFonts w:ascii="Arial Narrow" w:eastAsia="Times New Roman" w:hAnsi="Arial Narrow"/>
                <w:b/>
                <w:bCs/>
                <w:iCs w:val="0"/>
                <w:color w:val="000000" w:themeColor="text1"/>
                <w:sz w:val="20"/>
                <w:szCs w:val="20"/>
              </w:rPr>
            </w:pPr>
            <w:r w:rsidRPr="005D2196">
              <w:rPr>
                <w:rStyle w:val="CommentReference"/>
                <w:rFonts w:ascii="Arial Narrow" w:eastAsia="Times New Roman" w:hAnsi="Arial Narrow"/>
                <w:b/>
                <w:bCs/>
                <w:iCs w:val="0"/>
                <w:color w:val="000000" w:themeColor="text1"/>
                <w:sz w:val="20"/>
                <w:szCs w:val="20"/>
              </w:rPr>
              <w:t>Frequency/rarity</w:t>
            </w:r>
          </w:p>
        </w:tc>
      </w:tr>
      <w:tr w:rsidR="006C24D7" w:rsidRPr="00B13C96" w14:paraId="3FA0CE38" w14:textId="77777777" w:rsidTr="00CC7D3E">
        <w:tc>
          <w:tcPr>
            <w:tcW w:w="1872" w:type="dxa"/>
          </w:tcPr>
          <w:p w14:paraId="0288ABE7" w14:textId="3AE7F1A0" w:rsidR="006C24D7" w:rsidRPr="00B13C96" w:rsidRDefault="006C24D7" w:rsidP="005D2196">
            <w:pPr>
              <w:spacing w:before="40" w:after="40" w:line="240" w:lineRule="auto"/>
              <w:rPr>
                <w:rStyle w:val="CommentReference"/>
                <w:rFonts w:ascii="Arial Narrow" w:hAnsi="Arial Narrow"/>
                <w:sz w:val="20"/>
                <w:szCs w:val="20"/>
              </w:rPr>
            </w:pPr>
            <w:r w:rsidRPr="00B13C96">
              <w:rPr>
                <w:rStyle w:val="CommentReference"/>
                <w:rFonts w:ascii="Arial Narrow" w:hAnsi="Arial Narrow"/>
                <w:sz w:val="20"/>
                <w:szCs w:val="20"/>
              </w:rPr>
              <w:t>Tuberous Sclerosis Complex</w:t>
            </w:r>
            <w:r w:rsidR="00B13C96" w:rsidRPr="00B13C96">
              <w:rPr>
                <w:rStyle w:val="CommentReference"/>
                <w:rFonts w:ascii="Arial Narrow" w:hAnsi="Arial Narrow"/>
                <w:sz w:val="20"/>
                <w:szCs w:val="20"/>
              </w:rPr>
              <w:t xml:space="preserve"> (TSC)</w:t>
            </w:r>
          </w:p>
        </w:tc>
        <w:tc>
          <w:tcPr>
            <w:tcW w:w="1646" w:type="dxa"/>
          </w:tcPr>
          <w:p w14:paraId="503763F4" w14:textId="3935CA6F" w:rsidR="006C24D7" w:rsidRPr="00B13C96" w:rsidRDefault="006C24D7" w:rsidP="005D2196">
            <w:pPr>
              <w:spacing w:before="40" w:after="40" w:line="240" w:lineRule="auto"/>
              <w:rPr>
                <w:rStyle w:val="CommentReference"/>
                <w:rFonts w:ascii="Arial Narrow" w:hAnsi="Arial Narrow"/>
                <w:sz w:val="20"/>
                <w:szCs w:val="20"/>
              </w:rPr>
            </w:pPr>
            <w:r w:rsidRPr="00921A3A">
              <w:rPr>
                <w:rStyle w:val="CommentReference"/>
                <w:rFonts w:ascii="Arial Narrow" w:hAnsi="Arial Narrow"/>
                <w:i/>
                <w:iCs w:val="0"/>
                <w:sz w:val="20"/>
                <w:szCs w:val="20"/>
              </w:rPr>
              <w:t>TSC1</w:t>
            </w:r>
            <w:r w:rsidRPr="00B13C96">
              <w:rPr>
                <w:rStyle w:val="CommentReference"/>
                <w:rFonts w:ascii="Arial Narrow" w:hAnsi="Arial Narrow"/>
                <w:sz w:val="20"/>
                <w:szCs w:val="20"/>
              </w:rPr>
              <w:t xml:space="preserve"> (191100), </w:t>
            </w:r>
            <w:r w:rsidRPr="00C51790">
              <w:rPr>
                <w:rStyle w:val="CommentReference"/>
                <w:rFonts w:ascii="Arial Narrow" w:hAnsi="Arial Narrow"/>
                <w:i/>
                <w:iCs w:val="0"/>
                <w:sz w:val="20"/>
                <w:szCs w:val="20"/>
              </w:rPr>
              <w:t>TSC2</w:t>
            </w:r>
            <w:r w:rsidRPr="00B13C96">
              <w:rPr>
                <w:rStyle w:val="CommentReference"/>
                <w:rFonts w:ascii="Arial Narrow" w:hAnsi="Arial Narrow"/>
                <w:sz w:val="20"/>
                <w:szCs w:val="20"/>
              </w:rPr>
              <w:t xml:space="preserve"> (191092)</w:t>
            </w:r>
          </w:p>
        </w:tc>
        <w:tc>
          <w:tcPr>
            <w:tcW w:w="2525" w:type="dxa"/>
          </w:tcPr>
          <w:p w14:paraId="1208CA55" w14:textId="5D56B344" w:rsidR="006C24D7" w:rsidRPr="00B13C96" w:rsidRDefault="006C24D7" w:rsidP="005D2196">
            <w:pPr>
              <w:spacing w:before="40" w:after="40" w:line="240" w:lineRule="auto"/>
              <w:rPr>
                <w:rStyle w:val="CommentReference"/>
                <w:rFonts w:ascii="Arial Narrow" w:hAnsi="Arial Narrow"/>
                <w:sz w:val="20"/>
                <w:szCs w:val="20"/>
              </w:rPr>
            </w:pPr>
            <w:r w:rsidRPr="00B13C96">
              <w:rPr>
                <w:rStyle w:val="CommentReference"/>
                <w:rFonts w:ascii="Arial Narrow" w:hAnsi="Arial Narrow"/>
                <w:sz w:val="20"/>
                <w:szCs w:val="20"/>
              </w:rPr>
              <w:t>(</w:t>
            </w:r>
            <w:r w:rsidR="00EC0A06" w:rsidRPr="00B13C96">
              <w:rPr>
                <w:rStyle w:val="CommentReference"/>
                <w:rFonts w:ascii="Arial Narrow" w:hAnsi="Arial Narrow"/>
                <w:sz w:val="20"/>
                <w:szCs w:val="20"/>
              </w:rPr>
              <w:t>Discussed</w:t>
            </w:r>
            <w:r w:rsidRPr="00B13C96">
              <w:rPr>
                <w:rStyle w:val="CommentReference"/>
                <w:rFonts w:ascii="Arial Narrow" w:hAnsi="Arial Narrow"/>
                <w:sz w:val="20"/>
                <w:szCs w:val="20"/>
              </w:rPr>
              <w:t xml:space="preserve"> below)</w:t>
            </w:r>
          </w:p>
        </w:tc>
        <w:tc>
          <w:tcPr>
            <w:tcW w:w="3335" w:type="dxa"/>
          </w:tcPr>
          <w:p w14:paraId="7646CC5B" w14:textId="4C60FD28" w:rsidR="006C24D7" w:rsidRPr="00B13C96" w:rsidRDefault="006C24D7" w:rsidP="005D2196">
            <w:pPr>
              <w:spacing w:before="40" w:after="40" w:line="240" w:lineRule="auto"/>
              <w:rPr>
                <w:rStyle w:val="CommentReference"/>
                <w:rFonts w:ascii="Arial Narrow" w:hAnsi="Arial Narrow"/>
                <w:sz w:val="20"/>
                <w:szCs w:val="20"/>
              </w:rPr>
            </w:pPr>
            <w:r w:rsidRPr="00B13C96">
              <w:rPr>
                <w:rStyle w:val="CommentReference"/>
                <w:rFonts w:ascii="Arial Narrow" w:hAnsi="Arial Narrow"/>
                <w:sz w:val="20"/>
                <w:szCs w:val="20"/>
              </w:rPr>
              <w:t>Incidence of 1:6,000 and prevalence of 8.8:100, 000</w:t>
            </w:r>
            <w:r w:rsidR="00415F6E" w:rsidRPr="00B13C96">
              <w:rPr>
                <w:rStyle w:val="CommentReference"/>
                <w:rFonts w:ascii="Arial Narrow" w:hAnsi="Arial Narrow"/>
                <w:sz w:val="20"/>
                <w:szCs w:val="20"/>
              </w:rPr>
              <w:t xml:space="preserve"> (O’Callaghan 1998 and Osborne 1991) </w:t>
            </w:r>
            <w:r w:rsidRPr="00B13C96">
              <w:rPr>
                <w:rStyle w:val="CommentReference"/>
                <w:rFonts w:ascii="Arial Narrow" w:hAnsi="Arial Narrow"/>
                <w:sz w:val="20"/>
                <w:szCs w:val="20"/>
              </w:rPr>
              <w:t>.</w:t>
            </w:r>
          </w:p>
        </w:tc>
      </w:tr>
      <w:tr w:rsidR="006C24D7" w:rsidRPr="00B13C96" w14:paraId="6E3186EC" w14:textId="77777777" w:rsidTr="00CC7D3E">
        <w:tc>
          <w:tcPr>
            <w:tcW w:w="1872" w:type="dxa"/>
          </w:tcPr>
          <w:p w14:paraId="17141EE6" w14:textId="4FA011F1" w:rsidR="006C24D7" w:rsidRPr="00B13C96" w:rsidRDefault="006C24D7" w:rsidP="005D2196">
            <w:pPr>
              <w:spacing w:before="40" w:after="40" w:line="240" w:lineRule="auto"/>
              <w:rPr>
                <w:rStyle w:val="CommentReference"/>
                <w:rFonts w:ascii="Arial Narrow" w:hAnsi="Arial Narrow"/>
                <w:sz w:val="20"/>
                <w:szCs w:val="20"/>
              </w:rPr>
            </w:pPr>
            <w:r w:rsidRPr="00B13C96">
              <w:rPr>
                <w:rStyle w:val="CommentReference"/>
                <w:rFonts w:ascii="Arial Narrow" w:hAnsi="Arial Narrow"/>
                <w:sz w:val="20"/>
                <w:szCs w:val="20"/>
              </w:rPr>
              <w:t xml:space="preserve">Von Hippel- </w:t>
            </w:r>
            <w:r w:rsidR="000A7C30">
              <w:rPr>
                <w:rStyle w:val="CommentReference"/>
                <w:rFonts w:ascii="Arial Narrow" w:hAnsi="Arial Narrow"/>
                <w:sz w:val="20"/>
                <w:szCs w:val="20"/>
              </w:rPr>
              <w:t>Lindau</w:t>
            </w:r>
            <w:r w:rsidR="00B13C96" w:rsidRPr="00B13C96">
              <w:rPr>
                <w:rStyle w:val="CommentReference"/>
                <w:rFonts w:ascii="Arial Narrow" w:hAnsi="Arial Narrow"/>
                <w:sz w:val="20"/>
                <w:szCs w:val="20"/>
              </w:rPr>
              <w:t xml:space="preserve"> </w:t>
            </w:r>
          </w:p>
        </w:tc>
        <w:tc>
          <w:tcPr>
            <w:tcW w:w="1646" w:type="dxa"/>
          </w:tcPr>
          <w:p w14:paraId="79F22E40" w14:textId="4507CDA8" w:rsidR="006C24D7" w:rsidRPr="005D2196" w:rsidRDefault="006C24D7" w:rsidP="005D2196">
            <w:pPr>
              <w:spacing w:before="40" w:after="40" w:line="240" w:lineRule="auto"/>
              <w:rPr>
                <w:rStyle w:val="CommentReference"/>
                <w:rFonts w:ascii="Arial Narrow" w:hAnsi="Arial Narrow"/>
                <w:sz w:val="20"/>
                <w:szCs w:val="20"/>
              </w:rPr>
            </w:pPr>
            <w:r w:rsidRPr="005D2196">
              <w:rPr>
                <w:rStyle w:val="CommentReference"/>
                <w:rFonts w:ascii="Arial Narrow" w:hAnsi="Arial Narrow"/>
                <w:i/>
                <w:iCs w:val="0"/>
                <w:sz w:val="20"/>
                <w:szCs w:val="20"/>
              </w:rPr>
              <w:t>VHL</w:t>
            </w:r>
            <w:r w:rsidRPr="005D2196">
              <w:rPr>
                <w:rStyle w:val="CommentReference"/>
                <w:rFonts w:ascii="Arial Narrow" w:hAnsi="Arial Narrow"/>
                <w:sz w:val="20"/>
                <w:szCs w:val="20"/>
              </w:rPr>
              <w:t xml:space="preserve"> (193300)</w:t>
            </w:r>
          </w:p>
        </w:tc>
        <w:tc>
          <w:tcPr>
            <w:tcW w:w="2525" w:type="dxa"/>
          </w:tcPr>
          <w:p w14:paraId="27B42584" w14:textId="447B0B2A" w:rsidR="006C24D7" w:rsidRPr="005D2196" w:rsidRDefault="006C24D7" w:rsidP="005D2196">
            <w:pPr>
              <w:spacing w:before="40" w:after="40" w:line="240" w:lineRule="auto"/>
              <w:rPr>
                <w:rStyle w:val="CommentReference"/>
                <w:rFonts w:ascii="Arial Narrow" w:hAnsi="Arial Narrow"/>
                <w:sz w:val="20"/>
                <w:szCs w:val="20"/>
              </w:rPr>
            </w:pPr>
            <w:r w:rsidRPr="005D2196">
              <w:rPr>
                <w:rStyle w:val="CommentReference"/>
                <w:rFonts w:ascii="Arial Narrow" w:hAnsi="Arial Narrow"/>
                <w:sz w:val="20"/>
                <w:szCs w:val="20"/>
              </w:rPr>
              <w:t>(</w:t>
            </w:r>
            <w:r w:rsidR="00EC0A06" w:rsidRPr="005D2196">
              <w:rPr>
                <w:rStyle w:val="CommentReference"/>
                <w:rFonts w:ascii="Arial Narrow" w:hAnsi="Arial Narrow"/>
                <w:sz w:val="20"/>
                <w:szCs w:val="20"/>
              </w:rPr>
              <w:t>Discussed</w:t>
            </w:r>
            <w:r w:rsidRPr="005D2196">
              <w:rPr>
                <w:rStyle w:val="CommentReference"/>
                <w:rFonts w:ascii="Arial Narrow" w:hAnsi="Arial Narrow"/>
                <w:sz w:val="20"/>
                <w:szCs w:val="20"/>
              </w:rPr>
              <w:t xml:space="preserve"> below)</w:t>
            </w:r>
          </w:p>
        </w:tc>
        <w:tc>
          <w:tcPr>
            <w:tcW w:w="3335" w:type="dxa"/>
          </w:tcPr>
          <w:p w14:paraId="450FFFD6" w14:textId="5B493DC6" w:rsidR="006C24D7" w:rsidRPr="00B13C96" w:rsidRDefault="00C83DE2" w:rsidP="005D2196">
            <w:pPr>
              <w:spacing w:before="40" w:after="40" w:line="240" w:lineRule="auto"/>
              <w:rPr>
                <w:rStyle w:val="CommentReference"/>
                <w:rFonts w:ascii="Arial Narrow" w:hAnsi="Arial Narrow"/>
                <w:sz w:val="20"/>
                <w:szCs w:val="20"/>
              </w:rPr>
            </w:pPr>
            <w:r w:rsidRPr="00B13C96">
              <w:rPr>
                <w:rStyle w:val="CommentReference"/>
                <w:rFonts w:ascii="Arial Narrow" w:hAnsi="Arial Narrow"/>
                <w:sz w:val="20"/>
                <w:szCs w:val="20"/>
              </w:rPr>
              <w:t>I</w:t>
            </w:r>
            <w:r w:rsidR="006C24D7" w:rsidRPr="00B13C96">
              <w:rPr>
                <w:rStyle w:val="CommentReference"/>
                <w:rFonts w:ascii="Arial Narrow" w:hAnsi="Arial Narrow"/>
                <w:sz w:val="20"/>
                <w:szCs w:val="20"/>
              </w:rPr>
              <w:t>ncidence of 1:36,000 and prevalence 1:91,000 in Australia</w:t>
            </w:r>
            <w:r w:rsidR="00F06201" w:rsidRPr="00B13C96">
              <w:rPr>
                <w:rStyle w:val="CommentReference"/>
                <w:rFonts w:ascii="Arial Narrow" w:hAnsi="Arial Narrow"/>
                <w:sz w:val="20"/>
                <w:szCs w:val="20"/>
              </w:rPr>
              <w:t xml:space="preserve"> (MSAC 1153 Assessment Report, p5)</w:t>
            </w:r>
          </w:p>
        </w:tc>
      </w:tr>
      <w:tr w:rsidR="006C24D7" w:rsidRPr="00B13C96" w14:paraId="6AE70FCB" w14:textId="77777777" w:rsidTr="00CC7D3E">
        <w:tc>
          <w:tcPr>
            <w:tcW w:w="1872" w:type="dxa"/>
          </w:tcPr>
          <w:p w14:paraId="7D11EE43" w14:textId="19437B64" w:rsidR="006C24D7" w:rsidRPr="00B13C96" w:rsidRDefault="006C24D7" w:rsidP="005D2196">
            <w:pPr>
              <w:spacing w:before="40" w:after="40" w:line="240" w:lineRule="auto"/>
              <w:rPr>
                <w:rStyle w:val="CommentReference"/>
                <w:rFonts w:ascii="Arial Narrow" w:hAnsi="Arial Narrow"/>
                <w:sz w:val="20"/>
                <w:szCs w:val="20"/>
              </w:rPr>
            </w:pPr>
            <w:proofErr w:type="spellStart"/>
            <w:r w:rsidRPr="00B13C96">
              <w:rPr>
                <w:rStyle w:val="CommentReference"/>
                <w:rFonts w:ascii="Arial Narrow" w:hAnsi="Arial Narrow"/>
                <w:sz w:val="20"/>
                <w:szCs w:val="20"/>
              </w:rPr>
              <w:t>Birt</w:t>
            </w:r>
            <w:proofErr w:type="spellEnd"/>
            <w:r w:rsidRPr="00B13C96">
              <w:rPr>
                <w:rStyle w:val="CommentReference"/>
                <w:rFonts w:ascii="Arial Narrow" w:hAnsi="Arial Narrow"/>
                <w:sz w:val="20"/>
                <w:szCs w:val="20"/>
              </w:rPr>
              <w:t>-Hogg-</w:t>
            </w:r>
            <w:proofErr w:type="spellStart"/>
            <w:r w:rsidRPr="00B13C96">
              <w:rPr>
                <w:rStyle w:val="CommentReference"/>
                <w:rFonts w:ascii="Arial Narrow" w:hAnsi="Arial Narrow"/>
                <w:sz w:val="20"/>
                <w:szCs w:val="20"/>
              </w:rPr>
              <w:t>Dubé</w:t>
            </w:r>
            <w:proofErr w:type="spellEnd"/>
            <w:r w:rsidRPr="00B13C96">
              <w:rPr>
                <w:rStyle w:val="CommentReference"/>
                <w:rFonts w:ascii="Arial Narrow" w:hAnsi="Arial Narrow"/>
                <w:sz w:val="20"/>
                <w:szCs w:val="20"/>
              </w:rPr>
              <w:t xml:space="preserve"> syndrome</w:t>
            </w:r>
          </w:p>
        </w:tc>
        <w:tc>
          <w:tcPr>
            <w:tcW w:w="1646" w:type="dxa"/>
          </w:tcPr>
          <w:p w14:paraId="33EE7B26" w14:textId="3E259D19" w:rsidR="006C24D7" w:rsidRPr="005D2196" w:rsidRDefault="006C24D7" w:rsidP="005D2196">
            <w:pPr>
              <w:spacing w:before="40" w:after="40" w:line="240" w:lineRule="auto"/>
              <w:rPr>
                <w:rStyle w:val="CommentReference"/>
                <w:rFonts w:ascii="Arial Narrow" w:hAnsi="Arial Narrow"/>
                <w:sz w:val="20"/>
                <w:szCs w:val="20"/>
              </w:rPr>
            </w:pPr>
            <w:r w:rsidRPr="005D2196">
              <w:rPr>
                <w:rStyle w:val="CommentReference"/>
                <w:rFonts w:ascii="Arial Narrow" w:hAnsi="Arial Narrow"/>
                <w:i/>
                <w:iCs w:val="0"/>
                <w:sz w:val="20"/>
                <w:szCs w:val="20"/>
              </w:rPr>
              <w:t xml:space="preserve">FLCN </w:t>
            </w:r>
            <w:r w:rsidRPr="005D2196">
              <w:rPr>
                <w:rStyle w:val="CommentReference"/>
                <w:rFonts w:ascii="Arial Narrow" w:hAnsi="Arial Narrow"/>
                <w:sz w:val="20"/>
                <w:szCs w:val="20"/>
              </w:rPr>
              <w:t>(134150)</w:t>
            </w:r>
          </w:p>
        </w:tc>
        <w:tc>
          <w:tcPr>
            <w:tcW w:w="2525" w:type="dxa"/>
          </w:tcPr>
          <w:p w14:paraId="4BE830C1" w14:textId="5D116839" w:rsidR="006C24D7" w:rsidRPr="005D2196" w:rsidRDefault="006C24D7" w:rsidP="005D2196">
            <w:pPr>
              <w:spacing w:before="40" w:after="40" w:line="240" w:lineRule="auto"/>
              <w:rPr>
                <w:rStyle w:val="CommentReference"/>
                <w:rFonts w:ascii="Arial Narrow" w:hAnsi="Arial Narrow"/>
                <w:sz w:val="20"/>
                <w:szCs w:val="20"/>
              </w:rPr>
            </w:pPr>
            <w:r w:rsidRPr="005D2196">
              <w:rPr>
                <w:rFonts w:ascii="Arial Narrow" w:hAnsi="Arial Narrow"/>
                <w:sz w:val="20"/>
                <w:szCs w:val="20"/>
              </w:rPr>
              <w:t>Small dome-shaped papules on the face, neck, and upper trunk (fibrofolliculomas), increased risk of renal neoplasia and spontaneous pneumothorax</w:t>
            </w:r>
          </w:p>
        </w:tc>
        <w:tc>
          <w:tcPr>
            <w:tcW w:w="3335" w:type="dxa"/>
          </w:tcPr>
          <w:p w14:paraId="25A3319C" w14:textId="417DCBEB" w:rsidR="006C24D7" w:rsidRPr="00B13C96" w:rsidRDefault="006C24D7" w:rsidP="005D2196">
            <w:pPr>
              <w:spacing w:before="40" w:after="40" w:line="240" w:lineRule="auto"/>
              <w:rPr>
                <w:rStyle w:val="CommentReference"/>
                <w:rFonts w:ascii="Arial Narrow" w:hAnsi="Arial Narrow"/>
                <w:sz w:val="20"/>
                <w:szCs w:val="20"/>
              </w:rPr>
            </w:pPr>
            <w:r w:rsidRPr="00B13C96">
              <w:rPr>
                <w:rStyle w:val="CommentReference"/>
                <w:rFonts w:ascii="Arial Narrow" w:hAnsi="Arial Narrow"/>
                <w:sz w:val="20"/>
                <w:szCs w:val="20"/>
              </w:rPr>
              <w:t>1-2 per million (Muller 2021)</w:t>
            </w:r>
          </w:p>
        </w:tc>
      </w:tr>
      <w:tr w:rsidR="006C24D7" w:rsidRPr="00B13C96" w14:paraId="010C78D7" w14:textId="77777777" w:rsidTr="00CC7D3E">
        <w:tc>
          <w:tcPr>
            <w:tcW w:w="1872" w:type="dxa"/>
          </w:tcPr>
          <w:p w14:paraId="3D55BD9B" w14:textId="15CC456C" w:rsidR="006C24D7" w:rsidRPr="00B13C96" w:rsidRDefault="006C24D7" w:rsidP="005D2196">
            <w:pPr>
              <w:spacing w:before="40" w:after="40" w:line="240" w:lineRule="auto"/>
              <w:rPr>
                <w:rStyle w:val="CommentReference"/>
                <w:rFonts w:ascii="Arial Narrow" w:hAnsi="Arial Narrow"/>
                <w:sz w:val="20"/>
                <w:szCs w:val="20"/>
              </w:rPr>
            </w:pPr>
            <w:r w:rsidRPr="00B13C96">
              <w:rPr>
                <w:rStyle w:val="CommentReference"/>
                <w:rFonts w:ascii="Arial Narrow" w:hAnsi="Arial Narrow"/>
                <w:sz w:val="20"/>
                <w:szCs w:val="20"/>
              </w:rPr>
              <w:t>Hereditary papillary renal carcinoma (Type 1 papillary)</w:t>
            </w:r>
          </w:p>
        </w:tc>
        <w:tc>
          <w:tcPr>
            <w:tcW w:w="1646" w:type="dxa"/>
          </w:tcPr>
          <w:p w14:paraId="1D57C70A" w14:textId="7802BDA5" w:rsidR="006C24D7" w:rsidRPr="00B13C96" w:rsidRDefault="006C24D7" w:rsidP="005D2196">
            <w:pPr>
              <w:spacing w:before="40" w:after="40" w:line="240" w:lineRule="auto"/>
              <w:rPr>
                <w:rStyle w:val="CommentReference"/>
                <w:rFonts w:ascii="Arial Narrow" w:hAnsi="Arial Narrow"/>
                <w:sz w:val="20"/>
                <w:szCs w:val="20"/>
              </w:rPr>
            </w:pPr>
            <w:r w:rsidRPr="00C51790">
              <w:rPr>
                <w:rStyle w:val="CommentReference"/>
                <w:rFonts w:ascii="Arial Narrow" w:hAnsi="Arial Narrow"/>
                <w:i/>
                <w:iCs w:val="0"/>
                <w:sz w:val="20"/>
                <w:szCs w:val="20"/>
              </w:rPr>
              <w:t>MET</w:t>
            </w:r>
            <w:r w:rsidRPr="00B13C96">
              <w:rPr>
                <w:rStyle w:val="CommentReference"/>
                <w:rFonts w:ascii="Arial Narrow" w:hAnsi="Arial Narrow"/>
                <w:sz w:val="20"/>
                <w:szCs w:val="20"/>
              </w:rPr>
              <w:t xml:space="preserve"> (605074)</w:t>
            </w:r>
          </w:p>
        </w:tc>
        <w:tc>
          <w:tcPr>
            <w:tcW w:w="2525" w:type="dxa"/>
          </w:tcPr>
          <w:p w14:paraId="6005B747" w14:textId="53EB2750" w:rsidR="006C24D7" w:rsidRPr="00B13C96" w:rsidRDefault="006C24D7" w:rsidP="005D2196">
            <w:pPr>
              <w:spacing w:before="40" w:after="40" w:line="240" w:lineRule="auto"/>
              <w:rPr>
                <w:rStyle w:val="CommentReference"/>
                <w:rFonts w:ascii="Arial Narrow" w:hAnsi="Arial Narrow"/>
                <w:sz w:val="20"/>
                <w:szCs w:val="20"/>
              </w:rPr>
            </w:pPr>
            <w:r w:rsidRPr="00B13C96">
              <w:rPr>
                <w:rStyle w:val="CommentReference"/>
                <w:rFonts w:ascii="Arial Narrow" w:hAnsi="Arial Narrow"/>
                <w:sz w:val="20"/>
                <w:szCs w:val="20"/>
              </w:rPr>
              <w:t>Multifocal bilateral renal cell tumours</w:t>
            </w:r>
          </w:p>
        </w:tc>
        <w:tc>
          <w:tcPr>
            <w:tcW w:w="3335" w:type="dxa"/>
          </w:tcPr>
          <w:p w14:paraId="5654F81B" w14:textId="6E9F0822" w:rsidR="006C24D7" w:rsidRPr="00B13C96" w:rsidRDefault="006C24D7" w:rsidP="005D2196">
            <w:pPr>
              <w:spacing w:before="40" w:after="40" w:line="240" w:lineRule="auto"/>
              <w:rPr>
                <w:rStyle w:val="CommentReference"/>
                <w:rFonts w:ascii="Arial Narrow" w:hAnsi="Arial Narrow"/>
                <w:sz w:val="20"/>
                <w:szCs w:val="20"/>
              </w:rPr>
            </w:pPr>
            <w:r w:rsidRPr="00B13C96">
              <w:rPr>
                <w:rStyle w:val="CommentReference"/>
                <w:rFonts w:ascii="Arial Narrow" w:hAnsi="Arial Narrow"/>
                <w:sz w:val="20"/>
                <w:szCs w:val="20"/>
              </w:rPr>
              <w:t>HPRC is considered to be rare. The number of people and families who have HPRC is unknown. However, there are approximately 30 families in published medical reports. (Cancer.Net, 2020, HPRC)</w:t>
            </w:r>
          </w:p>
        </w:tc>
      </w:tr>
      <w:tr w:rsidR="006C24D7" w:rsidRPr="00B13C96" w14:paraId="7ED00BE7" w14:textId="77777777" w:rsidTr="00CC7D3E">
        <w:tc>
          <w:tcPr>
            <w:tcW w:w="1872" w:type="dxa"/>
          </w:tcPr>
          <w:p w14:paraId="56847558" w14:textId="227BABB6" w:rsidR="006C24D7" w:rsidRPr="00B13C96" w:rsidRDefault="006C24D7" w:rsidP="005D2196">
            <w:pPr>
              <w:spacing w:before="40" w:after="40" w:line="240" w:lineRule="auto"/>
              <w:rPr>
                <w:rStyle w:val="CommentReference"/>
                <w:rFonts w:ascii="Arial Narrow" w:hAnsi="Arial Narrow"/>
                <w:sz w:val="20"/>
                <w:szCs w:val="20"/>
              </w:rPr>
            </w:pPr>
            <w:r w:rsidRPr="00B13C96">
              <w:rPr>
                <w:rStyle w:val="CommentReference"/>
                <w:rFonts w:ascii="Arial Narrow" w:hAnsi="Arial Narrow"/>
                <w:sz w:val="20"/>
                <w:szCs w:val="20"/>
              </w:rPr>
              <w:t xml:space="preserve">Hereditary </w:t>
            </w:r>
            <w:proofErr w:type="spellStart"/>
            <w:r w:rsidRPr="00B13C96">
              <w:rPr>
                <w:rStyle w:val="CommentReference"/>
                <w:rFonts w:ascii="Arial Narrow" w:hAnsi="Arial Narrow"/>
                <w:sz w:val="20"/>
                <w:szCs w:val="20"/>
              </w:rPr>
              <w:t>leiomyomatosis</w:t>
            </w:r>
            <w:proofErr w:type="spellEnd"/>
            <w:r w:rsidRPr="00B13C96">
              <w:rPr>
                <w:rStyle w:val="CommentReference"/>
                <w:rFonts w:ascii="Arial Narrow" w:hAnsi="Arial Narrow"/>
                <w:sz w:val="20"/>
                <w:szCs w:val="20"/>
              </w:rPr>
              <w:t xml:space="preserve"> and renal cell carcinoma </w:t>
            </w:r>
          </w:p>
        </w:tc>
        <w:tc>
          <w:tcPr>
            <w:tcW w:w="1646" w:type="dxa"/>
          </w:tcPr>
          <w:p w14:paraId="32969560" w14:textId="2DB7ECC0" w:rsidR="006C24D7" w:rsidRPr="00B13C96" w:rsidRDefault="006C24D7" w:rsidP="005D2196">
            <w:pPr>
              <w:spacing w:before="40" w:after="40" w:line="240" w:lineRule="auto"/>
              <w:rPr>
                <w:rStyle w:val="CommentReference"/>
                <w:rFonts w:ascii="Arial Narrow" w:hAnsi="Arial Narrow"/>
                <w:sz w:val="20"/>
                <w:szCs w:val="20"/>
              </w:rPr>
            </w:pPr>
            <w:r w:rsidRPr="00C51790">
              <w:rPr>
                <w:rStyle w:val="CommentReference"/>
                <w:rFonts w:ascii="Arial Narrow" w:hAnsi="Arial Narrow"/>
                <w:i/>
                <w:iCs w:val="0"/>
                <w:sz w:val="20"/>
                <w:szCs w:val="20"/>
              </w:rPr>
              <w:t>FH</w:t>
            </w:r>
            <w:r w:rsidRPr="00B13C96">
              <w:rPr>
                <w:rStyle w:val="CommentReference"/>
                <w:rFonts w:ascii="Arial Narrow" w:hAnsi="Arial Narrow"/>
                <w:sz w:val="20"/>
                <w:szCs w:val="20"/>
              </w:rPr>
              <w:t xml:space="preserve"> (150800)</w:t>
            </w:r>
          </w:p>
        </w:tc>
        <w:tc>
          <w:tcPr>
            <w:tcW w:w="2525" w:type="dxa"/>
          </w:tcPr>
          <w:p w14:paraId="0C737B34" w14:textId="5EFA1F89" w:rsidR="006C24D7" w:rsidRPr="00B13C96" w:rsidRDefault="006C24D7" w:rsidP="005D2196">
            <w:pPr>
              <w:spacing w:before="40" w:after="40" w:line="240" w:lineRule="auto"/>
              <w:rPr>
                <w:rStyle w:val="CommentReference"/>
                <w:rFonts w:ascii="Arial Narrow" w:hAnsi="Arial Narrow"/>
                <w:sz w:val="20"/>
                <w:szCs w:val="20"/>
              </w:rPr>
            </w:pPr>
            <w:r w:rsidRPr="00B13C96">
              <w:rPr>
                <w:rStyle w:val="CommentReference"/>
                <w:rFonts w:ascii="Arial Narrow" w:hAnsi="Arial Narrow"/>
                <w:sz w:val="20"/>
                <w:szCs w:val="20"/>
              </w:rPr>
              <w:t xml:space="preserve">Leiomyomas of skin and uterus, unilateral solitary and aggressive renal cell </w:t>
            </w:r>
            <w:r w:rsidR="00E82916" w:rsidRPr="00B13C96">
              <w:rPr>
                <w:rStyle w:val="CommentReference"/>
                <w:rFonts w:ascii="Arial Narrow" w:hAnsi="Arial Narrow"/>
                <w:sz w:val="20"/>
                <w:szCs w:val="20"/>
              </w:rPr>
              <w:t>tumours</w:t>
            </w:r>
            <w:r w:rsidRPr="00B13C96">
              <w:rPr>
                <w:rStyle w:val="CommentReference"/>
                <w:rFonts w:ascii="Arial Narrow" w:hAnsi="Arial Narrow"/>
                <w:sz w:val="20"/>
                <w:szCs w:val="20"/>
              </w:rPr>
              <w:t>, PET- positive adrenal adenomas</w:t>
            </w:r>
          </w:p>
        </w:tc>
        <w:tc>
          <w:tcPr>
            <w:tcW w:w="3335" w:type="dxa"/>
          </w:tcPr>
          <w:p w14:paraId="454A1F81" w14:textId="2850B34A" w:rsidR="006C24D7" w:rsidRPr="00B13C96" w:rsidRDefault="006C24D7" w:rsidP="005D2196">
            <w:pPr>
              <w:spacing w:before="40" w:after="40" w:line="240" w:lineRule="auto"/>
              <w:rPr>
                <w:rStyle w:val="CommentReference"/>
                <w:rFonts w:ascii="Arial Narrow" w:hAnsi="Arial Narrow"/>
                <w:sz w:val="20"/>
                <w:szCs w:val="20"/>
              </w:rPr>
            </w:pPr>
            <w:r w:rsidRPr="00B13C96">
              <w:rPr>
                <w:rStyle w:val="CommentReference"/>
                <w:rFonts w:ascii="Arial Narrow" w:hAnsi="Arial Narrow"/>
                <w:sz w:val="20"/>
                <w:szCs w:val="20"/>
              </w:rPr>
              <w:t>HLRCC is a rare condition that has been reported in approximately 300 families worldwide. Researchers suggest that it may be underdiagnosed.(</w:t>
            </w:r>
            <w:proofErr w:type="spellStart"/>
            <w:r w:rsidRPr="00B13C96">
              <w:rPr>
                <w:rStyle w:val="CommentReference"/>
                <w:rFonts w:ascii="Arial Narrow" w:hAnsi="Arial Narrow"/>
                <w:sz w:val="20"/>
                <w:szCs w:val="20"/>
              </w:rPr>
              <w:t>Medlineplus</w:t>
            </w:r>
            <w:proofErr w:type="spellEnd"/>
            <w:r w:rsidRPr="00B13C96">
              <w:rPr>
                <w:rStyle w:val="CommentReference"/>
                <w:rFonts w:ascii="Arial Narrow" w:hAnsi="Arial Narrow"/>
                <w:sz w:val="20"/>
                <w:szCs w:val="20"/>
              </w:rPr>
              <w:t>, HLRCC)</w:t>
            </w:r>
          </w:p>
        </w:tc>
      </w:tr>
      <w:tr w:rsidR="006C24D7" w:rsidRPr="00B13C96" w14:paraId="545FCA9B" w14:textId="77777777" w:rsidTr="00CC7D3E">
        <w:tc>
          <w:tcPr>
            <w:tcW w:w="1872" w:type="dxa"/>
          </w:tcPr>
          <w:p w14:paraId="0E6598ED" w14:textId="01303E3F" w:rsidR="006C24D7" w:rsidRPr="00B13C96" w:rsidRDefault="006C24D7" w:rsidP="005D2196">
            <w:pPr>
              <w:spacing w:before="40" w:after="40" w:line="240" w:lineRule="auto"/>
              <w:rPr>
                <w:rStyle w:val="CommentReference"/>
                <w:rFonts w:ascii="Arial Narrow" w:hAnsi="Arial Narrow"/>
                <w:sz w:val="20"/>
                <w:szCs w:val="20"/>
              </w:rPr>
            </w:pPr>
            <w:r w:rsidRPr="003636A2">
              <w:rPr>
                <w:rStyle w:val="CommentReference"/>
                <w:rFonts w:ascii="Arial Narrow" w:hAnsi="Arial Narrow"/>
                <w:i/>
                <w:iCs w:val="0"/>
                <w:sz w:val="20"/>
                <w:szCs w:val="20"/>
              </w:rPr>
              <w:t>BAP-1</w:t>
            </w:r>
            <w:r w:rsidRPr="00B13C96">
              <w:rPr>
                <w:rStyle w:val="CommentReference"/>
                <w:rFonts w:ascii="Arial Narrow" w:hAnsi="Arial Narrow"/>
                <w:sz w:val="20"/>
                <w:szCs w:val="20"/>
              </w:rPr>
              <w:t xml:space="preserve"> tumour pre-disposition syndrome</w:t>
            </w:r>
          </w:p>
        </w:tc>
        <w:tc>
          <w:tcPr>
            <w:tcW w:w="1646" w:type="dxa"/>
          </w:tcPr>
          <w:p w14:paraId="6AA88740" w14:textId="3082DFE0" w:rsidR="006C24D7" w:rsidRPr="00B13C96" w:rsidRDefault="006C24D7" w:rsidP="005D2196">
            <w:pPr>
              <w:spacing w:before="40" w:after="40" w:line="240" w:lineRule="auto"/>
              <w:rPr>
                <w:rStyle w:val="CommentReference"/>
                <w:rFonts w:ascii="Arial Narrow" w:hAnsi="Arial Narrow"/>
                <w:sz w:val="20"/>
                <w:szCs w:val="20"/>
              </w:rPr>
            </w:pPr>
            <w:r w:rsidRPr="00C51790">
              <w:rPr>
                <w:rStyle w:val="CommentReference"/>
                <w:rFonts w:ascii="Arial Narrow" w:hAnsi="Arial Narrow"/>
                <w:i/>
                <w:iCs w:val="0"/>
                <w:sz w:val="20"/>
                <w:szCs w:val="20"/>
              </w:rPr>
              <w:t>BAP1</w:t>
            </w:r>
            <w:r w:rsidRPr="00B13C96">
              <w:rPr>
                <w:rStyle w:val="CommentReference"/>
                <w:rFonts w:ascii="Arial Narrow" w:hAnsi="Arial Narrow"/>
                <w:sz w:val="20"/>
                <w:szCs w:val="20"/>
              </w:rPr>
              <w:t xml:space="preserve"> (614327)</w:t>
            </w:r>
          </w:p>
        </w:tc>
        <w:tc>
          <w:tcPr>
            <w:tcW w:w="2525" w:type="dxa"/>
          </w:tcPr>
          <w:p w14:paraId="2B0B63BE" w14:textId="7AA40F7C" w:rsidR="006C24D7" w:rsidRPr="00B13C96" w:rsidRDefault="006C24D7" w:rsidP="005D2196">
            <w:pPr>
              <w:spacing w:before="40" w:after="40" w:line="240" w:lineRule="auto"/>
              <w:rPr>
                <w:rStyle w:val="CommentReference"/>
                <w:rFonts w:ascii="Arial Narrow" w:hAnsi="Arial Narrow"/>
                <w:sz w:val="20"/>
                <w:szCs w:val="20"/>
              </w:rPr>
            </w:pPr>
            <w:r w:rsidRPr="00B13C96">
              <w:rPr>
                <w:rStyle w:val="CommentReference"/>
                <w:rFonts w:ascii="Arial Narrow" w:hAnsi="Arial Narrow"/>
                <w:sz w:val="20"/>
                <w:szCs w:val="20"/>
              </w:rPr>
              <w:t>Melanoma (uveal and cutaneous) kidney cancer, mesothelioma</w:t>
            </w:r>
          </w:p>
        </w:tc>
        <w:tc>
          <w:tcPr>
            <w:tcW w:w="3335" w:type="dxa"/>
          </w:tcPr>
          <w:p w14:paraId="6EFE418B" w14:textId="6658E0F3" w:rsidR="006C24D7" w:rsidRPr="00B13C96" w:rsidRDefault="006C24D7" w:rsidP="005D2196">
            <w:pPr>
              <w:spacing w:before="40" w:after="40" w:line="240" w:lineRule="auto"/>
              <w:rPr>
                <w:rStyle w:val="CommentReference"/>
                <w:rFonts w:ascii="Arial Narrow" w:hAnsi="Arial Narrow"/>
                <w:sz w:val="20"/>
                <w:szCs w:val="20"/>
              </w:rPr>
            </w:pPr>
            <w:r w:rsidRPr="00B13C96">
              <w:rPr>
                <w:rStyle w:val="CommentReference"/>
                <w:rFonts w:ascii="Arial Narrow" w:hAnsi="Arial Narrow"/>
                <w:sz w:val="20"/>
                <w:szCs w:val="20"/>
              </w:rPr>
              <w:t xml:space="preserve">The prevalence of </w:t>
            </w:r>
            <w:r w:rsidRPr="00A57735">
              <w:rPr>
                <w:rStyle w:val="CommentReference"/>
                <w:rFonts w:ascii="Arial Narrow" w:hAnsi="Arial Narrow"/>
                <w:i/>
                <w:iCs w:val="0"/>
                <w:sz w:val="20"/>
                <w:szCs w:val="20"/>
              </w:rPr>
              <w:t>BAP1</w:t>
            </w:r>
            <w:r w:rsidRPr="00B13C96">
              <w:rPr>
                <w:rStyle w:val="CommentReference"/>
                <w:rFonts w:ascii="Arial Narrow" w:hAnsi="Arial Narrow"/>
                <w:sz w:val="20"/>
                <w:szCs w:val="20"/>
              </w:rPr>
              <w:t>-TPDS is unknown. Based on data from the Genome Aggregation Database (</w:t>
            </w:r>
            <w:proofErr w:type="spellStart"/>
            <w:r w:rsidRPr="00B13C96">
              <w:rPr>
                <w:rStyle w:val="CommentReference"/>
                <w:rFonts w:ascii="Arial Narrow" w:hAnsi="Arial Narrow"/>
                <w:sz w:val="20"/>
                <w:szCs w:val="20"/>
              </w:rPr>
              <w:t>gnomAD</w:t>
            </w:r>
            <w:proofErr w:type="spellEnd"/>
            <w:r w:rsidRPr="00B13C96">
              <w:rPr>
                <w:rStyle w:val="CommentReference"/>
                <w:rFonts w:ascii="Arial Narrow" w:hAnsi="Arial Narrow"/>
                <w:sz w:val="20"/>
                <w:szCs w:val="20"/>
              </w:rPr>
              <w:t>), the carrier frequency is 1:26,837 in the general population. (</w:t>
            </w:r>
            <w:proofErr w:type="spellStart"/>
            <w:r w:rsidRPr="00B13C96">
              <w:rPr>
                <w:rStyle w:val="CommentReference"/>
                <w:rFonts w:ascii="Arial Narrow" w:hAnsi="Arial Narrow"/>
                <w:sz w:val="20"/>
                <w:szCs w:val="20"/>
              </w:rPr>
              <w:t>Pilarski</w:t>
            </w:r>
            <w:proofErr w:type="spellEnd"/>
            <w:r w:rsidRPr="00B13C96">
              <w:rPr>
                <w:rStyle w:val="CommentReference"/>
                <w:rFonts w:ascii="Arial Narrow" w:hAnsi="Arial Narrow"/>
                <w:sz w:val="20"/>
                <w:szCs w:val="20"/>
              </w:rPr>
              <w:t xml:space="preserve"> 2016)</w:t>
            </w:r>
          </w:p>
        </w:tc>
      </w:tr>
      <w:tr w:rsidR="006C24D7" w:rsidRPr="00B13C96" w14:paraId="6C11C962" w14:textId="77777777" w:rsidTr="00CC7D3E">
        <w:tc>
          <w:tcPr>
            <w:tcW w:w="1872" w:type="dxa"/>
          </w:tcPr>
          <w:p w14:paraId="79EC6E47" w14:textId="6A34CDA5" w:rsidR="006C24D7" w:rsidRPr="00B13C96" w:rsidRDefault="006C24D7" w:rsidP="005D2196">
            <w:pPr>
              <w:spacing w:before="40" w:after="40" w:line="240" w:lineRule="auto"/>
              <w:rPr>
                <w:rStyle w:val="CommentReference"/>
                <w:rFonts w:ascii="Arial Narrow" w:hAnsi="Arial Narrow"/>
                <w:sz w:val="20"/>
                <w:szCs w:val="20"/>
              </w:rPr>
            </w:pPr>
            <w:r w:rsidRPr="00B13C96">
              <w:rPr>
                <w:rStyle w:val="CommentReference"/>
                <w:rFonts w:ascii="Arial Narrow" w:hAnsi="Arial Narrow"/>
                <w:sz w:val="20"/>
                <w:szCs w:val="20"/>
              </w:rPr>
              <w:t>Hereditary paraganglioma/ pheochromocytoma  syndrome</w:t>
            </w:r>
          </w:p>
        </w:tc>
        <w:tc>
          <w:tcPr>
            <w:tcW w:w="1646" w:type="dxa"/>
          </w:tcPr>
          <w:p w14:paraId="7E4F8F0D" w14:textId="7BD60889" w:rsidR="006C24D7" w:rsidRPr="00B13C96" w:rsidRDefault="006C24D7" w:rsidP="005D2196">
            <w:pPr>
              <w:spacing w:before="40" w:after="40" w:line="240" w:lineRule="auto"/>
              <w:rPr>
                <w:rStyle w:val="CommentReference"/>
                <w:rFonts w:ascii="Arial Narrow" w:hAnsi="Arial Narrow"/>
                <w:sz w:val="20"/>
                <w:szCs w:val="20"/>
              </w:rPr>
            </w:pPr>
            <w:r w:rsidRPr="00C51790">
              <w:rPr>
                <w:rStyle w:val="CommentReference"/>
                <w:rFonts w:ascii="Arial Narrow" w:hAnsi="Arial Narrow"/>
                <w:i/>
                <w:iCs w:val="0"/>
                <w:sz w:val="20"/>
                <w:szCs w:val="20"/>
              </w:rPr>
              <w:t>SDHA</w:t>
            </w:r>
            <w:r w:rsidRPr="00B13C96">
              <w:rPr>
                <w:rStyle w:val="CommentReference"/>
                <w:rFonts w:ascii="Arial Narrow" w:hAnsi="Arial Narrow"/>
                <w:sz w:val="20"/>
                <w:szCs w:val="20"/>
              </w:rPr>
              <w:t xml:space="preserve"> (614165), </w:t>
            </w:r>
            <w:r w:rsidRPr="00C51790">
              <w:rPr>
                <w:rStyle w:val="CommentReference"/>
                <w:rFonts w:ascii="Arial Narrow" w:hAnsi="Arial Narrow"/>
                <w:i/>
                <w:iCs w:val="0"/>
                <w:sz w:val="20"/>
                <w:szCs w:val="20"/>
              </w:rPr>
              <w:t>SDHB</w:t>
            </w:r>
            <w:r w:rsidRPr="00B13C96">
              <w:rPr>
                <w:rStyle w:val="CommentReference"/>
                <w:rFonts w:ascii="Arial Narrow" w:hAnsi="Arial Narrow"/>
                <w:sz w:val="20"/>
                <w:szCs w:val="20"/>
              </w:rPr>
              <w:t xml:space="preserve"> (115310), </w:t>
            </w:r>
            <w:r w:rsidRPr="00C51790">
              <w:rPr>
                <w:rStyle w:val="CommentReference"/>
                <w:rFonts w:ascii="Arial Narrow" w:hAnsi="Arial Narrow"/>
                <w:i/>
                <w:iCs w:val="0"/>
                <w:sz w:val="20"/>
                <w:szCs w:val="20"/>
              </w:rPr>
              <w:t>SDHC</w:t>
            </w:r>
            <w:r w:rsidRPr="00B13C96">
              <w:rPr>
                <w:rStyle w:val="CommentReference"/>
                <w:rFonts w:ascii="Arial Narrow" w:hAnsi="Arial Narrow"/>
                <w:sz w:val="20"/>
                <w:szCs w:val="20"/>
              </w:rPr>
              <w:t xml:space="preserve"> (605373), </w:t>
            </w:r>
            <w:r w:rsidRPr="00C51790">
              <w:rPr>
                <w:rStyle w:val="CommentReference"/>
                <w:rFonts w:ascii="Arial Narrow" w:hAnsi="Arial Narrow"/>
                <w:i/>
                <w:iCs w:val="0"/>
                <w:sz w:val="20"/>
                <w:szCs w:val="20"/>
              </w:rPr>
              <w:t>SDHD</w:t>
            </w:r>
            <w:r w:rsidRPr="00B13C96">
              <w:rPr>
                <w:rStyle w:val="CommentReference"/>
                <w:rFonts w:ascii="Arial Narrow" w:hAnsi="Arial Narrow"/>
                <w:sz w:val="20"/>
                <w:szCs w:val="20"/>
              </w:rPr>
              <w:t xml:space="preserve"> (168000)</w:t>
            </w:r>
          </w:p>
        </w:tc>
        <w:tc>
          <w:tcPr>
            <w:tcW w:w="2525" w:type="dxa"/>
          </w:tcPr>
          <w:p w14:paraId="432134FF" w14:textId="13D151CE" w:rsidR="006C24D7" w:rsidRPr="00B13C96" w:rsidRDefault="006C24D7" w:rsidP="005D2196">
            <w:pPr>
              <w:spacing w:before="40" w:after="40" w:line="240" w:lineRule="auto"/>
              <w:rPr>
                <w:rStyle w:val="CommentReference"/>
                <w:rFonts w:ascii="Arial Narrow" w:hAnsi="Arial Narrow"/>
                <w:sz w:val="20"/>
                <w:szCs w:val="20"/>
              </w:rPr>
            </w:pPr>
            <w:r w:rsidRPr="00B13C96">
              <w:rPr>
                <w:rStyle w:val="CommentReference"/>
                <w:rFonts w:ascii="Arial Narrow" w:hAnsi="Arial Narrow"/>
                <w:sz w:val="20"/>
                <w:szCs w:val="20"/>
              </w:rPr>
              <w:t>Head and neck para</w:t>
            </w:r>
            <w:r w:rsidR="00E82916" w:rsidRPr="00B13C96">
              <w:rPr>
                <w:rStyle w:val="CommentReference"/>
                <w:rFonts w:ascii="Arial Narrow" w:hAnsi="Arial Narrow"/>
                <w:sz w:val="20"/>
                <w:szCs w:val="20"/>
              </w:rPr>
              <w:t>ga</w:t>
            </w:r>
            <w:r w:rsidRPr="00B13C96">
              <w:rPr>
                <w:rStyle w:val="CommentReference"/>
                <w:rFonts w:ascii="Arial Narrow" w:hAnsi="Arial Narrow"/>
                <w:sz w:val="20"/>
                <w:szCs w:val="20"/>
              </w:rPr>
              <w:t>nglio</w:t>
            </w:r>
            <w:r w:rsidR="00E82916" w:rsidRPr="00B13C96">
              <w:rPr>
                <w:rStyle w:val="CommentReference"/>
                <w:rFonts w:ascii="Arial Narrow" w:hAnsi="Arial Narrow"/>
                <w:sz w:val="20"/>
                <w:szCs w:val="20"/>
              </w:rPr>
              <w:t>m</w:t>
            </w:r>
            <w:r w:rsidRPr="00B13C96">
              <w:rPr>
                <w:rStyle w:val="CommentReference"/>
                <w:rFonts w:ascii="Arial Narrow" w:hAnsi="Arial Narrow"/>
                <w:sz w:val="20"/>
                <w:szCs w:val="20"/>
              </w:rPr>
              <w:t xml:space="preserve">a and adrenal or extra-adrenal pheochromocytomas, benign lung lesions, GIST </w:t>
            </w:r>
            <w:r w:rsidR="00CC5C4A" w:rsidRPr="00B13C96">
              <w:rPr>
                <w:rStyle w:val="CommentReference"/>
                <w:rFonts w:ascii="Arial Narrow" w:hAnsi="Arial Narrow"/>
                <w:sz w:val="20"/>
                <w:szCs w:val="20"/>
              </w:rPr>
              <w:t>tumours</w:t>
            </w:r>
          </w:p>
        </w:tc>
        <w:tc>
          <w:tcPr>
            <w:tcW w:w="3335" w:type="dxa"/>
          </w:tcPr>
          <w:p w14:paraId="6BFB01BC" w14:textId="5AE22D55" w:rsidR="006C24D7" w:rsidRPr="00B13C96" w:rsidRDefault="006C24D7" w:rsidP="005D2196">
            <w:pPr>
              <w:spacing w:before="40" w:after="40" w:line="240" w:lineRule="auto"/>
              <w:rPr>
                <w:rStyle w:val="CommentReference"/>
                <w:rFonts w:ascii="Arial Narrow" w:hAnsi="Arial Narrow"/>
                <w:sz w:val="20"/>
                <w:szCs w:val="20"/>
              </w:rPr>
            </w:pPr>
            <w:r w:rsidRPr="00B13C96">
              <w:rPr>
                <w:rStyle w:val="CommentReference"/>
                <w:rFonts w:ascii="Arial Narrow" w:hAnsi="Arial Narrow"/>
                <w:sz w:val="20"/>
                <w:szCs w:val="20"/>
              </w:rPr>
              <w:t>Hereditary paraganglioma-pheochromocytoma occurs in approximately 1 in 1 million people. (</w:t>
            </w:r>
            <w:proofErr w:type="spellStart"/>
            <w:r w:rsidRPr="00B13C96">
              <w:rPr>
                <w:rStyle w:val="CommentReference"/>
                <w:rFonts w:ascii="Arial Narrow" w:hAnsi="Arial Narrow"/>
                <w:sz w:val="20"/>
                <w:szCs w:val="20"/>
              </w:rPr>
              <w:t>Medlineplus</w:t>
            </w:r>
            <w:proofErr w:type="spellEnd"/>
            <w:r w:rsidRPr="00B13C96">
              <w:rPr>
                <w:rStyle w:val="CommentReference"/>
                <w:rFonts w:ascii="Arial Narrow" w:hAnsi="Arial Narrow"/>
                <w:sz w:val="20"/>
                <w:szCs w:val="20"/>
              </w:rPr>
              <w:t xml:space="preserve"> HPPS)</w:t>
            </w:r>
          </w:p>
        </w:tc>
      </w:tr>
      <w:tr w:rsidR="006C24D7" w:rsidRPr="00B13C96" w14:paraId="21417074" w14:textId="77777777" w:rsidTr="00CC7D3E">
        <w:tc>
          <w:tcPr>
            <w:tcW w:w="1872" w:type="dxa"/>
          </w:tcPr>
          <w:p w14:paraId="309918EA" w14:textId="3D0D58BD" w:rsidR="006C24D7" w:rsidRPr="00B13C96" w:rsidRDefault="006C24D7" w:rsidP="005D2196">
            <w:pPr>
              <w:spacing w:before="40" w:after="40" w:line="240" w:lineRule="auto"/>
              <w:rPr>
                <w:rStyle w:val="CommentReference"/>
                <w:rFonts w:ascii="Arial Narrow" w:hAnsi="Arial Narrow"/>
                <w:sz w:val="20"/>
                <w:szCs w:val="20"/>
              </w:rPr>
            </w:pPr>
            <w:r w:rsidRPr="00B13C96">
              <w:rPr>
                <w:rStyle w:val="CommentReference"/>
                <w:rFonts w:ascii="Arial Narrow" w:hAnsi="Arial Narrow"/>
                <w:sz w:val="20"/>
                <w:szCs w:val="20"/>
              </w:rPr>
              <w:t>Cowden syndrome</w:t>
            </w:r>
          </w:p>
        </w:tc>
        <w:tc>
          <w:tcPr>
            <w:tcW w:w="1646" w:type="dxa"/>
          </w:tcPr>
          <w:p w14:paraId="7C5DA4CB" w14:textId="14DB61DA" w:rsidR="006C24D7" w:rsidRPr="00B13C96" w:rsidRDefault="006C24D7" w:rsidP="005D2196">
            <w:pPr>
              <w:spacing w:before="40" w:after="40" w:line="240" w:lineRule="auto"/>
              <w:rPr>
                <w:rStyle w:val="CommentReference"/>
                <w:rFonts w:ascii="Arial Narrow" w:hAnsi="Arial Narrow"/>
                <w:sz w:val="20"/>
                <w:szCs w:val="20"/>
              </w:rPr>
            </w:pPr>
            <w:r w:rsidRPr="00C51790">
              <w:rPr>
                <w:rStyle w:val="CommentReference"/>
                <w:rFonts w:ascii="Arial Narrow" w:hAnsi="Arial Narrow"/>
                <w:i/>
                <w:iCs w:val="0"/>
                <w:sz w:val="20"/>
                <w:szCs w:val="20"/>
              </w:rPr>
              <w:t>PTEN</w:t>
            </w:r>
            <w:r w:rsidRPr="00B13C96">
              <w:rPr>
                <w:rStyle w:val="CommentReference"/>
                <w:rFonts w:ascii="Arial Narrow" w:hAnsi="Arial Narrow"/>
                <w:sz w:val="20"/>
                <w:szCs w:val="20"/>
              </w:rPr>
              <w:t xml:space="preserve"> (158350)</w:t>
            </w:r>
          </w:p>
        </w:tc>
        <w:tc>
          <w:tcPr>
            <w:tcW w:w="2525" w:type="dxa"/>
          </w:tcPr>
          <w:p w14:paraId="0CA15F6A" w14:textId="7F501D3F" w:rsidR="006C24D7" w:rsidRPr="00B13C96" w:rsidRDefault="0084737B" w:rsidP="005D2196">
            <w:pPr>
              <w:spacing w:before="40" w:after="40" w:line="240" w:lineRule="auto"/>
              <w:rPr>
                <w:rStyle w:val="CommentReference"/>
                <w:rFonts w:ascii="Arial Narrow" w:hAnsi="Arial Narrow"/>
                <w:sz w:val="20"/>
                <w:szCs w:val="20"/>
              </w:rPr>
            </w:pPr>
            <w:r w:rsidRPr="005D2196">
              <w:rPr>
                <w:rStyle w:val="CommentReference"/>
                <w:rFonts w:ascii="Arial Narrow" w:hAnsi="Arial Narrow"/>
                <w:sz w:val="20"/>
                <w:szCs w:val="20"/>
              </w:rPr>
              <w:t>M</w:t>
            </w:r>
            <w:r w:rsidR="006C24D7" w:rsidRPr="005D2196">
              <w:rPr>
                <w:rStyle w:val="CommentReference"/>
                <w:rFonts w:ascii="Arial Narrow" w:hAnsi="Arial Narrow"/>
                <w:sz w:val="20"/>
                <w:szCs w:val="20"/>
              </w:rPr>
              <w:t>ultiple hamartomas that can affect various areas of the body, breast cancer, thyroid cancer, endometrial cancer, renal cell cancer</w:t>
            </w:r>
          </w:p>
        </w:tc>
        <w:tc>
          <w:tcPr>
            <w:tcW w:w="3335" w:type="dxa"/>
          </w:tcPr>
          <w:p w14:paraId="25D6171D" w14:textId="3F7EFD63" w:rsidR="006C24D7" w:rsidRPr="00B13C96" w:rsidRDefault="006C24D7" w:rsidP="005D2196">
            <w:pPr>
              <w:spacing w:before="40" w:after="40" w:line="240" w:lineRule="auto"/>
              <w:rPr>
                <w:rStyle w:val="CommentReference"/>
                <w:rFonts w:ascii="Arial Narrow" w:hAnsi="Arial Narrow"/>
                <w:sz w:val="20"/>
                <w:szCs w:val="20"/>
              </w:rPr>
            </w:pPr>
            <w:r w:rsidRPr="00B13C96">
              <w:rPr>
                <w:rStyle w:val="CommentReference"/>
                <w:rFonts w:ascii="Arial Narrow" w:hAnsi="Arial Narrow"/>
                <w:sz w:val="20"/>
                <w:szCs w:val="20"/>
              </w:rPr>
              <w:t>It is estimated that CS affects about 1 in every 200,000 individuals. (Cancer.</w:t>
            </w:r>
            <w:r w:rsidR="0084737B" w:rsidRPr="00B13C96">
              <w:rPr>
                <w:rStyle w:val="CommentReference"/>
                <w:rFonts w:ascii="Arial Narrow" w:hAnsi="Arial Narrow"/>
                <w:sz w:val="20"/>
                <w:szCs w:val="20"/>
              </w:rPr>
              <w:t>N</w:t>
            </w:r>
            <w:r w:rsidRPr="00B13C96">
              <w:rPr>
                <w:rStyle w:val="CommentReference"/>
                <w:rFonts w:ascii="Arial Narrow" w:hAnsi="Arial Narrow"/>
                <w:sz w:val="20"/>
                <w:szCs w:val="20"/>
              </w:rPr>
              <w:t>et 2020, Cowden syndrome)</w:t>
            </w:r>
          </w:p>
        </w:tc>
      </w:tr>
      <w:tr w:rsidR="001B2352" w:rsidRPr="00B13C96" w14:paraId="11DC362B" w14:textId="77777777" w:rsidTr="00CC7D3E">
        <w:tc>
          <w:tcPr>
            <w:tcW w:w="1872" w:type="dxa"/>
          </w:tcPr>
          <w:p w14:paraId="65429DA8" w14:textId="061894F2" w:rsidR="001B2352" w:rsidRPr="00B13C96" w:rsidRDefault="001B2352" w:rsidP="005D2196">
            <w:pPr>
              <w:spacing w:before="40" w:after="40" w:line="240" w:lineRule="auto"/>
              <w:rPr>
                <w:rStyle w:val="CommentReference"/>
                <w:rFonts w:ascii="Arial Narrow" w:hAnsi="Arial Narrow"/>
                <w:sz w:val="20"/>
                <w:szCs w:val="20"/>
              </w:rPr>
            </w:pPr>
            <w:r w:rsidRPr="001B2352">
              <w:rPr>
                <w:rStyle w:val="CommentReference"/>
                <w:rFonts w:ascii="Arial Narrow" w:hAnsi="Arial Narrow"/>
                <w:sz w:val="20"/>
                <w:szCs w:val="20"/>
              </w:rPr>
              <w:lastRenderedPageBreak/>
              <w:t>Familial clear renal cell carcinoma with chromosome 3 translocation</w:t>
            </w:r>
          </w:p>
        </w:tc>
        <w:tc>
          <w:tcPr>
            <w:tcW w:w="1646" w:type="dxa"/>
          </w:tcPr>
          <w:p w14:paraId="47A72E97" w14:textId="0A3E0FC6" w:rsidR="001B2352" w:rsidRPr="00EA30E9" w:rsidRDefault="001B2352" w:rsidP="005D2196">
            <w:pPr>
              <w:spacing w:before="40" w:after="40" w:line="240" w:lineRule="auto"/>
              <w:rPr>
                <w:rStyle w:val="CommentReference"/>
                <w:rFonts w:ascii="Arial Narrow" w:hAnsi="Arial Narrow"/>
                <w:sz w:val="20"/>
                <w:szCs w:val="20"/>
              </w:rPr>
            </w:pPr>
            <w:r>
              <w:rPr>
                <w:rStyle w:val="CommentReference"/>
                <w:rFonts w:ascii="Arial Narrow" w:hAnsi="Arial Narrow"/>
                <w:sz w:val="20"/>
                <w:szCs w:val="20"/>
              </w:rPr>
              <w:t>Translocation of chromosome 3</w:t>
            </w:r>
            <w:r w:rsidR="00EA30E9">
              <w:rPr>
                <w:rStyle w:val="CommentReference"/>
                <w:rFonts w:ascii="Arial Narrow" w:hAnsi="Arial Narrow"/>
                <w:sz w:val="20"/>
                <w:szCs w:val="20"/>
              </w:rPr>
              <w:t xml:space="preserve"> (potentially includes any of </w:t>
            </w:r>
            <w:r w:rsidR="00EA30E9" w:rsidRPr="005D2196">
              <w:rPr>
                <w:rFonts w:ascii="Arial Narrow" w:hAnsi="Arial Narrow"/>
                <w:i/>
                <w:sz w:val="20"/>
                <w:szCs w:val="20"/>
              </w:rPr>
              <w:t>VHL</w:t>
            </w:r>
            <w:r w:rsidR="00EA30E9" w:rsidRPr="005D2196">
              <w:rPr>
                <w:rFonts w:ascii="Arial Narrow" w:hAnsi="Arial Narrow"/>
                <w:sz w:val="20"/>
                <w:szCs w:val="20"/>
              </w:rPr>
              <w:t>, </w:t>
            </w:r>
            <w:r w:rsidR="00EA30E9" w:rsidRPr="005D2196">
              <w:rPr>
                <w:rFonts w:ascii="Arial Narrow" w:hAnsi="Arial Narrow"/>
                <w:i/>
                <w:sz w:val="20"/>
                <w:szCs w:val="20"/>
              </w:rPr>
              <w:t>PBRM1</w:t>
            </w:r>
            <w:r w:rsidR="00EA30E9" w:rsidRPr="005D2196">
              <w:rPr>
                <w:rFonts w:ascii="Arial Narrow" w:hAnsi="Arial Narrow"/>
                <w:sz w:val="20"/>
                <w:szCs w:val="20"/>
              </w:rPr>
              <w:t>, </w:t>
            </w:r>
            <w:r w:rsidR="00EA30E9" w:rsidRPr="005D2196">
              <w:rPr>
                <w:rFonts w:ascii="Arial Narrow" w:hAnsi="Arial Narrow"/>
                <w:i/>
                <w:sz w:val="20"/>
                <w:szCs w:val="20"/>
              </w:rPr>
              <w:t>BAP1</w:t>
            </w:r>
            <w:r w:rsidR="00EA30E9" w:rsidRPr="005D2196">
              <w:rPr>
                <w:rFonts w:ascii="Arial Narrow" w:hAnsi="Arial Narrow"/>
                <w:sz w:val="20"/>
                <w:szCs w:val="20"/>
              </w:rPr>
              <w:t>, and </w:t>
            </w:r>
            <w:r w:rsidR="00EA30E9" w:rsidRPr="005D2196">
              <w:rPr>
                <w:rFonts w:ascii="Arial Narrow" w:hAnsi="Arial Narrow"/>
                <w:i/>
                <w:sz w:val="20"/>
                <w:szCs w:val="20"/>
              </w:rPr>
              <w:t>SETD2)</w:t>
            </w:r>
          </w:p>
        </w:tc>
        <w:tc>
          <w:tcPr>
            <w:tcW w:w="2525" w:type="dxa"/>
          </w:tcPr>
          <w:p w14:paraId="73B33AA8" w14:textId="1B31E8B1" w:rsidR="001B2352" w:rsidRPr="005D2196" w:rsidRDefault="001B2352" w:rsidP="005D2196">
            <w:pPr>
              <w:spacing w:before="40" w:after="40" w:line="240" w:lineRule="auto"/>
              <w:rPr>
                <w:rStyle w:val="CommentReference"/>
                <w:rFonts w:ascii="Arial Narrow" w:hAnsi="Arial Narrow"/>
                <w:sz w:val="20"/>
                <w:szCs w:val="20"/>
              </w:rPr>
            </w:pPr>
            <w:r w:rsidRPr="005D2196">
              <w:rPr>
                <w:rStyle w:val="CommentReference"/>
                <w:rFonts w:ascii="Arial Narrow" w:hAnsi="Arial Narrow"/>
                <w:sz w:val="20"/>
                <w:szCs w:val="20"/>
              </w:rPr>
              <w:t>Clear cell carcinoma</w:t>
            </w:r>
          </w:p>
        </w:tc>
        <w:tc>
          <w:tcPr>
            <w:tcW w:w="3335" w:type="dxa"/>
          </w:tcPr>
          <w:p w14:paraId="3DDE3D23" w14:textId="18A8AF83" w:rsidR="001B2352" w:rsidRPr="00B13C96" w:rsidRDefault="00EA30E9" w:rsidP="005D2196">
            <w:pPr>
              <w:spacing w:before="40" w:after="40" w:line="240" w:lineRule="auto"/>
              <w:rPr>
                <w:rStyle w:val="CommentReference"/>
                <w:rFonts w:ascii="Arial Narrow" w:hAnsi="Arial Narrow"/>
                <w:sz w:val="20"/>
                <w:szCs w:val="20"/>
              </w:rPr>
            </w:pPr>
            <w:r>
              <w:rPr>
                <w:rStyle w:val="CommentReference"/>
                <w:rFonts w:ascii="Arial Narrow" w:hAnsi="Arial Narrow"/>
                <w:sz w:val="20"/>
                <w:szCs w:val="20"/>
              </w:rPr>
              <w:t>Very rare, described within individual families in case series.</w:t>
            </w:r>
          </w:p>
        </w:tc>
      </w:tr>
      <w:tr w:rsidR="00EF0979" w:rsidRPr="003715E2" w14:paraId="3FE06FC8" w14:textId="77777777" w:rsidTr="003E03C0">
        <w:tc>
          <w:tcPr>
            <w:tcW w:w="1872" w:type="dxa"/>
          </w:tcPr>
          <w:p w14:paraId="2E11241E" w14:textId="77777777" w:rsidR="00EF0979" w:rsidRPr="00CC7D3E" w:rsidRDefault="00EF0979" w:rsidP="003E03C0">
            <w:pPr>
              <w:spacing w:before="40" w:after="40" w:line="240" w:lineRule="auto"/>
              <w:rPr>
                <w:rStyle w:val="CommentReference"/>
                <w:rFonts w:ascii="Arial Narrow" w:hAnsi="Arial Narrow"/>
                <w:sz w:val="20"/>
                <w:szCs w:val="20"/>
              </w:rPr>
            </w:pPr>
            <w:r w:rsidRPr="00CC7D3E">
              <w:rPr>
                <w:rStyle w:val="CommentReference"/>
                <w:rFonts w:ascii="Arial Narrow" w:hAnsi="Arial Narrow"/>
                <w:sz w:val="20"/>
                <w:szCs w:val="20"/>
              </w:rPr>
              <w:t>Microphthalmia-associated transcription factor (</w:t>
            </w:r>
            <w:proofErr w:type="spellStart"/>
            <w:r w:rsidRPr="00CC7D3E">
              <w:rPr>
                <w:rStyle w:val="CommentReference"/>
                <w:rFonts w:ascii="Arial Narrow" w:hAnsi="Arial Narrow"/>
                <w:sz w:val="20"/>
                <w:szCs w:val="20"/>
              </w:rPr>
              <w:t>MiTF</w:t>
            </w:r>
            <w:proofErr w:type="spellEnd"/>
            <w:r w:rsidRPr="00CC7D3E">
              <w:rPr>
                <w:rStyle w:val="CommentReference"/>
                <w:rFonts w:ascii="Arial Narrow" w:hAnsi="Arial Narrow"/>
                <w:sz w:val="20"/>
                <w:szCs w:val="20"/>
              </w:rPr>
              <w:t>)-associated RCC</w:t>
            </w:r>
          </w:p>
        </w:tc>
        <w:tc>
          <w:tcPr>
            <w:tcW w:w="1646" w:type="dxa"/>
          </w:tcPr>
          <w:p w14:paraId="62A35043" w14:textId="77777777" w:rsidR="00EF0979" w:rsidRPr="00CC7D3E" w:rsidRDefault="00EF0979" w:rsidP="003E03C0">
            <w:pPr>
              <w:spacing w:before="40" w:after="40" w:line="240" w:lineRule="auto"/>
              <w:rPr>
                <w:rStyle w:val="CommentReference"/>
                <w:rFonts w:ascii="Arial Narrow" w:hAnsi="Arial Narrow"/>
                <w:sz w:val="20"/>
                <w:szCs w:val="20"/>
              </w:rPr>
            </w:pPr>
            <w:r w:rsidRPr="00CC7D3E">
              <w:rPr>
                <w:rStyle w:val="CommentReference"/>
                <w:rFonts w:ascii="Arial Narrow" w:hAnsi="Arial Narrow"/>
                <w:sz w:val="20"/>
                <w:szCs w:val="20"/>
              </w:rPr>
              <w:t>MITF (156845)</w:t>
            </w:r>
          </w:p>
        </w:tc>
        <w:tc>
          <w:tcPr>
            <w:tcW w:w="2525" w:type="dxa"/>
          </w:tcPr>
          <w:p w14:paraId="2E4B117A" w14:textId="77777777" w:rsidR="00EF0979" w:rsidRPr="00CC7D3E" w:rsidRDefault="00EF0979" w:rsidP="003E03C0">
            <w:pPr>
              <w:spacing w:before="40" w:after="40" w:line="240" w:lineRule="auto"/>
              <w:rPr>
                <w:rStyle w:val="CommentReference"/>
                <w:rFonts w:ascii="Arial Narrow" w:hAnsi="Arial Narrow"/>
                <w:sz w:val="20"/>
                <w:szCs w:val="20"/>
              </w:rPr>
            </w:pPr>
            <w:r w:rsidRPr="00CC7D3E">
              <w:rPr>
                <w:rStyle w:val="CommentReference"/>
                <w:rFonts w:ascii="Arial Narrow" w:hAnsi="Arial Narrow"/>
                <w:sz w:val="20"/>
                <w:szCs w:val="20"/>
              </w:rPr>
              <w:t>RCC (various subtypes)</w:t>
            </w:r>
          </w:p>
          <w:p w14:paraId="10EA47D2" w14:textId="77777777" w:rsidR="00EF0979" w:rsidRPr="00CC7D3E" w:rsidRDefault="00EF0979" w:rsidP="003E03C0">
            <w:pPr>
              <w:spacing w:before="40" w:after="40" w:line="240" w:lineRule="auto"/>
              <w:rPr>
                <w:rStyle w:val="CommentReference"/>
                <w:rFonts w:ascii="Arial Narrow" w:hAnsi="Arial Narrow"/>
                <w:sz w:val="20"/>
                <w:szCs w:val="20"/>
              </w:rPr>
            </w:pPr>
          </w:p>
        </w:tc>
        <w:tc>
          <w:tcPr>
            <w:tcW w:w="3335" w:type="dxa"/>
          </w:tcPr>
          <w:p w14:paraId="06D1F63E" w14:textId="77777777" w:rsidR="00EF0979" w:rsidRPr="00CC7D3E" w:rsidRDefault="00EF0979" w:rsidP="003E03C0">
            <w:pPr>
              <w:spacing w:before="40" w:after="40" w:line="240" w:lineRule="auto"/>
              <w:rPr>
                <w:rStyle w:val="CommentReference"/>
                <w:rFonts w:ascii="Arial Narrow" w:hAnsi="Arial Narrow"/>
                <w:sz w:val="20"/>
                <w:szCs w:val="20"/>
              </w:rPr>
            </w:pPr>
            <w:r w:rsidRPr="00CC7D3E">
              <w:rPr>
                <w:rStyle w:val="CommentReference"/>
                <w:rFonts w:ascii="Arial Narrow" w:hAnsi="Arial Narrow"/>
                <w:sz w:val="20"/>
                <w:szCs w:val="20"/>
              </w:rPr>
              <w:t>Allele frequency 0.0013; predisposition to melanoma</w:t>
            </w:r>
          </w:p>
        </w:tc>
      </w:tr>
      <w:tr w:rsidR="00EF0979" w:rsidRPr="003715E2" w14:paraId="7516204D" w14:textId="77777777" w:rsidTr="003E03C0">
        <w:tc>
          <w:tcPr>
            <w:tcW w:w="1872" w:type="dxa"/>
          </w:tcPr>
          <w:p w14:paraId="202D1B88" w14:textId="77777777" w:rsidR="00EF0979" w:rsidRPr="00CC7D3E" w:rsidRDefault="00EF0979" w:rsidP="003E03C0">
            <w:pPr>
              <w:spacing w:before="40" w:after="40" w:line="240" w:lineRule="auto"/>
              <w:rPr>
                <w:rStyle w:val="CommentReference"/>
                <w:rFonts w:ascii="Arial Narrow" w:hAnsi="Arial Narrow"/>
                <w:sz w:val="20"/>
                <w:szCs w:val="20"/>
              </w:rPr>
            </w:pPr>
            <w:r w:rsidRPr="00CC7D3E">
              <w:rPr>
                <w:rStyle w:val="CommentReference"/>
                <w:rFonts w:ascii="Arial Narrow" w:hAnsi="Arial Narrow"/>
                <w:sz w:val="20"/>
                <w:szCs w:val="20"/>
              </w:rPr>
              <w:t>Hereditary non-polyposis colon cancer (HNPCC; Lynch syndrome</w:t>
            </w:r>
          </w:p>
        </w:tc>
        <w:tc>
          <w:tcPr>
            <w:tcW w:w="1646" w:type="dxa"/>
          </w:tcPr>
          <w:p w14:paraId="7D85FC01" w14:textId="77777777" w:rsidR="00EF0979" w:rsidRPr="00CC7D3E" w:rsidRDefault="00EF0979" w:rsidP="003E03C0">
            <w:pPr>
              <w:spacing w:before="40" w:after="40" w:line="240" w:lineRule="auto"/>
              <w:rPr>
                <w:rStyle w:val="CommentReference"/>
                <w:rFonts w:ascii="Arial Narrow" w:hAnsi="Arial Narrow"/>
                <w:sz w:val="20"/>
                <w:szCs w:val="20"/>
              </w:rPr>
            </w:pPr>
            <w:r w:rsidRPr="00CC7D3E">
              <w:rPr>
                <w:rStyle w:val="CommentReference"/>
                <w:rFonts w:ascii="Arial Narrow" w:hAnsi="Arial Narrow"/>
                <w:sz w:val="20"/>
                <w:szCs w:val="20"/>
              </w:rPr>
              <w:t>MSH1, MSH2, MSH6, PMS2, EPCAM</w:t>
            </w:r>
          </w:p>
        </w:tc>
        <w:tc>
          <w:tcPr>
            <w:tcW w:w="2525" w:type="dxa"/>
          </w:tcPr>
          <w:p w14:paraId="1821BD22" w14:textId="77777777" w:rsidR="00EF0979" w:rsidRPr="00CC7D3E" w:rsidRDefault="00EF0979" w:rsidP="003E03C0">
            <w:pPr>
              <w:spacing w:before="40" w:after="40" w:line="240" w:lineRule="auto"/>
              <w:rPr>
                <w:rStyle w:val="CommentReference"/>
                <w:rFonts w:ascii="Arial Narrow" w:hAnsi="Arial Narrow"/>
                <w:sz w:val="20"/>
                <w:szCs w:val="20"/>
              </w:rPr>
            </w:pPr>
            <w:r w:rsidRPr="00CC7D3E">
              <w:rPr>
                <w:rStyle w:val="CommentReference"/>
                <w:rFonts w:ascii="Arial Narrow" w:hAnsi="Arial Narrow"/>
                <w:sz w:val="20"/>
                <w:szCs w:val="20"/>
              </w:rPr>
              <w:t>Urothelial cancer (6%) - aggressive</w:t>
            </w:r>
          </w:p>
        </w:tc>
        <w:tc>
          <w:tcPr>
            <w:tcW w:w="3335" w:type="dxa"/>
          </w:tcPr>
          <w:p w14:paraId="6161841C" w14:textId="77777777" w:rsidR="00EF0979" w:rsidRPr="00CC7D3E" w:rsidRDefault="00EF0979" w:rsidP="003E03C0">
            <w:pPr>
              <w:spacing w:before="40" w:after="40" w:line="240" w:lineRule="auto"/>
              <w:rPr>
                <w:rStyle w:val="CommentReference"/>
                <w:rFonts w:ascii="Arial Narrow" w:hAnsi="Arial Narrow"/>
                <w:sz w:val="20"/>
                <w:szCs w:val="20"/>
              </w:rPr>
            </w:pPr>
            <w:r w:rsidRPr="00CC7D3E">
              <w:rPr>
                <w:rStyle w:val="CommentReference"/>
                <w:rFonts w:ascii="Arial Narrow" w:hAnsi="Arial Narrow"/>
                <w:sz w:val="20"/>
                <w:szCs w:val="20"/>
              </w:rPr>
              <w:t>Estimated carrier frequency 1:280</w:t>
            </w:r>
          </w:p>
        </w:tc>
      </w:tr>
    </w:tbl>
    <w:p w14:paraId="2C07B32A" w14:textId="5845BAFC" w:rsidR="006B0BE0" w:rsidRPr="005D2196" w:rsidRDefault="00CB22FB" w:rsidP="00CC7D3E">
      <w:pPr>
        <w:pStyle w:val="Instructionaltext"/>
        <w:spacing w:before="0" w:after="0" w:line="240" w:lineRule="auto"/>
        <w:rPr>
          <w:rStyle w:val="CommentReference"/>
          <w:rFonts w:ascii="Arial Narrow" w:hAnsi="Arial Narrow"/>
          <w:iCs w:val="0"/>
          <w:color w:val="000000" w:themeColor="text1"/>
          <w:sz w:val="18"/>
          <w:szCs w:val="18"/>
        </w:rPr>
      </w:pPr>
      <w:r w:rsidRPr="005D2196">
        <w:rPr>
          <w:rStyle w:val="CommentReference"/>
          <w:rFonts w:ascii="Arial Narrow" w:hAnsi="Arial Narrow"/>
          <w:iCs w:val="0"/>
          <w:color w:val="000000" w:themeColor="text1"/>
          <w:sz w:val="18"/>
          <w:szCs w:val="18"/>
        </w:rPr>
        <w:t>Source:</w:t>
      </w:r>
      <w:r w:rsidR="00104110">
        <w:rPr>
          <w:rStyle w:val="CommentReference"/>
          <w:rFonts w:ascii="Arial Narrow" w:hAnsi="Arial Narrow"/>
          <w:iCs w:val="0"/>
          <w:color w:val="000000" w:themeColor="text1"/>
          <w:sz w:val="18"/>
          <w:szCs w:val="18"/>
        </w:rPr>
        <w:t xml:space="preserve"> </w:t>
      </w:r>
      <w:r w:rsidR="00201269" w:rsidRPr="005D2196">
        <w:rPr>
          <w:rStyle w:val="CommentReference"/>
          <w:rFonts w:ascii="Arial Narrow" w:hAnsi="Arial Narrow"/>
          <w:iCs w:val="0"/>
          <w:color w:val="000000" w:themeColor="text1"/>
          <w:sz w:val="18"/>
          <w:szCs w:val="18"/>
        </w:rPr>
        <w:t xml:space="preserve">adapted from </w:t>
      </w:r>
      <w:r w:rsidRPr="005D2196">
        <w:rPr>
          <w:rStyle w:val="CommentReference"/>
          <w:rFonts w:ascii="Arial Narrow" w:hAnsi="Arial Narrow"/>
          <w:iCs w:val="0"/>
          <w:color w:val="000000" w:themeColor="text1"/>
          <w:sz w:val="18"/>
          <w:szCs w:val="18"/>
        </w:rPr>
        <w:t>NCCN guideli</w:t>
      </w:r>
      <w:r w:rsidR="00E12D52" w:rsidRPr="005D2196">
        <w:rPr>
          <w:rStyle w:val="CommentReference"/>
          <w:rFonts w:ascii="Arial Narrow" w:hAnsi="Arial Narrow"/>
          <w:iCs w:val="0"/>
          <w:color w:val="000000" w:themeColor="text1"/>
          <w:sz w:val="18"/>
          <w:szCs w:val="18"/>
        </w:rPr>
        <w:t>ne</w:t>
      </w:r>
      <w:r w:rsidRPr="005D2196">
        <w:rPr>
          <w:rStyle w:val="CommentReference"/>
          <w:rFonts w:ascii="Arial Narrow" w:hAnsi="Arial Narrow"/>
          <w:iCs w:val="0"/>
          <w:color w:val="000000" w:themeColor="text1"/>
          <w:sz w:val="18"/>
          <w:szCs w:val="18"/>
        </w:rPr>
        <w:t>s version 1.2021 Hereditary renal cell carcinomas</w:t>
      </w:r>
      <w:r w:rsidR="00EF0979">
        <w:rPr>
          <w:rStyle w:val="CommentReference"/>
          <w:rFonts w:ascii="Arial Narrow" w:hAnsi="Arial Narrow"/>
          <w:iCs w:val="0"/>
          <w:color w:val="000000" w:themeColor="text1"/>
          <w:sz w:val="18"/>
          <w:szCs w:val="18"/>
        </w:rPr>
        <w:t xml:space="preserve">; </w:t>
      </w:r>
      <w:r w:rsidR="00EF0979" w:rsidRPr="003715E2">
        <w:rPr>
          <w:rFonts w:ascii="Arial Narrow" w:hAnsi="Arial Narrow"/>
          <w:color w:val="000000" w:themeColor="text1"/>
          <w:sz w:val="18"/>
          <w:szCs w:val="18"/>
        </w:rPr>
        <w:t>OMIM: On-line Mendelian Inheritance in Man (</w:t>
      </w:r>
      <w:hyperlink r:id="rId9" w:history="1">
        <w:r w:rsidR="00EF0979" w:rsidRPr="003715E2">
          <w:rPr>
            <w:rStyle w:val="Hyperlink"/>
            <w:rFonts w:ascii="Arial Narrow" w:hAnsi="Arial Narrow" w:cstheme="minorBidi"/>
            <w:sz w:val="18"/>
            <w:szCs w:val="18"/>
          </w:rPr>
          <w:t>www.omim.org</w:t>
        </w:r>
      </w:hyperlink>
      <w:r w:rsidR="00EF0979" w:rsidRPr="003715E2">
        <w:rPr>
          <w:rFonts w:ascii="Arial Narrow" w:hAnsi="Arial Narrow"/>
          <w:color w:val="000000" w:themeColor="text1"/>
          <w:sz w:val="18"/>
          <w:szCs w:val="18"/>
        </w:rPr>
        <w:t>)</w:t>
      </w:r>
      <w:r w:rsidR="00EF0979" w:rsidRPr="005D2196">
        <w:rPr>
          <w:rStyle w:val="CommentReference"/>
          <w:rFonts w:ascii="Arial Narrow" w:hAnsi="Arial Narrow"/>
          <w:iCs w:val="0"/>
          <w:color w:val="000000" w:themeColor="text1"/>
          <w:sz w:val="18"/>
          <w:szCs w:val="18"/>
        </w:rPr>
        <w:t>.</w:t>
      </w:r>
    </w:p>
    <w:p w14:paraId="2BDAD273" w14:textId="0B1DDDB1" w:rsidR="00EF0979" w:rsidRDefault="006B0BE0" w:rsidP="00CC7D3E">
      <w:pPr>
        <w:pStyle w:val="Instructionaltext"/>
        <w:spacing w:before="0" w:after="360" w:line="240" w:lineRule="auto"/>
        <w:rPr>
          <w:rStyle w:val="CommentReference"/>
          <w:rFonts w:ascii="Arial Narrow" w:hAnsi="Arial Narrow"/>
          <w:iCs w:val="0"/>
          <w:color w:val="000000" w:themeColor="text1"/>
          <w:sz w:val="18"/>
          <w:szCs w:val="18"/>
        </w:rPr>
      </w:pPr>
      <w:r w:rsidRPr="005D2196">
        <w:rPr>
          <w:rStyle w:val="CommentReference"/>
          <w:rFonts w:ascii="Arial Narrow" w:hAnsi="Arial Narrow"/>
          <w:iCs w:val="0"/>
          <w:color w:val="000000" w:themeColor="text1"/>
          <w:sz w:val="18"/>
          <w:szCs w:val="18"/>
        </w:rPr>
        <w:t xml:space="preserve">GIST = gastro-intestinal stromal tumour; HLRCC = Hereditary </w:t>
      </w:r>
      <w:proofErr w:type="spellStart"/>
      <w:r w:rsidRPr="005D2196">
        <w:rPr>
          <w:rStyle w:val="CommentReference"/>
          <w:rFonts w:ascii="Arial Narrow" w:hAnsi="Arial Narrow"/>
          <w:iCs w:val="0"/>
          <w:color w:val="000000" w:themeColor="text1"/>
          <w:sz w:val="18"/>
          <w:szCs w:val="18"/>
        </w:rPr>
        <w:t>leiomyomatosis</w:t>
      </w:r>
      <w:proofErr w:type="spellEnd"/>
      <w:r w:rsidRPr="005D2196">
        <w:rPr>
          <w:rStyle w:val="CommentReference"/>
          <w:rFonts w:ascii="Arial Narrow" w:hAnsi="Arial Narrow"/>
          <w:iCs w:val="0"/>
          <w:color w:val="000000" w:themeColor="text1"/>
          <w:sz w:val="18"/>
          <w:szCs w:val="18"/>
        </w:rPr>
        <w:t xml:space="preserve"> and renal cell carcinoma; HPPS = Hereditary paraganglioma/pheochromocytoma syndrome; HPRC = hereditary papillary renal carcinoma; TPDS = Tumour predisposition syndrome</w:t>
      </w:r>
    </w:p>
    <w:p w14:paraId="5B63AA38" w14:textId="52BE5952" w:rsidR="00F24DCF" w:rsidRDefault="00B13C96" w:rsidP="00135F3D">
      <w:pPr>
        <w:pStyle w:val="Heading5"/>
      </w:pPr>
      <w:r w:rsidRPr="00B13C96">
        <w:t>Tuberous Sclerosis Complex (TSC)</w:t>
      </w:r>
    </w:p>
    <w:p w14:paraId="7059C055" w14:textId="308920A5" w:rsidR="00F24DCF" w:rsidRPr="005D2196" w:rsidRDefault="00F930DC" w:rsidP="005D2196">
      <w:r w:rsidRPr="005D2196">
        <w:t xml:space="preserve">Tuberous Sclerosis Complex (TSC) is a genetic disease caused by mutations in the tumour suppressor genes </w:t>
      </w:r>
      <w:r w:rsidRPr="005D2196">
        <w:rPr>
          <w:i/>
          <w:iCs w:val="0"/>
        </w:rPr>
        <w:t>TSC1</w:t>
      </w:r>
      <w:r w:rsidRPr="005D2196">
        <w:t xml:space="preserve"> and </w:t>
      </w:r>
      <w:r w:rsidRPr="005D2196">
        <w:rPr>
          <w:i/>
          <w:iCs w:val="0"/>
        </w:rPr>
        <w:t>TSC2</w:t>
      </w:r>
      <w:r w:rsidRPr="005D2196">
        <w:t>, located on chromosomes 9 and 16</w:t>
      </w:r>
      <w:r w:rsidR="002342FE" w:rsidRPr="005D2196">
        <w:t xml:space="preserve"> (van </w:t>
      </w:r>
      <w:proofErr w:type="spellStart"/>
      <w:r w:rsidR="002342FE" w:rsidRPr="005D2196">
        <w:t>Slegtenhorst</w:t>
      </w:r>
      <w:proofErr w:type="spellEnd"/>
      <w:r w:rsidR="002342FE" w:rsidRPr="005D2196">
        <w:t xml:space="preserve"> 1997 and Consortium ECTS 1993, </w:t>
      </w:r>
      <w:r w:rsidR="00BF3A5A" w:rsidRPr="005D2196">
        <w:t>cited</w:t>
      </w:r>
      <w:r w:rsidR="002342FE" w:rsidRPr="005D2196">
        <w:t xml:space="preserve"> in Amin 2019)</w:t>
      </w:r>
      <w:r w:rsidR="002D4E6A" w:rsidRPr="005D2196">
        <w:t>.</w:t>
      </w:r>
      <w:r w:rsidR="00771BF0" w:rsidRPr="005D2196">
        <w:t xml:space="preserve"> </w:t>
      </w:r>
      <w:r w:rsidRPr="005D2196">
        <w:t xml:space="preserve">The protein products of TSC1 and </w:t>
      </w:r>
      <w:r w:rsidRPr="005D2196">
        <w:rPr>
          <w:i/>
        </w:rPr>
        <w:t>TSC2</w:t>
      </w:r>
      <w:r w:rsidRPr="005D2196">
        <w:t xml:space="preserve"> (hamartin and tuberin) function together within the cell and have an inhibitory effect on the mammalian target of rapamycin (mTOR), a protein kinase that influences cell growth and division and the synthesis of proteins and other cell components</w:t>
      </w:r>
      <w:r w:rsidR="00771BF0" w:rsidRPr="005D2196">
        <w:t xml:space="preserve"> </w:t>
      </w:r>
      <w:r w:rsidR="00E33FE7" w:rsidRPr="005D2196">
        <w:t>(</w:t>
      </w:r>
      <w:r w:rsidR="00E00FE9" w:rsidRPr="005D2196">
        <w:t>Tee 2002</w:t>
      </w:r>
      <w:r w:rsidR="00161997" w:rsidRPr="005D2196">
        <w:t xml:space="preserve"> referenced in </w:t>
      </w:r>
      <w:r w:rsidR="00E33FE7" w:rsidRPr="005D2196">
        <w:t>Amin 2019).</w:t>
      </w:r>
      <w:r w:rsidRPr="005D2196">
        <w:t xml:space="preserve"> Mutations in either </w:t>
      </w:r>
      <w:r w:rsidRPr="005D2196">
        <w:rPr>
          <w:i/>
        </w:rPr>
        <w:t>TSC1</w:t>
      </w:r>
      <w:r w:rsidRPr="005D2196">
        <w:t xml:space="preserve"> or </w:t>
      </w:r>
      <w:r w:rsidRPr="005D2196">
        <w:rPr>
          <w:i/>
        </w:rPr>
        <w:t>TSC2</w:t>
      </w:r>
      <w:r w:rsidRPr="005D2196">
        <w:t xml:space="preserve"> lead to over-activation of the mTOR pathway and relatively uncontrolled cell growth that causes growth of benign tumours (hamartomas) in various organs, such as the brain, kidneys, skin, heart, lungs and bones</w:t>
      </w:r>
      <w:r w:rsidR="00E33FE7" w:rsidRPr="005D2196">
        <w:t xml:space="preserve"> (</w:t>
      </w:r>
      <w:r w:rsidR="00161997" w:rsidRPr="005D2196">
        <w:t xml:space="preserve">Kwiatkowski 2003 </w:t>
      </w:r>
      <w:r w:rsidR="00BF3A5A" w:rsidRPr="005D2196">
        <w:t>cited</w:t>
      </w:r>
      <w:r w:rsidR="00161997" w:rsidRPr="005D2196">
        <w:t xml:space="preserve"> in </w:t>
      </w:r>
      <w:r w:rsidR="00E33FE7" w:rsidRPr="005D2196">
        <w:t>Amin 2019)</w:t>
      </w:r>
      <w:r w:rsidR="002D4E6A" w:rsidRPr="005D2196">
        <w:t>.</w:t>
      </w:r>
    </w:p>
    <w:p w14:paraId="4AC65E85" w14:textId="27237C0D" w:rsidR="006F14DE" w:rsidRPr="005D2196" w:rsidRDefault="00921A3A" w:rsidP="005D2196">
      <w:r w:rsidRPr="005D2196">
        <w:t>The application states that TSC has an incidence of 1:6000 and prevalence of 8.8:100000 (O’Callaghan 1998 and Osborne 1991).</w:t>
      </w:r>
      <w:r w:rsidR="003D10C3" w:rsidRPr="005D2196">
        <w:t xml:space="preserve"> </w:t>
      </w:r>
      <w:r w:rsidRPr="005D2196">
        <w:t>The incidence was estimated in a UK study to be 1 per 5800 live births. Approximately two-thirds of cases occur sporadically (Osborne 1991 cited in Northrup 2021). A more recent study in Germany estimated the incidence rate to be from 1:6760 to 1:13520 live births (Ebrahimi-</w:t>
      </w:r>
      <w:proofErr w:type="spellStart"/>
      <w:r w:rsidRPr="005D2196">
        <w:t>Fakhari</w:t>
      </w:r>
      <w:proofErr w:type="spellEnd"/>
      <w:r w:rsidRPr="005D2196">
        <w:t xml:space="preserve"> 2018 cited in Northrup 2021).</w:t>
      </w:r>
      <w:r w:rsidR="006F14DE" w:rsidRPr="005D2196">
        <w:t xml:space="preserve"> Of the requested population, the majority of treated patients would be patients with TSC.</w:t>
      </w:r>
    </w:p>
    <w:p w14:paraId="03541779" w14:textId="577E7716" w:rsidR="00F930DC" w:rsidRPr="005D2196" w:rsidRDefault="00F930DC" w:rsidP="005D2196">
      <w:r w:rsidRPr="005D2196">
        <w:t>The management of TSC has varied depend</w:t>
      </w:r>
      <w:r w:rsidR="00125E36" w:rsidRPr="005D2196">
        <w:t>ing</w:t>
      </w:r>
      <w:r w:rsidRPr="005D2196">
        <w:t xml:space="preserve"> on treating physician, local and national policies and funding.</w:t>
      </w:r>
      <w:r w:rsidR="00771BF0" w:rsidRPr="005D2196">
        <w:t xml:space="preserve"> </w:t>
      </w:r>
      <w:r w:rsidRPr="005D2196">
        <w:t>The International TSC Clinical Consensus Group reaffirm</w:t>
      </w:r>
      <w:r w:rsidR="002342FE" w:rsidRPr="005D2196">
        <w:t>ed</w:t>
      </w:r>
      <w:r w:rsidRPr="005D2196">
        <w:t xml:space="preserve"> the importance of independent genetic diagnostic criteria and clinical diagnostic criteria. Identification of a pathogenic variant in </w:t>
      </w:r>
      <w:r w:rsidRPr="005D2196">
        <w:rPr>
          <w:i/>
        </w:rPr>
        <w:t>TSC1</w:t>
      </w:r>
      <w:r w:rsidRPr="005D2196">
        <w:t xml:space="preserve"> or </w:t>
      </w:r>
      <w:r w:rsidRPr="005D2196">
        <w:rPr>
          <w:i/>
        </w:rPr>
        <w:t>TSC2</w:t>
      </w:r>
      <w:r w:rsidRPr="005D2196">
        <w:t xml:space="preserve"> is sufficient for the diagnosis or prediction of TSC regardless of clinical findings (Northrup 2021)</w:t>
      </w:r>
      <w:r w:rsidR="00F24DCF" w:rsidRPr="005D2196">
        <w:t xml:space="preserve">. </w:t>
      </w:r>
      <w:r w:rsidR="00771BF0" w:rsidRPr="005D2196">
        <w:t xml:space="preserve">Determination of pathogenicity of genetic variants of </w:t>
      </w:r>
      <w:r w:rsidR="00771BF0" w:rsidRPr="005D2196">
        <w:rPr>
          <w:i/>
        </w:rPr>
        <w:t>TSC1</w:t>
      </w:r>
      <w:r w:rsidR="00771BF0" w:rsidRPr="005D2196">
        <w:t xml:space="preserve"> or </w:t>
      </w:r>
      <w:r w:rsidR="00771BF0" w:rsidRPr="005D2196">
        <w:rPr>
          <w:i/>
        </w:rPr>
        <w:t>TSC2</w:t>
      </w:r>
      <w:r w:rsidR="00771BF0" w:rsidRPr="005D2196">
        <w:t xml:space="preserve"> should follow standards and guidelines of the American College of Medical Genetics (ACMG) for interpretation of sequence variants.</w:t>
      </w:r>
      <w:r w:rsidR="00DB0A10" w:rsidRPr="005D2196">
        <w:t xml:space="preserve"> </w:t>
      </w:r>
      <w:r w:rsidRPr="005D2196">
        <w:t xml:space="preserve">Between 10% and 15% of patients with TSC meeting clinical diagnostic criteria have no mutation identified by conventional genetic testing. Therefore, failure to identify a pathogenic variant in </w:t>
      </w:r>
      <w:r w:rsidRPr="005D2196">
        <w:rPr>
          <w:i/>
        </w:rPr>
        <w:t>TSC1</w:t>
      </w:r>
      <w:r w:rsidRPr="005D2196">
        <w:t xml:space="preserve"> or </w:t>
      </w:r>
      <w:r w:rsidRPr="005D2196">
        <w:rPr>
          <w:i/>
        </w:rPr>
        <w:t>TSC2</w:t>
      </w:r>
      <w:r w:rsidRPr="005D2196">
        <w:t xml:space="preserve"> does not exclude a diagnosis of TSC</w:t>
      </w:r>
      <w:r w:rsidR="00F24DCF" w:rsidRPr="005D2196">
        <w:t xml:space="preserve"> (</w:t>
      </w:r>
      <w:proofErr w:type="spellStart"/>
      <w:r w:rsidR="00F24DCF" w:rsidRPr="005D2196">
        <w:t>Norhtrup</w:t>
      </w:r>
      <w:proofErr w:type="spellEnd"/>
      <w:r w:rsidR="00F24DCF" w:rsidRPr="005D2196">
        <w:t xml:space="preserve"> 2021)</w:t>
      </w:r>
      <w:r w:rsidR="0007444E" w:rsidRPr="005D2196">
        <w:t>.</w:t>
      </w:r>
      <w:r w:rsidR="00771BF0" w:rsidRPr="005D2196">
        <w:t xml:space="preserve"> </w:t>
      </w:r>
      <w:r w:rsidR="0007444E" w:rsidRPr="005D2196">
        <w:t>Conse</w:t>
      </w:r>
      <w:r w:rsidR="00C83DE2" w:rsidRPr="005D2196">
        <w:t>qu</w:t>
      </w:r>
      <w:r w:rsidR="0007444E" w:rsidRPr="005D2196">
        <w:t>ently, TSC may be diagnosed based on clinical features alone.</w:t>
      </w:r>
      <w:r w:rsidR="00A95149">
        <w:t xml:space="preserve"> Table 4</w:t>
      </w:r>
      <w:r w:rsidRPr="005D2196">
        <w:t xml:space="preserve"> presents the clinical features for diagnosis of TSC</w:t>
      </w:r>
      <w:r w:rsidR="0007444E" w:rsidRPr="005D2196">
        <w:t>.</w:t>
      </w:r>
    </w:p>
    <w:p w14:paraId="6DC799F2" w14:textId="6CE7D8D2" w:rsidR="00F930DC" w:rsidRPr="00135F3D" w:rsidRDefault="000C022D" w:rsidP="00135F3D">
      <w:pPr>
        <w:autoSpaceDE w:val="0"/>
        <w:autoSpaceDN w:val="0"/>
        <w:adjustRightInd w:val="0"/>
        <w:spacing w:after="40" w:line="259" w:lineRule="auto"/>
        <w:rPr>
          <w:rFonts w:ascii="Arial Narrow" w:eastAsia="Times New Roman" w:hAnsi="Arial Narrow"/>
          <w:b/>
          <w:bCs/>
          <w:iCs w:val="0"/>
          <w:color w:val="000000" w:themeColor="text1"/>
          <w:sz w:val="20"/>
          <w:szCs w:val="20"/>
        </w:rPr>
      </w:pPr>
      <w:bookmarkStart w:id="6" w:name="_Ref97035610"/>
      <w:r w:rsidRPr="00135F3D">
        <w:rPr>
          <w:rFonts w:ascii="Arial Narrow" w:eastAsia="Times New Roman" w:hAnsi="Arial Narrow"/>
          <w:b/>
          <w:bCs/>
          <w:iCs w:val="0"/>
          <w:color w:val="000000" w:themeColor="text1"/>
          <w:sz w:val="20"/>
          <w:szCs w:val="20"/>
        </w:rPr>
        <w:lastRenderedPageBreak/>
        <w:t>Table </w:t>
      </w:r>
      <w:r w:rsidRPr="00135F3D">
        <w:rPr>
          <w:rFonts w:ascii="Arial Narrow" w:eastAsia="Times New Roman" w:hAnsi="Arial Narrow"/>
          <w:b/>
          <w:bCs/>
          <w:iCs w:val="0"/>
          <w:color w:val="000000" w:themeColor="text1"/>
          <w:sz w:val="20"/>
          <w:szCs w:val="20"/>
        </w:rPr>
        <w:fldChar w:fldCharType="begin"/>
      </w:r>
      <w:r w:rsidRPr="00135F3D">
        <w:rPr>
          <w:rFonts w:ascii="Arial Narrow" w:eastAsia="Times New Roman" w:hAnsi="Arial Narrow"/>
          <w:b/>
          <w:bCs/>
          <w:iCs w:val="0"/>
          <w:color w:val="000000" w:themeColor="text1"/>
          <w:sz w:val="20"/>
          <w:szCs w:val="20"/>
        </w:rPr>
        <w:instrText xml:space="preserve"> SEQ Table \* ARABIC </w:instrText>
      </w:r>
      <w:r w:rsidRPr="00135F3D">
        <w:rPr>
          <w:rFonts w:ascii="Arial Narrow" w:eastAsia="Times New Roman" w:hAnsi="Arial Narrow"/>
          <w:b/>
          <w:bCs/>
          <w:iCs w:val="0"/>
          <w:color w:val="000000" w:themeColor="text1"/>
          <w:sz w:val="20"/>
          <w:szCs w:val="20"/>
        </w:rPr>
        <w:fldChar w:fldCharType="separate"/>
      </w:r>
      <w:r w:rsidR="0069673F">
        <w:rPr>
          <w:rFonts w:ascii="Arial Narrow" w:eastAsia="Times New Roman" w:hAnsi="Arial Narrow"/>
          <w:b/>
          <w:bCs/>
          <w:iCs w:val="0"/>
          <w:noProof/>
          <w:color w:val="000000" w:themeColor="text1"/>
          <w:sz w:val="20"/>
          <w:szCs w:val="20"/>
        </w:rPr>
        <w:t>4</w:t>
      </w:r>
      <w:r w:rsidRPr="00135F3D">
        <w:rPr>
          <w:rFonts w:ascii="Arial Narrow" w:eastAsia="Times New Roman" w:hAnsi="Arial Narrow"/>
          <w:b/>
          <w:bCs/>
          <w:iCs w:val="0"/>
          <w:color w:val="000000" w:themeColor="text1"/>
          <w:sz w:val="20"/>
          <w:szCs w:val="20"/>
        </w:rPr>
        <w:fldChar w:fldCharType="end"/>
      </w:r>
      <w:bookmarkEnd w:id="6"/>
      <w:r w:rsidR="002E6C8D" w:rsidRPr="00135F3D">
        <w:rPr>
          <w:rFonts w:ascii="Arial Narrow" w:eastAsia="Times New Roman" w:hAnsi="Arial Narrow"/>
          <w:b/>
          <w:bCs/>
          <w:iCs w:val="0"/>
          <w:color w:val="000000" w:themeColor="text1"/>
          <w:sz w:val="20"/>
          <w:szCs w:val="20"/>
        </w:rPr>
        <w:tab/>
      </w:r>
      <w:r w:rsidR="00CB22FB" w:rsidRPr="00135F3D">
        <w:rPr>
          <w:rFonts w:ascii="Arial Narrow" w:eastAsia="Times New Roman" w:hAnsi="Arial Narrow"/>
          <w:b/>
          <w:bCs/>
          <w:iCs w:val="0"/>
          <w:color w:val="000000" w:themeColor="text1"/>
          <w:sz w:val="20"/>
          <w:szCs w:val="20"/>
        </w:rPr>
        <w:t>Clinical features of TSC</w:t>
      </w:r>
    </w:p>
    <w:tbl>
      <w:tblPr>
        <w:tblStyle w:val="TableGrid"/>
        <w:tblW w:w="0" w:type="auto"/>
        <w:tblInd w:w="0" w:type="dxa"/>
        <w:tblLook w:val="04A0" w:firstRow="1" w:lastRow="0" w:firstColumn="1" w:lastColumn="0" w:noHBand="0" w:noVBand="1"/>
      </w:tblPr>
      <w:tblGrid>
        <w:gridCol w:w="5382"/>
        <w:gridCol w:w="4189"/>
      </w:tblGrid>
      <w:tr w:rsidR="00F930DC" w:rsidRPr="00771BF0" w14:paraId="12BB41C3" w14:textId="77777777" w:rsidTr="00771BF0">
        <w:tc>
          <w:tcPr>
            <w:tcW w:w="5382" w:type="dxa"/>
            <w:tcBorders>
              <w:bottom w:val="single" w:sz="4" w:space="0" w:color="auto"/>
            </w:tcBorders>
          </w:tcPr>
          <w:p w14:paraId="75EA770B" w14:textId="2B631DA7" w:rsidR="00F930DC" w:rsidRPr="00135F3D" w:rsidRDefault="00F930DC" w:rsidP="00135F3D">
            <w:pPr>
              <w:spacing w:after="0" w:line="240" w:lineRule="auto"/>
              <w:jc w:val="center"/>
              <w:rPr>
                <w:rFonts w:ascii="Arial Narrow" w:hAnsi="Arial Narrow"/>
                <w:b/>
                <w:bCs/>
                <w:sz w:val="20"/>
                <w:szCs w:val="20"/>
              </w:rPr>
            </w:pPr>
            <w:r w:rsidRPr="00135F3D">
              <w:rPr>
                <w:rFonts w:ascii="Arial Narrow" w:hAnsi="Arial Narrow"/>
                <w:b/>
                <w:bCs/>
                <w:sz w:val="20"/>
                <w:szCs w:val="20"/>
              </w:rPr>
              <w:t>Major Criteria</w:t>
            </w:r>
          </w:p>
        </w:tc>
        <w:tc>
          <w:tcPr>
            <w:tcW w:w="4189" w:type="dxa"/>
            <w:tcBorders>
              <w:bottom w:val="single" w:sz="4" w:space="0" w:color="auto"/>
            </w:tcBorders>
          </w:tcPr>
          <w:p w14:paraId="3EE5D8CF" w14:textId="4FB1DB21" w:rsidR="00F930DC" w:rsidRPr="00135F3D" w:rsidRDefault="00F930DC" w:rsidP="00135F3D">
            <w:pPr>
              <w:spacing w:after="0" w:line="240" w:lineRule="auto"/>
              <w:jc w:val="center"/>
              <w:rPr>
                <w:rFonts w:ascii="Arial Narrow" w:hAnsi="Arial Narrow"/>
                <w:b/>
                <w:bCs/>
                <w:sz w:val="20"/>
                <w:szCs w:val="20"/>
              </w:rPr>
            </w:pPr>
            <w:r w:rsidRPr="00135F3D">
              <w:rPr>
                <w:rFonts w:ascii="Arial Narrow" w:hAnsi="Arial Narrow"/>
                <w:b/>
                <w:bCs/>
                <w:sz w:val="20"/>
                <w:szCs w:val="20"/>
              </w:rPr>
              <w:t>Minor Criteria</w:t>
            </w:r>
          </w:p>
        </w:tc>
      </w:tr>
      <w:tr w:rsidR="00F930DC" w:rsidRPr="00E70DE3" w14:paraId="1C6AC536" w14:textId="77777777" w:rsidTr="00771BF0">
        <w:tc>
          <w:tcPr>
            <w:tcW w:w="5382" w:type="dxa"/>
            <w:tcBorders>
              <w:bottom w:val="nil"/>
            </w:tcBorders>
          </w:tcPr>
          <w:p w14:paraId="34D69109" w14:textId="4AB0A1EA" w:rsidR="00F930DC" w:rsidRPr="00E70DE3" w:rsidRDefault="00F930DC" w:rsidP="00AA4DCC">
            <w:pPr>
              <w:pStyle w:val="ListParagraph"/>
              <w:numPr>
                <w:ilvl w:val="0"/>
                <w:numId w:val="17"/>
              </w:numPr>
              <w:spacing w:after="0" w:line="240" w:lineRule="auto"/>
              <w:rPr>
                <w:rFonts w:ascii="Arial Narrow" w:hAnsi="Arial Narrow"/>
                <w:sz w:val="20"/>
                <w:szCs w:val="20"/>
              </w:rPr>
            </w:pPr>
            <w:r w:rsidRPr="00E70DE3">
              <w:rPr>
                <w:rFonts w:ascii="Arial Narrow" w:hAnsi="Arial Narrow"/>
                <w:sz w:val="20"/>
                <w:szCs w:val="20"/>
              </w:rPr>
              <w:t>Hypomelanotic macules (</w:t>
            </w:r>
            <w:r w:rsidR="00CB22FB" w:rsidRPr="00E70DE3">
              <w:rPr>
                <w:rFonts w:ascii="Arial Narrow" w:hAnsi="Arial Narrow" w:cs="Arial"/>
                <w:sz w:val="20"/>
                <w:szCs w:val="20"/>
              </w:rPr>
              <w:t>≥</w:t>
            </w:r>
            <w:r w:rsidRPr="00E70DE3">
              <w:rPr>
                <w:rFonts w:ascii="Arial Narrow" w:hAnsi="Arial Narrow"/>
                <w:sz w:val="20"/>
                <w:szCs w:val="20"/>
              </w:rPr>
              <w:t>3; at least 5 mm</w:t>
            </w:r>
            <w:r w:rsidR="008B5AF2" w:rsidRPr="00E70DE3">
              <w:rPr>
                <w:rFonts w:ascii="Arial Narrow" w:hAnsi="Arial Narrow"/>
                <w:sz w:val="20"/>
                <w:szCs w:val="20"/>
              </w:rPr>
              <w:t xml:space="preserve"> </w:t>
            </w:r>
            <w:r w:rsidRPr="00E70DE3">
              <w:rPr>
                <w:rFonts w:ascii="Arial Narrow" w:hAnsi="Arial Narrow"/>
                <w:sz w:val="20"/>
                <w:szCs w:val="20"/>
              </w:rPr>
              <w:t>diameter)</w:t>
            </w:r>
          </w:p>
        </w:tc>
        <w:tc>
          <w:tcPr>
            <w:tcW w:w="4189" w:type="dxa"/>
            <w:tcBorders>
              <w:bottom w:val="nil"/>
            </w:tcBorders>
          </w:tcPr>
          <w:p w14:paraId="2686CCC7" w14:textId="13C75658" w:rsidR="00F930DC" w:rsidRPr="00E70DE3" w:rsidRDefault="00F930DC" w:rsidP="00AA4DCC">
            <w:pPr>
              <w:pStyle w:val="ListParagraph"/>
              <w:numPr>
                <w:ilvl w:val="0"/>
                <w:numId w:val="17"/>
              </w:numPr>
              <w:spacing w:after="0" w:line="240" w:lineRule="auto"/>
              <w:rPr>
                <w:rFonts w:ascii="Arial Narrow" w:hAnsi="Arial Narrow"/>
                <w:sz w:val="20"/>
                <w:szCs w:val="20"/>
              </w:rPr>
            </w:pPr>
            <w:r w:rsidRPr="00E70DE3">
              <w:rPr>
                <w:rFonts w:ascii="Arial Narrow" w:hAnsi="Arial Narrow"/>
                <w:sz w:val="20"/>
                <w:szCs w:val="20"/>
              </w:rPr>
              <w:t>“Confetti” skin lesions</w:t>
            </w:r>
          </w:p>
        </w:tc>
      </w:tr>
      <w:tr w:rsidR="00F930DC" w:rsidRPr="00E70DE3" w14:paraId="5C037C5B" w14:textId="77777777" w:rsidTr="00771BF0">
        <w:tc>
          <w:tcPr>
            <w:tcW w:w="5382" w:type="dxa"/>
            <w:tcBorders>
              <w:top w:val="nil"/>
              <w:bottom w:val="nil"/>
            </w:tcBorders>
          </w:tcPr>
          <w:p w14:paraId="471C7711" w14:textId="15A6F6E6" w:rsidR="00F930DC" w:rsidRPr="00E70DE3" w:rsidRDefault="00F930DC" w:rsidP="00AA4DCC">
            <w:pPr>
              <w:pStyle w:val="ListParagraph"/>
              <w:numPr>
                <w:ilvl w:val="0"/>
                <w:numId w:val="17"/>
              </w:numPr>
              <w:spacing w:after="0" w:line="240" w:lineRule="auto"/>
              <w:rPr>
                <w:rFonts w:ascii="Arial Narrow" w:hAnsi="Arial Narrow"/>
                <w:sz w:val="20"/>
                <w:szCs w:val="20"/>
              </w:rPr>
            </w:pPr>
            <w:r w:rsidRPr="00E70DE3">
              <w:rPr>
                <w:rFonts w:ascii="Arial Narrow" w:hAnsi="Arial Narrow"/>
                <w:sz w:val="20"/>
                <w:szCs w:val="20"/>
              </w:rPr>
              <w:t>Angiofibroma (</w:t>
            </w:r>
            <w:r w:rsidR="00CB22FB" w:rsidRPr="00E70DE3">
              <w:rPr>
                <w:rFonts w:ascii="Arial Narrow" w:hAnsi="Arial Narrow" w:cs="Arial"/>
                <w:sz w:val="20"/>
                <w:szCs w:val="20"/>
              </w:rPr>
              <w:t>≥</w:t>
            </w:r>
            <w:r w:rsidR="00CB22FB" w:rsidRPr="00E70DE3">
              <w:rPr>
                <w:rFonts w:ascii="Arial Narrow" w:hAnsi="Arial Narrow"/>
                <w:sz w:val="20"/>
                <w:szCs w:val="20"/>
              </w:rPr>
              <w:t>3</w:t>
            </w:r>
            <w:r w:rsidRPr="00E70DE3">
              <w:rPr>
                <w:rFonts w:ascii="Arial Narrow" w:hAnsi="Arial Narrow"/>
                <w:sz w:val="20"/>
                <w:szCs w:val="20"/>
              </w:rPr>
              <w:t>) or fibrous cephalic plaque Ungual fibromas (</w:t>
            </w:r>
            <w:r w:rsidR="00CB22FB" w:rsidRPr="00E70DE3">
              <w:rPr>
                <w:rFonts w:ascii="Arial Narrow" w:hAnsi="Arial Narrow" w:cs="Arial"/>
                <w:sz w:val="20"/>
                <w:szCs w:val="20"/>
              </w:rPr>
              <w:t>≥2</w:t>
            </w:r>
            <w:r w:rsidRPr="00E70DE3">
              <w:rPr>
                <w:rFonts w:ascii="Arial Narrow" w:hAnsi="Arial Narrow"/>
                <w:sz w:val="20"/>
                <w:szCs w:val="20"/>
              </w:rPr>
              <w:t xml:space="preserve">) </w:t>
            </w:r>
          </w:p>
        </w:tc>
        <w:tc>
          <w:tcPr>
            <w:tcW w:w="4189" w:type="dxa"/>
            <w:tcBorders>
              <w:top w:val="nil"/>
              <w:bottom w:val="nil"/>
            </w:tcBorders>
          </w:tcPr>
          <w:p w14:paraId="2A10A7D6" w14:textId="7E65B342" w:rsidR="00F930DC" w:rsidRPr="00E70DE3" w:rsidRDefault="00F930DC" w:rsidP="00AA4DCC">
            <w:pPr>
              <w:pStyle w:val="ListParagraph"/>
              <w:numPr>
                <w:ilvl w:val="0"/>
                <w:numId w:val="17"/>
              </w:numPr>
              <w:spacing w:after="0" w:line="240" w:lineRule="auto"/>
              <w:rPr>
                <w:rFonts w:ascii="Arial Narrow" w:hAnsi="Arial Narrow"/>
                <w:sz w:val="20"/>
                <w:szCs w:val="20"/>
              </w:rPr>
            </w:pPr>
            <w:r w:rsidRPr="00E70DE3">
              <w:rPr>
                <w:rFonts w:ascii="Arial Narrow" w:hAnsi="Arial Narrow"/>
                <w:sz w:val="20"/>
                <w:szCs w:val="20"/>
              </w:rPr>
              <w:t>Dental enamel pits (</w:t>
            </w:r>
            <w:r w:rsidR="00CB22FB" w:rsidRPr="00E70DE3">
              <w:rPr>
                <w:rFonts w:ascii="Arial Narrow" w:hAnsi="Arial Narrow" w:cs="Arial"/>
                <w:sz w:val="20"/>
                <w:szCs w:val="20"/>
              </w:rPr>
              <w:t>≥</w:t>
            </w:r>
            <w:r w:rsidRPr="00E70DE3">
              <w:rPr>
                <w:rFonts w:ascii="Arial Narrow" w:hAnsi="Arial Narrow"/>
                <w:sz w:val="20"/>
                <w:szCs w:val="20"/>
              </w:rPr>
              <w:t>3)</w:t>
            </w:r>
          </w:p>
        </w:tc>
      </w:tr>
      <w:tr w:rsidR="00F930DC" w:rsidRPr="00E70DE3" w14:paraId="065CED8C" w14:textId="77777777" w:rsidTr="00771BF0">
        <w:tc>
          <w:tcPr>
            <w:tcW w:w="5382" w:type="dxa"/>
            <w:tcBorders>
              <w:top w:val="nil"/>
              <w:bottom w:val="nil"/>
            </w:tcBorders>
          </w:tcPr>
          <w:p w14:paraId="0CC69111" w14:textId="7853CC4A" w:rsidR="00F930DC" w:rsidRPr="00E70DE3" w:rsidRDefault="00F930DC" w:rsidP="00AA4DCC">
            <w:pPr>
              <w:pStyle w:val="ListParagraph"/>
              <w:numPr>
                <w:ilvl w:val="0"/>
                <w:numId w:val="17"/>
              </w:numPr>
              <w:spacing w:after="0" w:line="240" w:lineRule="auto"/>
              <w:rPr>
                <w:rFonts w:ascii="Arial Narrow" w:hAnsi="Arial Narrow"/>
                <w:sz w:val="20"/>
                <w:szCs w:val="20"/>
              </w:rPr>
            </w:pPr>
            <w:r w:rsidRPr="00E70DE3">
              <w:rPr>
                <w:rFonts w:ascii="Arial Narrow" w:hAnsi="Arial Narrow"/>
                <w:sz w:val="20"/>
                <w:szCs w:val="20"/>
              </w:rPr>
              <w:t>Shagreen patch</w:t>
            </w:r>
          </w:p>
        </w:tc>
        <w:tc>
          <w:tcPr>
            <w:tcW w:w="4189" w:type="dxa"/>
            <w:tcBorders>
              <w:top w:val="nil"/>
              <w:bottom w:val="nil"/>
            </w:tcBorders>
          </w:tcPr>
          <w:p w14:paraId="38B80321" w14:textId="1EDC2434" w:rsidR="00F930DC" w:rsidRPr="00E70DE3" w:rsidRDefault="00771BF0" w:rsidP="00AA4DCC">
            <w:pPr>
              <w:pStyle w:val="ListParagraph"/>
              <w:numPr>
                <w:ilvl w:val="0"/>
                <w:numId w:val="17"/>
              </w:numPr>
              <w:spacing w:after="0" w:line="240" w:lineRule="auto"/>
              <w:rPr>
                <w:rFonts w:ascii="Arial Narrow" w:hAnsi="Arial Narrow"/>
                <w:sz w:val="20"/>
                <w:szCs w:val="20"/>
              </w:rPr>
            </w:pPr>
            <w:r w:rsidRPr="00E70DE3">
              <w:rPr>
                <w:rFonts w:ascii="Arial Narrow" w:hAnsi="Arial Narrow"/>
                <w:sz w:val="20"/>
                <w:szCs w:val="20"/>
              </w:rPr>
              <w:t>Intraoral fibromas (</w:t>
            </w:r>
            <w:r w:rsidRPr="00E70DE3">
              <w:rPr>
                <w:rFonts w:ascii="Arial Narrow" w:hAnsi="Arial Narrow" w:cs="Arial"/>
                <w:sz w:val="20"/>
                <w:szCs w:val="20"/>
              </w:rPr>
              <w:t>≥</w:t>
            </w:r>
            <w:r w:rsidRPr="00E70DE3">
              <w:rPr>
                <w:rFonts w:ascii="Arial Narrow" w:hAnsi="Arial Narrow"/>
                <w:sz w:val="20"/>
                <w:szCs w:val="20"/>
              </w:rPr>
              <w:t>2)</w:t>
            </w:r>
          </w:p>
        </w:tc>
      </w:tr>
      <w:tr w:rsidR="00771BF0" w:rsidRPr="00E70DE3" w14:paraId="439016BD" w14:textId="77777777" w:rsidTr="00771BF0">
        <w:tc>
          <w:tcPr>
            <w:tcW w:w="5382" w:type="dxa"/>
            <w:tcBorders>
              <w:top w:val="nil"/>
              <w:bottom w:val="nil"/>
            </w:tcBorders>
          </w:tcPr>
          <w:p w14:paraId="3611BE32" w14:textId="717C047D" w:rsidR="00771BF0" w:rsidRPr="00E70DE3" w:rsidRDefault="00771BF0" w:rsidP="00AA4DCC">
            <w:pPr>
              <w:pStyle w:val="ListParagraph"/>
              <w:numPr>
                <w:ilvl w:val="0"/>
                <w:numId w:val="17"/>
              </w:numPr>
              <w:spacing w:after="0" w:line="240" w:lineRule="auto"/>
              <w:rPr>
                <w:rFonts w:ascii="Arial Narrow" w:hAnsi="Arial Narrow"/>
                <w:sz w:val="20"/>
                <w:szCs w:val="20"/>
              </w:rPr>
            </w:pPr>
            <w:r w:rsidRPr="00E70DE3">
              <w:rPr>
                <w:rFonts w:ascii="Arial Narrow" w:hAnsi="Arial Narrow"/>
                <w:sz w:val="20"/>
                <w:szCs w:val="20"/>
              </w:rPr>
              <w:t>Multiple retinal hamartomas</w:t>
            </w:r>
          </w:p>
        </w:tc>
        <w:tc>
          <w:tcPr>
            <w:tcW w:w="4189" w:type="dxa"/>
            <w:tcBorders>
              <w:top w:val="nil"/>
              <w:bottom w:val="nil"/>
            </w:tcBorders>
          </w:tcPr>
          <w:p w14:paraId="61BA4FB1" w14:textId="3D777ED4" w:rsidR="00771BF0" w:rsidRPr="00E70DE3" w:rsidRDefault="00771BF0" w:rsidP="00AA4DCC">
            <w:pPr>
              <w:pStyle w:val="ListParagraph"/>
              <w:numPr>
                <w:ilvl w:val="0"/>
                <w:numId w:val="17"/>
              </w:numPr>
              <w:spacing w:after="0" w:line="240" w:lineRule="auto"/>
              <w:rPr>
                <w:rFonts w:ascii="Arial Narrow" w:hAnsi="Arial Narrow"/>
                <w:sz w:val="20"/>
                <w:szCs w:val="20"/>
              </w:rPr>
            </w:pPr>
            <w:r w:rsidRPr="00E70DE3">
              <w:rPr>
                <w:rFonts w:ascii="Arial Narrow" w:hAnsi="Arial Narrow"/>
                <w:sz w:val="20"/>
                <w:szCs w:val="20"/>
              </w:rPr>
              <w:t>Retinal achromic patch</w:t>
            </w:r>
          </w:p>
        </w:tc>
      </w:tr>
      <w:tr w:rsidR="00771BF0" w:rsidRPr="00E70DE3" w14:paraId="0A0A2E2E" w14:textId="77777777" w:rsidTr="00771BF0">
        <w:tc>
          <w:tcPr>
            <w:tcW w:w="5382" w:type="dxa"/>
            <w:tcBorders>
              <w:top w:val="nil"/>
              <w:bottom w:val="nil"/>
            </w:tcBorders>
          </w:tcPr>
          <w:p w14:paraId="554FCCCD" w14:textId="2B34562D" w:rsidR="00771BF0" w:rsidRPr="00E70DE3" w:rsidRDefault="00771BF0" w:rsidP="00AA4DCC">
            <w:pPr>
              <w:pStyle w:val="ListParagraph"/>
              <w:numPr>
                <w:ilvl w:val="0"/>
                <w:numId w:val="17"/>
              </w:numPr>
              <w:spacing w:after="0" w:line="240" w:lineRule="auto"/>
              <w:rPr>
                <w:rFonts w:ascii="Arial Narrow" w:hAnsi="Arial Narrow"/>
                <w:sz w:val="20"/>
                <w:szCs w:val="20"/>
              </w:rPr>
            </w:pPr>
            <w:r w:rsidRPr="00E70DE3">
              <w:rPr>
                <w:rFonts w:ascii="Arial Narrow" w:hAnsi="Arial Narrow"/>
                <w:sz w:val="20"/>
                <w:szCs w:val="20"/>
              </w:rPr>
              <w:t>Subependymal nodule (</w:t>
            </w:r>
            <w:r w:rsidRPr="00E70DE3">
              <w:rPr>
                <w:rFonts w:ascii="Arial Narrow" w:hAnsi="Arial Narrow" w:cs="Arial"/>
                <w:sz w:val="20"/>
                <w:szCs w:val="20"/>
              </w:rPr>
              <w:t>≥</w:t>
            </w:r>
            <w:r w:rsidRPr="00E70DE3">
              <w:rPr>
                <w:rFonts w:ascii="Arial Narrow" w:hAnsi="Arial Narrow"/>
                <w:sz w:val="20"/>
                <w:szCs w:val="20"/>
              </w:rPr>
              <w:t xml:space="preserve">2) </w:t>
            </w:r>
          </w:p>
        </w:tc>
        <w:tc>
          <w:tcPr>
            <w:tcW w:w="4189" w:type="dxa"/>
            <w:tcBorders>
              <w:top w:val="nil"/>
              <w:bottom w:val="nil"/>
            </w:tcBorders>
          </w:tcPr>
          <w:p w14:paraId="7170A8D7" w14:textId="2C496874" w:rsidR="00771BF0" w:rsidRPr="00E70DE3" w:rsidRDefault="00771BF0" w:rsidP="00AA4DCC">
            <w:pPr>
              <w:pStyle w:val="ListParagraph"/>
              <w:numPr>
                <w:ilvl w:val="0"/>
                <w:numId w:val="17"/>
              </w:numPr>
              <w:spacing w:after="0" w:line="240" w:lineRule="auto"/>
              <w:rPr>
                <w:rFonts w:ascii="Arial Narrow" w:hAnsi="Arial Narrow"/>
                <w:sz w:val="20"/>
                <w:szCs w:val="20"/>
              </w:rPr>
            </w:pPr>
            <w:r w:rsidRPr="00E70DE3">
              <w:rPr>
                <w:rFonts w:ascii="Arial Narrow" w:hAnsi="Arial Narrow"/>
                <w:sz w:val="20"/>
                <w:szCs w:val="20"/>
              </w:rPr>
              <w:t>Nonrenal hamartomas</w:t>
            </w:r>
          </w:p>
        </w:tc>
      </w:tr>
      <w:tr w:rsidR="00771BF0" w:rsidRPr="00E70DE3" w14:paraId="0FDDCDF8" w14:textId="77777777" w:rsidTr="00771BF0">
        <w:tc>
          <w:tcPr>
            <w:tcW w:w="5382" w:type="dxa"/>
            <w:tcBorders>
              <w:top w:val="nil"/>
              <w:bottom w:val="nil"/>
            </w:tcBorders>
          </w:tcPr>
          <w:p w14:paraId="439A47BE" w14:textId="0B4C30A0" w:rsidR="00771BF0" w:rsidRPr="00E70DE3" w:rsidRDefault="00771BF0" w:rsidP="00AA4DCC">
            <w:pPr>
              <w:pStyle w:val="ListParagraph"/>
              <w:numPr>
                <w:ilvl w:val="0"/>
                <w:numId w:val="17"/>
              </w:numPr>
              <w:spacing w:after="0" w:line="240" w:lineRule="auto"/>
              <w:rPr>
                <w:rFonts w:ascii="Arial Narrow" w:hAnsi="Arial Narrow"/>
                <w:sz w:val="20"/>
                <w:szCs w:val="20"/>
              </w:rPr>
            </w:pPr>
            <w:r w:rsidRPr="00E70DE3">
              <w:rPr>
                <w:rFonts w:ascii="Arial Narrow" w:hAnsi="Arial Narrow"/>
                <w:sz w:val="20"/>
                <w:szCs w:val="20"/>
              </w:rPr>
              <w:t>Subependymal giant cell astrocytoma</w:t>
            </w:r>
          </w:p>
        </w:tc>
        <w:tc>
          <w:tcPr>
            <w:tcW w:w="4189" w:type="dxa"/>
            <w:tcBorders>
              <w:top w:val="nil"/>
              <w:bottom w:val="nil"/>
            </w:tcBorders>
          </w:tcPr>
          <w:p w14:paraId="10BF243C" w14:textId="1738F107" w:rsidR="00771BF0" w:rsidRPr="00E70DE3" w:rsidRDefault="00771BF0" w:rsidP="00AA4DCC">
            <w:pPr>
              <w:pStyle w:val="ListParagraph"/>
              <w:numPr>
                <w:ilvl w:val="0"/>
                <w:numId w:val="17"/>
              </w:numPr>
              <w:spacing w:after="0" w:line="240" w:lineRule="auto"/>
              <w:rPr>
                <w:rFonts w:ascii="Arial Narrow" w:hAnsi="Arial Narrow"/>
                <w:sz w:val="20"/>
                <w:szCs w:val="20"/>
              </w:rPr>
            </w:pPr>
            <w:r w:rsidRPr="00E70DE3">
              <w:rPr>
                <w:rFonts w:ascii="Arial Narrow" w:hAnsi="Arial Narrow"/>
                <w:sz w:val="20"/>
                <w:szCs w:val="20"/>
              </w:rPr>
              <w:t>Sclerotic bone lesions</w:t>
            </w:r>
          </w:p>
        </w:tc>
      </w:tr>
      <w:tr w:rsidR="00771BF0" w:rsidRPr="00E70DE3" w14:paraId="3583A1DC" w14:textId="77777777" w:rsidTr="00771BF0">
        <w:tc>
          <w:tcPr>
            <w:tcW w:w="5382" w:type="dxa"/>
            <w:tcBorders>
              <w:top w:val="nil"/>
              <w:bottom w:val="nil"/>
            </w:tcBorders>
          </w:tcPr>
          <w:p w14:paraId="68239BD0" w14:textId="04F2276C" w:rsidR="00771BF0" w:rsidRPr="00E70DE3" w:rsidRDefault="00771BF0" w:rsidP="00AA4DCC">
            <w:pPr>
              <w:pStyle w:val="ListParagraph"/>
              <w:numPr>
                <w:ilvl w:val="0"/>
                <w:numId w:val="17"/>
              </w:numPr>
              <w:spacing w:after="0" w:line="240" w:lineRule="auto"/>
              <w:rPr>
                <w:rFonts w:ascii="Arial Narrow" w:hAnsi="Arial Narrow"/>
                <w:sz w:val="20"/>
                <w:szCs w:val="20"/>
              </w:rPr>
            </w:pPr>
            <w:r w:rsidRPr="00E70DE3">
              <w:rPr>
                <w:rFonts w:ascii="Arial Narrow" w:hAnsi="Arial Narrow"/>
                <w:sz w:val="20"/>
                <w:szCs w:val="20"/>
              </w:rPr>
              <w:t>Cardiac rhabdomyoma</w:t>
            </w:r>
          </w:p>
        </w:tc>
        <w:tc>
          <w:tcPr>
            <w:tcW w:w="4189" w:type="dxa"/>
            <w:tcBorders>
              <w:top w:val="nil"/>
              <w:bottom w:val="nil"/>
            </w:tcBorders>
          </w:tcPr>
          <w:p w14:paraId="391D5647" w14:textId="77777777" w:rsidR="00771BF0" w:rsidRPr="00E70DE3" w:rsidRDefault="00771BF0" w:rsidP="00E70DE3">
            <w:pPr>
              <w:spacing w:after="0" w:line="240" w:lineRule="auto"/>
              <w:rPr>
                <w:rFonts w:ascii="Arial Narrow" w:hAnsi="Arial Narrow"/>
                <w:sz w:val="20"/>
                <w:szCs w:val="20"/>
              </w:rPr>
            </w:pPr>
          </w:p>
        </w:tc>
      </w:tr>
      <w:tr w:rsidR="00771BF0" w:rsidRPr="00E70DE3" w14:paraId="06CDBA2B" w14:textId="77777777" w:rsidTr="00771BF0">
        <w:tc>
          <w:tcPr>
            <w:tcW w:w="5382" w:type="dxa"/>
            <w:tcBorders>
              <w:top w:val="nil"/>
              <w:bottom w:val="nil"/>
            </w:tcBorders>
          </w:tcPr>
          <w:p w14:paraId="1C50B004" w14:textId="58DEFDAD" w:rsidR="00771BF0" w:rsidRPr="00E70DE3" w:rsidRDefault="00771BF0" w:rsidP="00AA4DCC">
            <w:pPr>
              <w:pStyle w:val="ListParagraph"/>
              <w:numPr>
                <w:ilvl w:val="0"/>
                <w:numId w:val="17"/>
              </w:numPr>
              <w:spacing w:after="0" w:line="240" w:lineRule="auto"/>
              <w:rPr>
                <w:rFonts w:ascii="Arial Narrow" w:hAnsi="Arial Narrow"/>
                <w:sz w:val="20"/>
                <w:szCs w:val="20"/>
              </w:rPr>
            </w:pPr>
            <w:r w:rsidRPr="00E70DE3">
              <w:rPr>
                <w:rFonts w:ascii="Arial Narrow" w:hAnsi="Arial Narrow"/>
                <w:sz w:val="20"/>
                <w:szCs w:val="20"/>
              </w:rPr>
              <w:t>LAM*</w:t>
            </w:r>
          </w:p>
        </w:tc>
        <w:tc>
          <w:tcPr>
            <w:tcW w:w="4189" w:type="dxa"/>
            <w:tcBorders>
              <w:top w:val="nil"/>
              <w:bottom w:val="nil"/>
            </w:tcBorders>
          </w:tcPr>
          <w:p w14:paraId="5E7D4505" w14:textId="77777777" w:rsidR="00771BF0" w:rsidRPr="00E70DE3" w:rsidRDefault="00771BF0" w:rsidP="00E70DE3">
            <w:pPr>
              <w:spacing w:after="0" w:line="240" w:lineRule="auto"/>
              <w:rPr>
                <w:rFonts w:ascii="Arial Narrow" w:hAnsi="Arial Narrow"/>
                <w:sz w:val="20"/>
                <w:szCs w:val="20"/>
              </w:rPr>
            </w:pPr>
          </w:p>
        </w:tc>
      </w:tr>
      <w:tr w:rsidR="00771BF0" w:rsidRPr="00E70DE3" w14:paraId="63F66C2B" w14:textId="77777777" w:rsidTr="00771BF0">
        <w:tc>
          <w:tcPr>
            <w:tcW w:w="5382" w:type="dxa"/>
            <w:tcBorders>
              <w:top w:val="nil"/>
            </w:tcBorders>
          </w:tcPr>
          <w:p w14:paraId="58B1AADA" w14:textId="29C6B7FC" w:rsidR="00771BF0" w:rsidRPr="00E70DE3" w:rsidRDefault="00771BF0" w:rsidP="00AA4DCC">
            <w:pPr>
              <w:pStyle w:val="ListParagraph"/>
              <w:numPr>
                <w:ilvl w:val="0"/>
                <w:numId w:val="17"/>
              </w:numPr>
              <w:spacing w:after="0" w:line="240" w:lineRule="auto"/>
              <w:rPr>
                <w:rFonts w:ascii="Arial Narrow" w:hAnsi="Arial Narrow"/>
                <w:sz w:val="20"/>
                <w:szCs w:val="20"/>
              </w:rPr>
            </w:pPr>
            <w:proofErr w:type="spellStart"/>
            <w:r w:rsidRPr="00E70DE3">
              <w:rPr>
                <w:rFonts w:ascii="Arial Narrow" w:hAnsi="Arial Narrow"/>
                <w:sz w:val="20"/>
                <w:szCs w:val="20"/>
              </w:rPr>
              <w:t>Angiomyolipomas</w:t>
            </w:r>
            <w:proofErr w:type="spellEnd"/>
            <w:r w:rsidRPr="00E70DE3">
              <w:rPr>
                <w:rFonts w:ascii="Arial Narrow" w:hAnsi="Arial Narrow"/>
                <w:sz w:val="20"/>
                <w:szCs w:val="20"/>
              </w:rPr>
              <w:t xml:space="preserve"> (</w:t>
            </w:r>
            <w:r w:rsidRPr="00E70DE3">
              <w:rPr>
                <w:rFonts w:ascii="Arial Narrow" w:hAnsi="Arial Narrow" w:cs="Arial"/>
                <w:sz w:val="20"/>
                <w:szCs w:val="20"/>
              </w:rPr>
              <w:t>≥</w:t>
            </w:r>
            <w:r w:rsidRPr="00E70DE3">
              <w:rPr>
                <w:rFonts w:ascii="Arial Narrow" w:hAnsi="Arial Narrow"/>
                <w:sz w:val="20"/>
                <w:szCs w:val="20"/>
              </w:rPr>
              <w:t>2)*</w:t>
            </w:r>
          </w:p>
        </w:tc>
        <w:tc>
          <w:tcPr>
            <w:tcW w:w="4189" w:type="dxa"/>
            <w:tcBorders>
              <w:top w:val="nil"/>
            </w:tcBorders>
          </w:tcPr>
          <w:p w14:paraId="32F45F3D" w14:textId="77777777" w:rsidR="00771BF0" w:rsidRPr="00E70DE3" w:rsidRDefault="00771BF0" w:rsidP="00E70DE3">
            <w:pPr>
              <w:spacing w:after="0" w:line="240" w:lineRule="auto"/>
              <w:rPr>
                <w:rFonts w:ascii="Arial Narrow" w:hAnsi="Arial Narrow"/>
                <w:sz w:val="20"/>
                <w:szCs w:val="20"/>
              </w:rPr>
            </w:pPr>
          </w:p>
        </w:tc>
      </w:tr>
    </w:tbl>
    <w:p w14:paraId="47761A60" w14:textId="5FE805BE" w:rsidR="00CB22FB" w:rsidRPr="00135F3D" w:rsidRDefault="00CB22FB" w:rsidP="00135F3D">
      <w:pPr>
        <w:spacing w:after="0" w:line="240" w:lineRule="auto"/>
        <w:rPr>
          <w:rFonts w:ascii="Arial Narrow" w:hAnsi="Arial Narrow"/>
          <w:sz w:val="18"/>
          <w:szCs w:val="18"/>
        </w:rPr>
      </w:pPr>
      <w:r w:rsidRPr="00135F3D">
        <w:rPr>
          <w:rFonts w:ascii="Arial Narrow" w:hAnsi="Arial Narrow"/>
          <w:sz w:val="18"/>
          <w:szCs w:val="18"/>
        </w:rPr>
        <w:t>Source: Table 2, p53 of Northrup (2021)</w:t>
      </w:r>
    </w:p>
    <w:p w14:paraId="1142F4E1" w14:textId="79B59DDD" w:rsidR="00F930DC" w:rsidRPr="00135F3D" w:rsidRDefault="00F930DC" w:rsidP="00135F3D">
      <w:pPr>
        <w:spacing w:after="0" w:line="240" w:lineRule="auto"/>
        <w:rPr>
          <w:rFonts w:ascii="Arial Narrow" w:hAnsi="Arial Narrow"/>
          <w:sz w:val="18"/>
          <w:szCs w:val="18"/>
        </w:rPr>
      </w:pPr>
      <w:r w:rsidRPr="00135F3D">
        <w:rPr>
          <w:rFonts w:ascii="Arial Narrow" w:hAnsi="Arial Narrow"/>
          <w:sz w:val="18"/>
          <w:szCs w:val="18"/>
        </w:rPr>
        <w:t>Abbreviations:</w:t>
      </w:r>
      <w:r w:rsidR="00CB22FB" w:rsidRPr="00135F3D">
        <w:rPr>
          <w:rFonts w:ascii="Arial Narrow" w:hAnsi="Arial Narrow"/>
          <w:sz w:val="18"/>
          <w:szCs w:val="18"/>
        </w:rPr>
        <w:t xml:space="preserve"> </w:t>
      </w:r>
      <w:r w:rsidRPr="00135F3D">
        <w:rPr>
          <w:rFonts w:ascii="Arial Narrow" w:hAnsi="Arial Narrow"/>
          <w:sz w:val="18"/>
          <w:szCs w:val="18"/>
        </w:rPr>
        <w:t xml:space="preserve">LAM . </w:t>
      </w:r>
      <w:proofErr w:type="spellStart"/>
      <w:r w:rsidRPr="00135F3D">
        <w:rPr>
          <w:rFonts w:ascii="Arial Narrow" w:hAnsi="Arial Narrow"/>
          <w:sz w:val="18"/>
          <w:szCs w:val="18"/>
        </w:rPr>
        <w:t>Lymphangiomyomatosis</w:t>
      </w:r>
      <w:proofErr w:type="spellEnd"/>
      <w:r w:rsidR="00CB22FB" w:rsidRPr="00135F3D">
        <w:rPr>
          <w:rFonts w:ascii="Arial Narrow" w:hAnsi="Arial Narrow"/>
          <w:sz w:val="18"/>
          <w:szCs w:val="18"/>
        </w:rPr>
        <w:t xml:space="preserve"> </w:t>
      </w:r>
      <w:r w:rsidRPr="00135F3D">
        <w:rPr>
          <w:rFonts w:ascii="Arial Narrow" w:hAnsi="Arial Narrow"/>
          <w:sz w:val="18"/>
          <w:szCs w:val="18"/>
        </w:rPr>
        <w:t>TSC . Tuberous sclerosis complex</w:t>
      </w:r>
    </w:p>
    <w:p w14:paraId="50B91B20" w14:textId="77777777" w:rsidR="00F930DC" w:rsidRPr="00135F3D" w:rsidRDefault="00F930DC" w:rsidP="00135F3D">
      <w:pPr>
        <w:spacing w:after="0" w:line="240" w:lineRule="auto"/>
        <w:rPr>
          <w:rFonts w:ascii="Arial Narrow" w:hAnsi="Arial Narrow"/>
          <w:sz w:val="18"/>
          <w:szCs w:val="18"/>
        </w:rPr>
      </w:pPr>
      <w:r w:rsidRPr="00135F3D">
        <w:rPr>
          <w:rFonts w:ascii="Arial Narrow" w:hAnsi="Arial Narrow"/>
          <w:b/>
          <w:bCs/>
          <w:sz w:val="18"/>
          <w:szCs w:val="18"/>
        </w:rPr>
        <w:t xml:space="preserve">Definite TSC: </w:t>
      </w:r>
      <w:r w:rsidRPr="00135F3D">
        <w:rPr>
          <w:rFonts w:ascii="Arial Narrow" w:hAnsi="Arial Narrow"/>
          <w:sz w:val="18"/>
          <w:szCs w:val="18"/>
        </w:rPr>
        <w:t>2 major features or 1 major feature with 2 minor features.</w:t>
      </w:r>
    </w:p>
    <w:p w14:paraId="68528E16" w14:textId="77777777" w:rsidR="00F930DC" w:rsidRPr="00135F3D" w:rsidRDefault="00F930DC" w:rsidP="00135F3D">
      <w:pPr>
        <w:spacing w:after="0" w:line="240" w:lineRule="auto"/>
        <w:rPr>
          <w:rFonts w:ascii="Arial Narrow" w:hAnsi="Arial Narrow"/>
          <w:sz w:val="18"/>
          <w:szCs w:val="18"/>
        </w:rPr>
      </w:pPr>
      <w:r w:rsidRPr="00135F3D">
        <w:rPr>
          <w:rFonts w:ascii="Arial Narrow" w:hAnsi="Arial Narrow"/>
          <w:b/>
          <w:bCs/>
          <w:sz w:val="18"/>
          <w:szCs w:val="18"/>
        </w:rPr>
        <w:t>Possible TSC</w:t>
      </w:r>
      <w:r w:rsidRPr="00135F3D">
        <w:rPr>
          <w:rFonts w:ascii="Arial Narrow" w:hAnsi="Arial Narrow"/>
          <w:sz w:val="18"/>
          <w:szCs w:val="18"/>
        </w:rPr>
        <w:t xml:space="preserve">: either 1 major feature or </w:t>
      </w:r>
      <w:r w:rsidRPr="00135F3D">
        <w:rPr>
          <w:rFonts w:ascii="Arial" w:hAnsi="Arial" w:cs="Arial"/>
          <w:sz w:val="18"/>
          <w:szCs w:val="18"/>
        </w:rPr>
        <w:t> </w:t>
      </w:r>
      <w:r w:rsidRPr="00135F3D">
        <w:rPr>
          <w:rFonts w:ascii="Arial Narrow" w:hAnsi="Arial Narrow"/>
          <w:sz w:val="18"/>
          <w:szCs w:val="18"/>
        </w:rPr>
        <w:t>2 minor features.</w:t>
      </w:r>
    </w:p>
    <w:p w14:paraId="17B88D2E" w14:textId="746E5EE8" w:rsidR="00F930DC" w:rsidRPr="00135F3D" w:rsidRDefault="00F930DC" w:rsidP="00135F3D">
      <w:pPr>
        <w:spacing w:after="0" w:line="240" w:lineRule="auto"/>
        <w:rPr>
          <w:rFonts w:ascii="Arial Narrow" w:hAnsi="Arial Narrow"/>
          <w:sz w:val="18"/>
          <w:szCs w:val="18"/>
        </w:rPr>
      </w:pPr>
      <w:r w:rsidRPr="00135F3D">
        <w:rPr>
          <w:rFonts w:ascii="Arial Narrow" w:hAnsi="Arial Narrow"/>
          <w:sz w:val="18"/>
          <w:szCs w:val="18"/>
        </w:rPr>
        <w:t xml:space="preserve">Genetic diagnosis: A pathogenic variant in </w:t>
      </w:r>
      <w:r w:rsidRPr="00135F3D">
        <w:rPr>
          <w:rFonts w:ascii="Arial Narrow" w:hAnsi="Arial Narrow"/>
          <w:i/>
          <w:sz w:val="18"/>
          <w:szCs w:val="18"/>
        </w:rPr>
        <w:t>TSC1</w:t>
      </w:r>
      <w:r w:rsidRPr="00135F3D">
        <w:rPr>
          <w:rFonts w:ascii="Arial Narrow" w:hAnsi="Arial Narrow"/>
          <w:sz w:val="18"/>
          <w:szCs w:val="18"/>
        </w:rPr>
        <w:t xml:space="preserve"> or </w:t>
      </w:r>
      <w:r w:rsidRPr="00135F3D">
        <w:rPr>
          <w:rFonts w:ascii="Arial Narrow" w:hAnsi="Arial Narrow"/>
          <w:i/>
          <w:sz w:val="18"/>
          <w:szCs w:val="18"/>
        </w:rPr>
        <w:t xml:space="preserve">TSC2 </w:t>
      </w:r>
      <w:r w:rsidRPr="00135F3D">
        <w:rPr>
          <w:rFonts w:ascii="Arial Narrow" w:hAnsi="Arial Narrow"/>
          <w:sz w:val="18"/>
          <w:szCs w:val="18"/>
        </w:rPr>
        <w:t>is diagnostic for TSC (most</w:t>
      </w:r>
      <w:r w:rsidR="00CB22FB" w:rsidRPr="00135F3D">
        <w:rPr>
          <w:rFonts w:ascii="Arial Narrow" w:hAnsi="Arial Narrow"/>
          <w:sz w:val="18"/>
          <w:szCs w:val="18"/>
        </w:rPr>
        <w:t xml:space="preserve"> </w:t>
      </w:r>
      <w:r w:rsidRPr="00135F3D">
        <w:rPr>
          <w:rFonts w:ascii="Arial Narrow" w:hAnsi="Arial Narrow"/>
          <w:sz w:val="18"/>
          <w:szCs w:val="18"/>
        </w:rPr>
        <w:t xml:space="preserve">TSC-causing variants are sequence variants that clearly prevent </w:t>
      </w:r>
      <w:r w:rsidRPr="00135F3D">
        <w:rPr>
          <w:rFonts w:ascii="Arial Narrow" w:hAnsi="Arial Narrow"/>
          <w:i/>
          <w:sz w:val="18"/>
          <w:szCs w:val="18"/>
        </w:rPr>
        <w:t>TSC1</w:t>
      </w:r>
      <w:r w:rsidRPr="00135F3D">
        <w:rPr>
          <w:rFonts w:ascii="Arial Narrow" w:hAnsi="Arial Narrow"/>
          <w:sz w:val="18"/>
          <w:szCs w:val="18"/>
        </w:rPr>
        <w:t xml:space="preserve"> or </w:t>
      </w:r>
      <w:r w:rsidRPr="00135F3D">
        <w:rPr>
          <w:rFonts w:ascii="Arial Narrow" w:hAnsi="Arial Narrow"/>
          <w:i/>
          <w:sz w:val="18"/>
          <w:szCs w:val="18"/>
        </w:rPr>
        <w:t>TSC2</w:t>
      </w:r>
      <w:r w:rsidRPr="00135F3D">
        <w:rPr>
          <w:rFonts w:ascii="Arial Narrow" w:hAnsi="Arial Narrow"/>
          <w:sz w:val="18"/>
          <w:szCs w:val="18"/>
        </w:rPr>
        <w:t xml:space="preserve"> protein</w:t>
      </w:r>
      <w:r w:rsidR="00CB22FB" w:rsidRPr="00135F3D">
        <w:rPr>
          <w:rFonts w:ascii="Arial Narrow" w:hAnsi="Arial Narrow"/>
          <w:sz w:val="18"/>
          <w:szCs w:val="18"/>
        </w:rPr>
        <w:t xml:space="preserve"> </w:t>
      </w:r>
      <w:r w:rsidRPr="00135F3D">
        <w:rPr>
          <w:rFonts w:ascii="Arial Narrow" w:hAnsi="Arial Narrow"/>
          <w:sz w:val="18"/>
          <w:szCs w:val="18"/>
        </w:rPr>
        <w:t>production. Some variants compatible with protein production [e.g., som</w:t>
      </w:r>
      <w:r w:rsidR="00E82916" w:rsidRPr="00135F3D">
        <w:rPr>
          <w:rFonts w:ascii="Arial Narrow" w:hAnsi="Arial Narrow"/>
          <w:sz w:val="18"/>
          <w:szCs w:val="18"/>
        </w:rPr>
        <w:t xml:space="preserve">e </w:t>
      </w:r>
      <w:r w:rsidRPr="00135F3D">
        <w:rPr>
          <w:rFonts w:ascii="Arial Narrow" w:hAnsi="Arial Narrow"/>
          <w:sz w:val="18"/>
          <w:szCs w:val="18"/>
        </w:rPr>
        <w:t>missense changes] are well established as disease-causing; other variant types</w:t>
      </w:r>
      <w:r w:rsidR="00CB22FB" w:rsidRPr="00135F3D">
        <w:rPr>
          <w:rFonts w:ascii="Arial Narrow" w:hAnsi="Arial Narrow"/>
          <w:sz w:val="18"/>
          <w:szCs w:val="18"/>
        </w:rPr>
        <w:t xml:space="preserve"> </w:t>
      </w:r>
      <w:r w:rsidRPr="00135F3D">
        <w:rPr>
          <w:rFonts w:ascii="Arial Narrow" w:hAnsi="Arial Narrow"/>
          <w:sz w:val="18"/>
          <w:szCs w:val="18"/>
        </w:rPr>
        <w:t>should be considered with caution).</w:t>
      </w:r>
    </w:p>
    <w:p w14:paraId="2BECD380" w14:textId="1004E116" w:rsidR="00F930DC" w:rsidRPr="00135F3D" w:rsidRDefault="00F930DC" w:rsidP="00135F3D">
      <w:pPr>
        <w:tabs>
          <w:tab w:val="left" w:pos="284"/>
        </w:tabs>
        <w:spacing w:after="0" w:line="240" w:lineRule="auto"/>
        <w:rPr>
          <w:rFonts w:ascii="Arial Narrow" w:hAnsi="Arial Narrow"/>
          <w:sz w:val="18"/>
          <w:szCs w:val="18"/>
        </w:rPr>
      </w:pPr>
      <w:r w:rsidRPr="00135F3D">
        <w:rPr>
          <w:rFonts w:ascii="Arial Narrow" w:hAnsi="Arial Narrow"/>
          <w:sz w:val="18"/>
          <w:szCs w:val="18"/>
        </w:rPr>
        <w:t xml:space="preserve">* </w:t>
      </w:r>
      <w:r w:rsidR="00771BF0" w:rsidRPr="00135F3D">
        <w:rPr>
          <w:rFonts w:ascii="Arial Narrow" w:hAnsi="Arial Narrow"/>
          <w:sz w:val="18"/>
          <w:szCs w:val="18"/>
        </w:rPr>
        <w:tab/>
      </w:r>
      <w:r w:rsidRPr="00135F3D">
        <w:rPr>
          <w:rFonts w:ascii="Arial Narrow" w:hAnsi="Arial Narrow"/>
          <w:sz w:val="18"/>
          <w:szCs w:val="18"/>
        </w:rPr>
        <w:t xml:space="preserve">A combination of the 2 major clinical features LAM and </w:t>
      </w:r>
      <w:proofErr w:type="spellStart"/>
      <w:r w:rsidRPr="00135F3D">
        <w:rPr>
          <w:rFonts w:ascii="Arial Narrow" w:hAnsi="Arial Narrow"/>
          <w:sz w:val="18"/>
          <w:szCs w:val="18"/>
        </w:rPr>
        <w:t>angiomyolipomas</w:t>
      </w:r>
      <w:proofErr w:type="spellEnd"/>
      <w:r w:rsidR="00CB22FB" w:rsidRPr="00135F3D">
        <w:rPr>
          <w:rFonts w:ascii="Arial Narrow" w:hAnsi="Arial Narrow"/>
          <w:sz w:val="18"/>
          <w:szCs w:val="18"/>
        </w:rPr>
        <w:t xml:space="preserve"> </w:t>
      </w:r>
      <w:r w:rsidRPr="00135F3D">
        <w:rPr>
          <w:rFonts w:ascii="Arial Narrow" w:hAnsi="Arial Narrow"/>
          <w:sz w:val="18"/>
          <w:szCs w:val="18"/>
        </w:rPr>
        <w:t>without other features does not meet criteria for a definite diagnosis.</w:t>
      </w:r>
    </w:p>
    <w:p w14:paraId="20B139FD" w14:textId="6C06D0BE" w:rsidR="0007444E" w:rsidRPr="005D2196" w:rsidRDefault="0007444E" w:rsidP="00135F3D">
      <w:pPr>
        <w:spacing w:before="240"/>
      </w:pPr>
      <w:r w:rsidRPr="005D2196">
        <w:t xml:space="preserve">As shown in </w:t>
      </w:r>
      <w:r w:rsidR="00C50B74" w:rsidRPr="005D2196">
        <w:fldChar w:fldCharType="begin"/>
      </w:r>
      <w:r w:rsidR="00C50B74" w:rsidRPr="005D2196">
        <w:instrText xml:space="preserve"> REF _Ref97035610 \h  \* MERGEFORMAT </w:instrText>
      </w:r>
      <w:r w:rsidR="00C50B74" w:rsidRPr="005D2196">
        <w:fldChar w:fldCharType="separate"/>
      </w:r>
      <w:r w:rsidR="0069673F" w:rsidRPr="0069673F">
        <w:t>Table 4</w:t>
      </w:r>
      <w:r w:rsidR="00C50B74" w:rsidRPr="005D2196">
        <w:fldChar w:fldCharType="end"/>
      </w:r>
      <w:r w:rsidR="00C50B74" w:rsidRPr="005D2196">
        <w:t xml:space="preserve">, </w:t>
      </w:r>
      <w:r w:rsidRPr="005D2196">
        <w:t xml:space="preserve">patients with TSC experience a range of symptoms across various organ systems. </w:t>
      </w:r>
      <w:r w:rsidR="00C109F3" w:rsidRPr="005D2196">
        <w:t>The key organs impacted include the brain, skin, kidneys, lungs, heart and eyes, resulting in clinical manifestations including seizures, neuropsychiatric conditions, spontaneous haemorrhage from the kidneys, cardiac arrhythmias and lung disease.</w:t>
      </w:r>
    </w:p>
    <w:p w14:paraId="25022A84" w14:textId="0C9870B1" w:rsidR="00BF0E79" w:rsidRPr="005D2196" w:rsidRDefault="00B42972" w:rsidP="005D2196">
      <w:r w:rsidRPr="005D2196">
        <w:t>Up to</w:t>
      </w:r>
      <w:r w:rsidR="00BF0E79" w:rsidRPr="005D2196">
        <w:t xml:space="preserve"> 80% of patients with TSC</w:t>
      </w:r>
      <w:r w:rsidRPr="005D2196">
        <w:t xml:space="preserve"> experience angiomyolipoma (AML)</w:t>
      </w:r>
      <w:r w:rsidR="00BF0E79" w:rsidRPr="005D2196">
        <w:t xml:space="preserve">. Patients are predominantly young (mean age of 18 years), </w:t>
      </w:r>
      <w:r w:rsidRPr="005D2196">
        <w:t>and the AML has</w:t>
      </w:r>
      <w:r w:rsidR="00BF0E79" w:rsidRPr="005D2196">
        <w:t xml:space="preserve"> a tendency for rapid growth, larger lesions</w:t>
      </w:r>
      <w:r w:rsidRPr="005D2196">
        <w:t>, and may be both</w:t>
      </w:r>
      <w:r w:rsidR="00BF0E79" w:rsidRPr="005D2196">
        <w:t xml:space="preserve"> bilateral and multiple in their presentation, without a sex difference in incidence (Lee 2019, Kingswood 2016 cited in Restrepo 2022).</w:t>
      </w:r>
    </w:p>
    <w:p w14:paraId="6F2940BE" w14:textId="52568BB9" w:rsidR="00C109F3" w:rsidRPr="005D2196" w:rsidRDefault="00B42972" w:rsidP="005D2196">
      <w:r w:rsidRPr="005D2196">
        <w:t>The application state</w:t>
      </w:r>
      <w:r w:rsidR="002D4E6A" w:rsidRPr="005D2196">
        <w:t>s</w:t>
      </w:r>
      <w:r w:rsidRPr="005D2196">
        <w:t xml:space="preserve"> that </w:t>
      </w:r>
      <w:r w:rsidR="00C109F3" w:rsidRPr="005D2196">
        <w:t xml:space="preserve">21-40% of all people with TSC </w:t>
      </w:r>
      <w:r w:rsidRPr="005D2196">
        <w:t>experience</w:t>
      </w:r>
      <w:r w:rsidR="00C109F3" w:rsidRPr="005D2196">
        <w:t xml:space="preserve"> bleeding from AMLs or chronic kidney disease. </w:t>
      </w:r>
      <w:r w:rsidRPr="005D2196">
        <w:t>The application note</w:t>
      </w:r>
      <w:r w:rsidR="009A0C63" w:rsidRPr="005D2196">
        <w:t>s</w:t>
      </w:r>
      <w:r w:rsidRPr="005D2196">
        <w:t xml:space="preserve"> that it</w:t>
      </w:r>
      <w:r w:rsidR="00C109F3" w:rsidRPr="005D2196">
        <w:t xml:space="preserve"> has been demonstrated that treatment of patients with large AMLs at increased risk of bleeding with the mTOR inhibitor </w:t>
      </w:r>
      <w:proofErr w:type="spellStart"/>
      <w:r w:rsidR="00C109F3" w:rsidRPr="005D2196">
        <w:t>everolimus</w:t>
      </w:r>
      <w:proofErr w:type="spellEnd"/>
      <w:r w:rsidR="00C109F3" w:rsidRPr="005D2196">
        <w:t xml:space="preserve"> is effective at reducing the size of AMLs and preventing bleeding complications. </w:t>
      </w:r>
      <w:proofErr w:type="spellStart"/>
      <w:r w:rsidR="00C109F3" w:rsidRPr="005D2196">
        <w:t>Everolimus</w:t>
      </w:r>
      <w:proofErr w:type="spellEnd"/>
      <w:r w:rsidR="00C109F3" w:rsidRPr="005D2196">
        <w:t xml:space="preserve"> is available on the </w:t>
      </w:r>
      <w:r w:rsidR="003E03C0">
        <w:t>Pharmaceutical Benefits Scheme (</w:t>
      </w:r>
      <w:r w:rsidR="00C109F3" w:rsidRPr="005D2196">
        <w:t>PBS</w:t>
      </w:r>
      <w:r w:rsidR="003E03C0">
        <w:t>)</w:t>
      </w:r>
      <w:r w:rsidR="00C109F3" w:rsidRPr="005D2196">
        <w:t xml:space="preserve"> in Australia for the treatment of visceral tumours associated with TSC.</w:t>
      </w:r>
    </w:p>
    <w:p w14:paraId="1AD451BF" w14:textId="31B5C05A" w:rsidR="00B42972" w:rsidRPr="005D2196" w:rsidRDefault="00B42972" w:rsidP="005D2196">
      <w:r w:rsidRPr="005D2196">
        <w:t xml:space="preserve">In addition to the increased risk for retroperitoneal </w:t>
      </w:r>
      <w:r w:rsidR="00E82916" w:rsidRPr="005D2196">
        <w:t>haemorrhage</w:t>
      </w:r>
      <w:r w:rsidRPr="005D2196">
        <w:t xml:space="preserve">, complications of TSC-associated renal AML are chronic arterial hypertension and </w:t>
      </w:r>
      <w:r w:rsidR="00C83DE2" w:rsidRPr="005D2196">
        <w:t>chronic kidney disease (</w:t>
      </w:r>
      <w:r w:rsidRPr="005D2196">
        <w:t>CKD</w:t>
      </w:r>
      <w:r w:rsidR="00C83DE2" w:rsidRPr="005D2196">
        <w:t>)</w:t>
      </w:r>
      <w:r w:rsidRPr="005D2196">
        <w:t>, the latter with a fivefold higher rate and a 30-year earlier onset (CKD stage 3) compared to the general population (</w:t>
      </w:r>
      <w:proofErr w:type="spellStart"/>
      <w:r w:rsidR="00BF3A5A" w:rsidRPr="005D2196">
        <w:t>Flum</w:t>
      </w:r>
      <w:proofErr w:type="spellEnd"/>
      <w:r w:rsidR="00BF3A5A" w:rsidRPr="005D2196">
        <w:t xml:space="preserve"> 2016</w:t>
      </w:r>
      <w:r w:rsidRPr="005D2196">
        <w:t xml:space="preserve">, </w:t>
      </w:r>
      <w:r w:rsidR="00BF3A5A" w:rsidRPr="005D2196">
        <w:t>Samuels 2017</w:t>
      </w:r>
      <w:r w:rsidRPr="005D2196">
        <w:t xml:space="preserve">, </w:t>
      </w:r>
      <w:r w:rsidR="00BF3A5A" w:rsidRPr="005D2196">
        <w:t>Kingswood 2016, cited in Restrepo 2022)</w:t>
      </w:r>
      <w:r w:rsidR="000D773D" w:rsidRPr="005D2196">
        <w:t>.</w:t>
      </w:r>
    </w:p>
    <w:p w14:paraId="008CA7E8" w14:textId="0483DB4E" w:rsidR="00135F3D" w:rsidRDefault="000D773D" w:rsidP="005D2196">
      <w:r w:rsidRPr="005D2196">
        <w:t>The updated international tuberous sclerosis complex diagnostic criteria and surveillance and management recommendations (Northrup 2021</w:t>
      </w:r>
      <w:r w:rsidR="002D4E6A" w:rsidRPr="005D2196">
        <w:t>)</w:t>
      </w:r>
      <w:r w:rsidR="00310AE5" w:rsidRPr="005D2196">
        <w:t xml:space="preserve"> </w:t>
      </w:r>
      <w:r w:rsidRPr="005D2196">
        <w:t>indicate a wide variety of surveillance and management recommendations across many organ areas</w:t>
      </w:r>
      <w:r w:rsidR="00921A3A" w:rsidRPr="005D2196">
        <w:t>, t</w:t>
      </w:r>
      <w:r w:rsidRPr="005D2196">
        <w:t xml:space="preserve">his is presented in </w:t>
      </w:r>
      <w:r w:rsidR="002D4E6A" w:rsidRPr="005D2196">
        <w:fldChar w:fldCharType="begin"/>
      </w:r>
      <w:r w:rsidR="002D4E6A" w:rsidRPr="005D2196">
        <w:instrText xml:space="preserve"> REF _Ref98146975 \h  \* MERGEFORMAT </w:instrText>
      </w:r>
      <w:r w:rsidR="002D4E6A" w:rsidRPr="005D2196">
        <w:fldChar w:fldCharType="separate"/>
      </w:r>
      <w:r w:rsidR="0069673F" w:rsidRPr="0069673F">
        <w:t>Table 5</w:t>
      </w:r>
      <w:r w:rsidR="002D4E6A" w:rsidRPr="005D2196">
        <w:fldChar w:fldCharType="end"/>
      </w:r>
      <w:r w:rsidRPr="005D2196">
        <w:t>.</w:t>
      </w:r>
    </w:p>
    <w:p w14:paraId="6578E1E6" w14:textId="411530CB" w:rsidR="000D773D" w:rsidRPr="00135F3D" w:rsidRDefault="000D773D" w:rsidP="00CC7D3E">
      <w:pPr>
        <w:keepNext/>
        <w:autoSpaceDE w:val="0"/>
        <w:autoSpaceDN w:val="0"/>
        <w:adjustRightInd w:val="0"/>
        <w:spacing w:after="40" w:line="259" w:lineRule="auto"/>
        <w:rPr>
          <w:rFonts w:ascii="Arial Narrow" w:eastAsia="Times New Roman" w:hAnsi="Arial Narrow"/>
          <w:b/>
          <w:bCs/>
          <w:iCs w:val="0"/>
          <w:color w:val="000000" w:themeColor="text1"/>
          <w:sz w:val="20"/>
          <w:szCs w:val="20"/>
        </w:rPr>
      </w:pPr>
      <w:bookmarkStart w:id="7" w:name="_Ref98146975"/>
      <w:r w:rsidRPr="00135F3D">
        <w:rPr>
          <w:rFonts w:ascii="Arial Narrow" w:eastAsia="Times New Roman" w:hAnsi="Arial Narrow"/>
          <w:b/>
          <w:bCs/>
          <w:iCs w:val="0"/>
          <w:color w:val="000000" w:themeColor="text1"/>
          <w:sz w:val="20"/>
          <w:szCs w:val="20"/>
        </w:rPr>
        <w:lastRenderedPageBreak/>
        <w:t>Table </w:t>
      </w:r>
      <w:r w:rsidRPr="00135F3D">
        <w:rPr>
          <w:rFonts w:ascii="Arial Narrow" w:eastAsia="Times New Roman" w:hAnsi="Arial Narrow"/>
          <w:b/>
          <w:bCs/>
          <w:iCs w:val="0"/>
          <w:color w:val="000000" w:themeColor="text1"/>
          <w:sz w:val="20"/>
          <w:szCs w:val="20"/>
        </w:rPr>
        <w:fldChar w:fldCharType="begin"/>
      </w:r>
      <w:r w:rsidRPr="00135F3D">
        <w:rPr>
          <w:rFonts w:ascii="Arial Narrow" w:eastAsia="Times New Roman" w:hAnsi="Arial Narrow"/>
          <w:b/>
          <w:bCs/>
          <w:iCs w:val="0"/>
          <w:color w:val="000000" w:themeColor="text1"/>
          <w:sz w:val="20"/>
          <w:szCs w:val="20"/>
        </w:rPr>
        <w:instrText xml:space="preserve"> SEQ Table \* ARABIC </w:instrText>
      </w:r>
      <w:r w:rsidRPr="00135F3D">
        <w:rPr>
          <w:rFonts w:ascii="Arial Narrow" w:eastAsia="Times New Roman" w:hAnsi="Arial Narrow"/>
          <w:b/>
          <w:bCs/>
          <w:iCs w:val="0"/>
          <w:color w:val="000000" w:themeColor="text1"/>
          <w:sz w:val="20"/>
          <w:szCs w:val="20"/>
        </w:rPr>
        <w:fldChar w:fldCharType="separate"/>
      </w:r>
      <w:r w:rsidR="0069673F">
        <w:rPr>
          <w:rFonts w:ascii="Arial Narrow" w:eastAsia="Times New Roman" w:hAnsi="Arial Narrow"/>
          <w:b/>
          <w:bCs/>
          <w:iCs w:val="0"/>
          <w:noProof/>
          <w:color w:val="000000" w:themeColor="text1"/>
          <w:sz w:val="20"/>
          <w:szCs w:val="20"/>
        </w:rPr>
        <w:t>5</w:t>
      </w:r>
      <w:r w:rsidRPr="00135F3D">
        <w:rPr>
          <w:rFonts w:ascii="Arial Narrow" w:eastAsia="Times New Roman" w:hAnsi="Arial Narrow"/>
          <w:b/>
          <w:bCs/>
          <w:iCs w:val="0"/>
          <w:color w:val="000000" w:themeColor="text1"/>
          <w:sz w:val="20"/>
          <w:szCs w:val="20"/>
        </w:rPr>
        <w:fldChar w:fldCharType="end"/>
      </w:r>
      <w:bookmarkEnd w:id="7"/>
      <w:r w:rsidR="002E6C8D" w:rsidRPr="00135F3D">
        <w:rPr>
          <w:rFonts w:ascii="Arial Narrow" w:eastAsia="Times New Roman" w:hAnsi="Arial Narrow"/>
          <w:b/>
          <w:bCs/>
          <w:iCs w:val="0"/>
          <w:color w:val="000000" w:themeColor="text1"/>
          <w:sz w:val="20"/>
          <w:szCs w:val="20"/>
        </w:rPr>
        <w:tab/>
      </w:r>
      <w:r w:rsidRPr="00135F3D">
        <w:rPr>
          <w:rFonts w:ascii="Arial Narrow" w:eastAsia="Times New Roman" w:hAnsi="Arial Narrow"/>
          <w:b/>
          <w:bCs/>
          <w:iCs w:val="0"/>
          <w:color w:val="000000" w:themeColor="text1"/>
          <w:sz w:val="20"/>
          <w:szCs w:val="20"/>
        </w:rPr>
        <w:t>International surveillance and management recommendations for newly diagnosed or suspected TSC</w:t>
      </w:r>
    </w:p>
    <w:tbl>
      <w:tblPr>
        <w:tblStyle w:val="TableGrid"/>
        <w:tblW w:w="0" w:type="auto"/>
        <w:tblInd w:w="0" w:type="dxa"/>
        <w:tblCellMar>
          <w:left w:w="29" w:type="dxa"/>
          <w:right w:w="29" w:type="dxa"/>
        </w:tblCellMar>
        <w:tblLook w:val="04A0" w:firstRow="1" w:lastRow="0" w:firstColumn="1" w:lastColumn="0" w:noHBand="0" w:noVBand="1"/>
      </w:tblPr>
      <w:tblGrid>
        <w:gridCol w:w="1435"/>
        <w:gridCol w:w="8136"/>
      </w:tblGrid>
      <w:tr w:rsidR="000D773D" w:rsidRPr="00135F3D" w14:paraId="225D65AA" w14:textId="77777777" w:rsidTr="009A0C63">
        <w:tc>
          <w:tcPr>
            <w:tcW w:w="1435" w:type="dxa"/>
          </w:tcPr>
          <w:p w14:paraId="697F1DDD" w14:textId="77777777" w:rsidR="000D773D" w:rsidRPr="00135F3D" w:rsidRDefault="000D773D" w:rsidP="00CC7D3E">
            <w:pPr>
              <w:keepNext/>
              <w:spacing w:after="0" w:line="240" w:lineRule="auto"/>
              <w:jc w:val="center"/>
              <w:rPr>
                <w:rFonts w:ascii="Arial Narrow" w:hAnsi="Arial Narrow"/>
                <w:b/>
                <w:bCs/>
                <w:sz w:val="20"/>
                <w:szCs w:val="20"/>
              </w:rPr>
            </w:pPr>
            <w:r w:rsidRPr="00135F3D">
              <w:rPr>
                <w:rFonts w:ascii="Arial Narrow" w:hAnsi="Arial Narrow"/>
                <w:b/>
                <w:bCs/>
                <w:sz w:val="20"/>
                <w:szCs w:val="20"/>
              </w:rPr>
              <w:t>Organ system or specialty area</w:t>
            </w:r>
          </w:p>
        </w:tc>
        <w:tc>
          <w:tcPr>
            <w:tcW w:w="8136" w:type="dxa"/>
            <w:vAlign w:val="center"/>
          </w:tcPr>
          <w:p w14:paraId="4CA99F9F" w14:textId="77777777" w:rsidR="000D773D" w:rsidRPr="00135F3D" w:rsidRDefault="000D773D" w:rsidP="00CC7D3E">
            <w:pPr>
              <w:keepNext/>
              <w:spacing w:after="0" w:line="240" w:lineRule="auto"/>
              <w:jc w:val="center"/>
              <w:rPr>
                <w:rFonts w:ascii="Arial Narrow" w:hAnsi="Arial Narrow"/>
                <w:b/>
                <w:bCs/>
                <w:sz w:val="20"/>
                <w:szCs w:val="20"/>
              </w:rPr>
            </w:pPr>
            <w:r w:rsidRPr="00135F3D">
              <w:rPr>
                <w:rFonts w:ascii="Arial Narrow" w:hAnsi="Arial Narrow"/>
                <w:b/>
                <w:bCs/>
                <w:sz w:val="20"/>
                <w:szCs w:val="20"/>
              </w:rPr>
              <w:t>Recommendations</w:t>
            </w:r>
          </w:p>
        </w:tc>
      </w:tr>
      <w:tr w:rsidR="000D773D" w:rsidRPr="00EF16EB" w14:paraId="4F733E7F" w14:textId="77777777" w:rsidTr="00B431D4">
        <w:tc>
          <w:tcPr>
            <w:tcW w:w="1435" w:type="dxa"/>
          </w:tcPr>
          <w:p w14:paraId="7411E87F" w14:textId="77777777" w:rsidR="000D773D" w:rsidRPr="00EF16EB" w:rsidRDefault="000D773D" w:rsidP="00CC7D3E">
            <w:pPr>
              <w:keepNext/>
              <w:spacing w:after="0" w:line="240" w:lineRule="auto"/>
              <w:rPr>
                <w:rFonts w:ascii="Arial Narrow" w:hAnsi="Arial Narrow"/>
                <w:sz w:val="20"/>
                <w:szCs w:val="20"/>
              </w:rPr>
            </w:pPr>
            <w:r w:rsidRPr="00EF16EB">
              <w:rPr>
                <w:rFonts w:ascii="Arial Narrow" w:hAnsi="Arial Narrow"/>
                <w:sz w:val="20"/>
                <w:szCs w:val="20"/>
              </w:rPr>
              <w:t>Genetics</w:t>
            </w:r>
          </w:p>
        </w:tc>
        <w:tc>
          <w:tcPr>
            <w:tcW w:w="8136" w:type="dxa"/>
          </w:tcPr>
          <w:p w14:paraId="6E1143C0" w14:textId="77777777" w:rsidR="000D773D" w:rsidRPr="00EF16EB" w:rsidRDefault="000D773D" w:rsidP="00CC7D3E">
            <w:pPr>
              <w:pStyle w:val="ListParagraph"/>
              <w:keepNext/>
              <w:numPr>
                <w:ilvl w:val="0"/>
                <w:numId w:val="18"/>
              </w:numPr>
              <w:spacing w:after="0" w:line="240" w:lineRule="auto"/>
              <w:ind w:left="374" w:hanging="283"/>
              <w:rPr>
                <w:rFonts w:ascii="Arial Narrow" w:hAnsi="Arial Narrow"/>
                <w:sz w:val="20"/>
                <w:szCs w:val="20"/>
              </w:rPr>
            </w:pPr>
            <w:r w:rsidRPr="00EF16EB">
              <w:rPr>
                <w:rFonts w:ascii="Arial Narrow" w:hAnsi="Arial Narrow"/>
                <w:sz w:val="20"/>
                <w:szCs w:val="20"/>
              </w:rPr>
              <w:t>Obtain three-generation family history to assess for additional family members at risk of TSC.</w:t>
            </w:r>
          </w:p>
          <w:p w14:paraId="27610115" w14:textId="6032ABA6" w:rsidR="000D773D" w:rsidRPr="00EF16EB" w:rsidRDefault="000D773D" w:rsidP="00CC7D3E">
            <w:pPr>
              <w:pStyle w:val="ListParagraph"/>
              <w:keepNext/>
              <w:numPr>
                <w:ilvl w:val="0"/>
                <w:numId w:val="18"/>
              </w:numPr>
              <w:spacing w:after="0" w:line="240" w:lineRule="auto"/>
              <w:ind w:left="374" w:hanging="283"/>
              <w:rPr>
                <w:rFonts w:ascii="Arial Narrow" w:hAnsi="Arial Narrow"/>
                <w:sz w:val="20"/>
                <w:szCs w:val="20"/>
              </w:rPr>
            </w:pPr>
            <w:r w:rsidRPr="00EF16EB">
              <w:rPr>
                <w:rFonts w:ascii="Arial Narrow" w:hAnsi="Arial Narrow"/>
                <w:sz w:val="20"/>
                <w:szCs w:val="20"/>
              </w:rPr>
              <w:t xml:space="preserve">Offer genetic testing for family </w:t>
            </w:r>
            <w:r w:rsidR="00E82916" w:rsidRPr="00EF16EB">
              <w:rPr>
                <w:rFonts w:ascii="Arial Narrow" w:hAnsi="Arial Narrow"/>
                <w:sz w:val="20"/>
                <w:szCs w:val="20"/>
              </w:rPr>
              <w:t>counselling</w:t>
            </w:r>
            <w:r w:rsidRPr="00EF16EB">
              <w:rPr>
                <w:rFonts w:ascii="Arial Narrow" w:hAnsi="Arial Narrow"/>
                <w:sz w:val="20"/>
                <w:szCs w:val="20"/>
              </w:rPr>
              <w:t xml:space="preserve"> or when TSC diagnosis is in question but cannot be clinically confirmed.</w:t>
            </w:r>
          </w:p>
        </w:tc>
      </w:tr>
      <w:tr w:rsidR="000D773D" w:rsidRPr="00EF16EB" w14:paraId="0324522F" w14:textId="77777777" w:rsidTr="00B431D4">
        <w:tc>
          <w:tcPr>
            <w:tcW w:w="1435" w:type="dxa"/>
          </w:tcPr>
          <w:p w14:paraId="13316D00" w14:textId="77777777" w:rsidR="000D773D" w:rsidRPr="00EF16EB" w:rsidRDefault="000D773D" w:rsidP="00CC7D3E">
            <w:pPr>
              <w:keepNext/>
              <w:spacing w:after="0" w:line="240" w:lineRule="auto"/>
              <w:rPr>
                <w:rFonts w:ascii="Arial Narrow" w:hAnsi="Arial Narrow"/>
                <w:sz w:val="20"/>
                <w:szCs w:val="20"/>
              </w:rPr>
            </w:pPr>
            <w:r w:rsidRPr="00EF16EB">
              <w:rPr>
                <w:rFonts w:ascii="Arial Narrow" w:hAnsi="Arial Narrow"/>
                <w:sz w:val="20"/>
                <w:szCs w:val="20"/>
              </w:rPr>
              <w:t>Brain</w:t>
            </w:r>
          </w:p>
        </w:tc>
        <w:tc>
          <w:tcPr>
            <w:tcW w:w="8136" w:type="dxa"/>
          </w:tcPr>
          <w:p w14:paraId="6A2F4AD3" w14:textId="77777777" w:rsidR="000D773D" w:rsidRPr="00EF16EB" w:rsidRDefault="000D773D" w:rsidP="00CC7D3E">
            <w:pPr>
              <w:pStyle w:val="ListParagraph"/>
              <w:keepNext/>
              <w:numPr>
                <w:ilvl w:val="0"/>
                <w:numId w:val="18"/>
              </w:numPr>
              <w:spacing w:after="0" w:line="240" w:lineRule="auto"/>
              <w:ind w:left="374" w:hanging="283"/>
              <w:rPr>
                <w:rFonts w:ascii="Arial Narrow" w:hAnsi="Arial Narrow"/>
                <w:sz w:val="20"/>
                <w:szCs w:val="20"/>
              </w:rPr>
            </w:pPr>
            <w:r w:rsidRPr="00EF16EB">
              <w:rPr>
                <w:rFonts w:ascii="Arial Narrow" w:hAnsi="Arial Narrow"/>
                <w:sz w:val="20"/>
                <w:szCs w:val="20"/>
              </w:rPr>
              <w:t xml:space="preserve">Obtain MRI of the brain to assess for the presence of tubers, SEN, </w:t>
            </w:r>
            <w:proofErr w:type="spellStart"/>
            <w:r w:rsidRPr="00EF16EB">
              <w:rPr>
                <w:rFonts w:ascii="Arial Narrow" w:hAnsi="Arial Narrow"/>
                <w:sz w:val="20"/>
                <w:szCs w:val="20"/>
              </w:rPr>
              <w:t>migrational</w:t>
            </w:r>
            <w:proofErr w:type="spellEnd"/>
            <w:r w:rsidRPr="00EF16EB">
              <w:rPr>
                <w:rFonts w:ascii="Arial Narrow" w:hAnsi="Arial Narrow"/>
                <w:sz w:val="20"/>
                <w:szCs w:val="20"/>
              </w:rPr>
              <w:t xml:space="preserve"> defects, and SEGA.</w:t>
            </w:r>
          </w:p>
          <w:p w14:paraId="335678D7" w14:textId="77777777" w:rsidR="000D773D" w:rsidRPr="00EF16EB" w:rsidRDefault="000D773D" w:rsidP="00CC7D3E">
            <w:pPr>
              <w:pStyle w:val="ListParagraph"/>
              <w:keepNext/>
              <w:numPr>
                <w:ilvl w:val="0"/>
                <w:numId w:val="18"/>
              </w:numPr>
              <w:spacing w:after="0" w:line="240" w:lineRule="auto"/>
              <w:ind w:left="374" w:hanging="283"/>
              <w:rPr>
                <w:rFonts w:ascii="Arial Narrow" w:hAnsi="Arial Narrow"/>
                <w:sz w:val="20"/>
                <w:szCs w:val="20"/>
              </w:rPr>
            </w:pPr>
            <w:r w:rsidRPr="00EF16EB">
              <w:rPr>
                <w:rFonts w:ascii="Arial Narrow" w:hAnsi="Arial Narrow"/>
                <w:sz w:val="20"/>
                <w:szCs w:val="20"/>
              </w:rPr>
              <w:t>During infancy, educate parents to recognize infantile spasms and focal seizures, even if none have occurred at the time of first diagnosis</w:t>
            </w:r>
          </w:p>
          <w:p w14:paraId="17669112" w14:textId="77777777" w:rsidR="000D773D" w:rsidRPr="00EF16EB" w:rsidRDefault="000D773D" w:rsidP="00CC7D3E">
            <w:pPr>
              <w:pStyle w:val="ListParagraph"/>
              <w:keepNext/>
              <w:numPr>
                <w:ilvl w:val="0"/>
                <w:numId w:val="18"/>
              </w:numPr>
              <w:spacing w:after="0" w:line="240" w:lineRule="auto"/>
              <w:ind w:left="374" w:hanging="283"/>
              <w:rPr>
                <w:rFonts w:ascii="Arial Narrow" w:hAnsi="Arial Narrow"/>
                <w:sz w:val="20"/>
                <w:szCs w:val="20"/>
              </w:rPr>
            </w:pPr>
            <w:r w:rsidRPr="00EF16EB">
              <w:rPr>
                <w:rFonts w:ascii="Arial Narrow" w:hAnsi="Arial Narrow"/>
                <w:sz w:val="20"/>
                <w:szCs w:val="20"/>
              </w:rPr>
              <w:t xml:space="preserve">Obtain MRI of the brain to assess for the presence of tubers, SEN, </w:t>
            </w:r>
            <w:proofErr w:type="spellStart"/>
            <w:r w:rsidRPr="00EF16EB">
              <w:rPr>
                <w:rFonts w:ascii="Arial Narrow" w:hAnsi="Arial Narrow"/>
                <w:sz w:val="20"/>
                <w:szCs w:val="20"/>
              </w:rPr>
              <w:t>migrational</w:t>
            </w:r>
            <w:proofErr w:type="spellEnd"/>
            <w:r w:rsidRPr="00EF16EB">
              <w:rPr>
                <w:rFonts w:ascii="Arial Narrow" w:hAnsi="Arial Narrow"/>
                <w:sz w:val="20"/>
                <w:szCs w:val="20"/>
              </w:rPr>
              <w:t xml:space="preserve"> defects, and SEGA.</w:t>
            </w:r>
          </w:p>
          <w:p w14:paraId="54D82585" w14:textId="77777777" w:rsidR="000D773D" w:rsidRPr="00EF16EB" w:rsidRDefault="000D773D" w:rsidP="00CC7D3E">
            <w:pPr>
              <w:pStyle w:val="ListParagraph"/>
              <w:keepNext/>
              <w:numPr>
                <w:ilvl w:val="0"/>
                <w:numId w:val="18"/>
              </w:numPr>
              <w:spacing w:after="0" w:line="240" w:lineRule="auto"/>
              <w:ind w:left="374" w:hanging="283"/>
              <w:rPr>
                <w:rFonts w:ascii="Arial Narrow" w:hAnsi="Arial Narrow"/>
                <w:sz w:val="20"/>
                <w:szCs w:val="20"/>
              </w:rPr>
            </w:pPr>
            <w:r w:rsidRPr="00EF16EB">
              <w:rPr>
                <w:rFonts w:ascii="Arial Narrow" w:hAnsi="Arial Narrow"/>
                <w:sz w:val="20"/>
                <w:szCs w:val="20"/>
              </w:rPr>
              <w:t>During infancy, educate parents to recognize infantile spasms and focal seizures, even if none have occurred at the time of first diagnosis</w:t>
            </w:r>
          </w:p>
        </w:tc>
      </w:tr>
      <w:tr w:rsidR="000D773D" w:rsidRPr="00EF16EB" w14:paraId="042BFEFE" w14:textId="77777777" w:rsidTr="00B431D4">
        <w:tc>
          <w:tcPr>
            <w:tcW w:w="1435" w:type="dxa"/>
          </w:tcPr>
          <w:p w14:paraId="23719A03" w14:textId="77777777" w:rsidR="000D773D" w:rsidRPr="00EF16EB" w:rsidRDefault="000D773D" w:rsidP="00CC7D3E">
            <w:pPr>
              <w:keepNext/>
              <w:spacing w:after="0" w:line="240" w:lineRule="auto"/>
              <w:rPr>
                <w:rFonts w:ascii="Arial Narrow" w:hAnsi="Arial Narrow"/>
                <w:sz w:val="20"/>
                <w:szCs w:val="20"/>
              </w:rPr>
            </w:pPr>
            <w:r w:rsidRPr="00EF16EB">
              <w:rPr>
                <w:rFonts w:ascii="Arial Narrow" w:hAnsi="Arial Narrow"/>
                <w:sz w:val="20"/>
                <w:szCs w:val="20"/>
              </w:rPr>
              <w:t>TAND</w:t>
            </w:r>
          </w:p>
        </w:tc>
        <w:tc>
          <w:tcPr>
            <w:tcW w:w="8136" w:type="dxa"/>
          </w:tcPr>
          <w:p w14:paraId="582E1CC3" w14:textId="77777777" w:rsidR="000D773D" w:rsidRPr="00EF16EB" w:rsidRDefault="000D773D" w:rsidP="00CC7D3E">
            <w:pPr>
              <w:pStyle w:val="ListParagraph"/>
              <w:keepNext/>
              <w:numPr>
                <w:ilvl w:val="0"/>
                <w:numId w:val="18"/>
              </w:numPr>
              <w:spacing w:after="0" w:line="240" w:lineRule="auto"/>
              <w:ind w:left="374" w:hanging="283"/>
              <w:rPr>
                <w:rFonts w:ascii="Arial Narrow" w:hAnsi="Arial Narrow"/>
                <w:sz w:val="20"/>
                <w:szCs w:val="20"/>
              </w:rPr>
            </w:pPr>
            <w:r w:rsidRPr="00EF16EB">
              <w:rPr>
                <w:rFonts w:ascii="Arial Narrow" w:hAnsi="Arial Narrow"/>
                <w:sz w:val="20"/>
                <w:szCs w:val="20"/>
              </w:rPr>
              <w:t>Perform comprehensive assessment for all levels of potential TAND manifestations</w:t>
            </w:r>
          </w:p>
          <w:p w14:paraId="7C12541B" w14:textId="77777777" w:rsidR="000D773D" w:rsidRPr="00EF16EB" w:rsidRDefault="000D773D" w:rsidP="00CC7D3E">
            <w:pPr>
              <w:pStyle w:val="ListParagraph"/>
              <w:keepNext/>
              <w:numPr>
                <w:ilvl w:val="0"/>
                <w:numId w:val="18"/>
              </w:numPr>
              <w:spacing w:after="0" w:line="240" w:lineRule="auto"/>
              <w:ind w:left="374" w:hanging="283"/>
              <w:rPr>
                <w:rFonts w:ascii="Arial Narrow" w:hAnsi="Arial Narrow"/>
                <w:sz w:val="20"/>
                <w:szCs w:val="20"/>
              </w:rPr>
            </w:pPr>
            <w:r w:rsidRPr="00EF16EB">
              <w:rPr>
                <w:rFonts w:ascii="Arial Narrow" w:hAnsi="Arial Narrow"/>
                <w:sz w:val="20"/>
                <w:szCs w:val="20"/>
              </w:rPr>
              <w:t>Refer as appropriate to suitable professionals to initiate evidence-based interventions based on the TAND profile of above-identified needs.</w:t>
            </w:r>
          </w:p>
          <w:p w14:paraId="663185E5" w14:textId="77777777" w:rsidR="000D773D" w:rsidRPr="00EF16EB" w:rsidRDefault="000D773D" w:rsidP="00CC7D3E">
            <w:pPr>
              <w:pStyle w:val="ListParagraph"/>
              <w:keepNext/>
              <w:numPr>
                <w:ilvl w:val="0"/>
                <w:numId w:val="18"/>
              </w:numPr>
              <w:spacing w:after="0" w:line="240" w:lineRule="auto"/>
              <w:ind w:left="374" w:hanging="283"/>
              <w:rPr>
                <w:rFonts w:ascii="Arial Narrow" w:hAnsi="Arial Narrow"/>
                <w:sz w:val="20"/>
                <w:szCs w:val="20"/>
              </w:rPr>
            </w:pPr>
            <w:r w:rsidRPr="00EF16EB">
              <w:rPr>
                <w:rFonts w:ascii="Arial Narrow" w:hAnsi="Arial Narrow"/>
                <w:sz w:val="20"/>
                <w:szCs w:val="20"/>
              </w:rPr>
              <w:t>Provide parent/caregiver education and training about TAND to ensure families know what to look out for in emerging TAND manifestations (e.g. autism spectrum disorder, language disorders, attention-deficit/hyperactivity disorder, anxiety disorders).</w:t>
            </w:r>
          </w:p>
          <w:p w14:paraId="14EA8639" w14:textId="77777777" w:rsidR="000D773D" w:rsidRPr="00EF16EB" w:rsidRDefault="000D773D" w:rsidP="00CC7D3E">
            <w:pPr>
              <w:pStyle w:val="ListParagraph"/>
              <w:keepNext/>
              <w:numPr>
                <w:ilvl w:val="0"/>
                <w:numId w:val="18"/>
              </w:numPr>
              <w:spacing w:after="0" w:line="240" w:lineRule="auto"/>
              <w:ind w:left="374" w:hanging="283"/>
              <w:rPr>
                <w:rFonts w:ascii="Arial Narrow" w:hAnsi="Arial Narrow"/>
                <w:sz w:val="20"/>
                <w:szCs w:val="20"/>
              </w:rPr>
            </w:pPr>
            <w:r w:rsidRPr="00EF16EB">
              <w:rPr>
                <w:rFonts w:ascii="Arial Narrow" w:hAnsi="Arial Narrow"/>
                <w:sz w:val="20"/>
                <w:szCs w:val="20"/>
              </w:rPr>
              <w:t>Provide psychological and social support to families around diagnosis, coming to terms with the diagnosis of TSC and TAND, and ensure strategies are in place to support caregiver well-being.</w:t>
            </w:r>
          </w:p>
        </w:tc>
      </w:tr>
      <w:tr w:rsidR="000D773D" w:rsidRPr="00EF16EB" w14:paraId="6EADBA08" w14:textId="77777777" w:rsidTr="00B431D4">
        <w:tc>
          <w:tcPr>
            <w:tcW w:w="1435" w:type="dxa"/>
          </w:tcPr>
          <w:p w14:paraId="26E2184A" w14:textId="77777777" w:rsidR="000D773D" w:rsidRPr="00EF16EB" w:rsidRDefault="000D773D" w:rsidP="00CC7D3E">
            <w:pPr>
              <w:keepNext/>
              <w:spacing w:after="0" w:line="240" w:lineRule="auto"/>
              <w:rPr>
                <w:rFonts w:ascii="Arial Narrow" w:hAnsi="Arial Narrow"/>
                <w:sz w:val="20"/>
                <w:szCs w:val="20"/>
              </w:rPr>
            </w:pPr>
            <w:r w:rsidRPr="00EF16EB">
              <w:rPr>
                <w:rFonts w:ascii="Arial Narrow" w:hAnsi="Arial Narrow"/>
                <w:sz w:val="20"/>
                <w:szCs w:val="20"/>
              </w:rPr>
              <w:t>Kidney</w:t>
            </w:r>
          </w:p>
        </w:tc>
        <w:tc>
          <w:tcPr>
            <w:tcW w:w="8136" w:type="dxa"/>
          </w:tcPr>
          <w:p w14:paraId="4ACA8355" w14:textId="77777777" w:rsidR="000D773D" w:rsidRPr="00EF16EB" w:rsidRDefault="000D773D" w:rsidP="00CC7D3E">
            <w:pPr>
              <w:pStyle w:val="ListParagraph"/>
              <w:keepNext/>
              <w:numPr>
                <w:ilvl w:val="0"/>
                <w:numId w:val="18"/>
              </w:numPr>
              <w:spacing w:after="0" w:line="240" w:lineRule="auto"/>
              <w:ind w:left="374" w:hanging="283"/>
              <w:rPr>
                <w:rFonts w:ascii="Arial Narrow" w:hAnsi="Arial Narrow"/>
                <w:sz w:val="20"/>
                <w:szCs w:val="20"/>
              </w:rPr>
            </w:pPr>
            <w:r w:rsidRPr="00EF16EB">
              <w:rPr>
                <w:rFonts w:ascii="Arial Narrow" w:hAnsi="Arial Narrow"/>
                <w:sz w:val="20"/>
                <w:szCs w:val="20"/>
              </w:rPr>
              <w:t xml:space="preserve">Obtain MRI of the abdomen to assess for the presence of </w:t>
            </w:r>
            <w:proofErr w:type="spellStart"/>
            <w:r w:rsidRPr="00EF16EB">
              <w:rPr>
                <w:rFonts w:ascii="Arial Narrow" w:hAnsi="Arial Narrow"/>
                <w:sz w:val="20"/>
                <w:szCs w:val="20"/>
              </w:rPr>
              <w:t>angiomyolipomas</w:t>
            </w:r>
            <w:proofErr w:type="spellEnd"/>
            <w:r w:rsidRPr="00EF16EB">
              <w:rPr>
                <w:rFonts w:ascii="Arial Narrow" w:hAnsi="Arial Narrow"/>
                <w:sz w:val="20"/>
                <w:szCs w:val="20"/>
              </w:rPr>
              <w:t xml:space="preserve"> and renal cysts.</w:t>
            </w:r>
          </w:p>
          <w:p w14:paraId="561D3369" w14:textId="77777777" w:rsidR="000D773D" w:rsidRPr="00EF16EB" w:rsidRDefault="000D773D" w:rsidP="00CC7D3E">
            <w:pPr>
              <w:pStyle w:val="ListParagraph"/>
              <w:keepNext/>
              <w:numPr>
                <w:ilvl w:val="0"/>
                <w:numId w:val="18"/>
              </w:numPr>
              <w:spacing w:after="0" w:line="240" w:lineRule="auto"/>
              <w:ind w:left="374" w:hanging="283"/>
              <w:rPr>
                <w:rFonts w:ascii="Arial Narrow" w:hAnsi="Arial Narrow"/>
                <w:sz w:val="20"/>
                <w:szCs w:val="20"/>
              </w:rPr>
            </w:pPr>
            <w:r w:rsidRPr="00EF16EB">
              <w:rPr>
                <w:rFonts w:ascii="Arial Narrow" w:hAnsi="Arial Narrow"/>
                <w:sz w:val="20"/>
                <w:szCs w:val="20"/>
              </w:rPr>
              <w:t>Screen for hypertension by obtaining an accurate blood pressure.</w:t>
            </w:r>
          </w:p>
          <w:p w14:paraId="394A33B0" w14:textId="77777777" w:rsidR="000D773D" w:rsidRPr="00EF16EB" w:rsidRDefault="000D773D" w:rsidP="00CC7D3E">
            <w:pPr>
              <w:pStyle w:val="ListParagraph"/>
              <w:keepNext/>
              <w:numPr>
                <w:ilvl w:val="0"/>
                <w:numId w:val="18"/>
              </w:numPr>
              <w:spacing w:after="0" w:line="240" w:lineRule="auto"/>
              <w:ind w:left="374" w:hanging="283"/>
              <w:rPr>
                <w:rFonts w:ascii="Arial Narrow" w:hAnsi="Arial Narrow"/>
                <w:sz w:val="20"/>
                <w:szCs w:val="20"/>
              </w:rPr>
            </w:pPr>
            <w:r w:rsidRPr="00EF16EB">
              <w:rPr>
                <w:rFonts w:ascii="Arial Narrow" w:hAnsi="Arial Narrow"/>
                <w:sz w:val="20"/>
                <w:szCs w:val="20"/>
              </w:rPr>
              <w:t>Evaluate renal function by determination of GFR.</w:t>
            </w:r>
          </w:p>
        </w:tc>
      </w:tr>
      <w:tr w:rsidR="000D773D" w:rsidRPr="00EF16EB" w14:paraId="7A10D18E" w14:textId="77777777" w:rsidTr="00B431D4">
        <w:tc>
          <w:tcPr>
            <w:tcW w:w="1435" w:type="dxa"/>
          </w:tcPr>
          <w:p w14:paraId="19C6AF9B" w14:textId="77777777" w:rsidR="000D773D" w:rsidRPr="00EF16EB" w:rsidRDefault="000D773D" w:rsidP="00CC7D3E">
            <w:pPr>
              <w:keepNext/>
              <w:spacing w:after="0" w:line="240" w:lineRule="auto"/>
              <w:rPr>
                <w:rFonts w:ascii="Arial Narrow" w:hAnsi="Arial Narrow"/>
                <w:sz w:val="20"/>
                <w:szCs w:val="20"/>
              </w:rPr>
            </w:pPr>
            <w:r w:rsidRPr="00EF16EB">
              <w:rPr>
                <w:rFonts w:ascii="Arial Narrow" w:hAnsi="Arial Narrow"/>
                <w:sz w:val="20"/>
                <w:szCs w:val="20"/>
              </w:rPr>
              <w:t>Lung</w:t>
            </w:r>
          </w:p>
        </w:tc>
        <w:tc>
          <w:tcPr>
            <w:tcW w:w="8136" w:type="dxa"/>
          </w:tcPr>
          <w:p w14:paraId="4D5E453D" w14:textId="2444F9E9" w:rsidR="000D773D" w:rsidRPr="00237514" w:rsidRDefault="000D773D" w:rsidP="00CC7D3E">
            <w:pPr>
              <w:pStyle w:val="ListParagraph"/>
              <w:keepNext/>
              <w:numPr>
                <w:ilvl w:val="0"/>
                <w:numId w:val="18"/>
              </w:numPr>
              <w:spacing w:after="0" w:line="240" w:lineRule="auto"/>
              <w:ind w:left="374" w:hanging="283"/>
              <w:rPr>
                <w:rFonts w:ascii="Arial Narrow" w:hAnsi="Arial Narrow"/>
                <w:sz w:val="20"/>
                <w:szCs w:val="20"/>
              </w:rPr>
            </w:pPr>
            <w:r w:rsidRPr="00EF16EB">
              <w:rPr>
                <w:rFonts w:ascii="Arial Narrow" w:hAnsi="Arial Narrow"/>
                <w:sz w:val="20"/>
                <w:szCs w:val="20"/>
              </w:rPr>
              <w:t>Inquire about tobacco exposure, connective tissue disease manifestations, signs of chyle leak, and pulmonary manifestations of</w:t>
            </w:r>
            <w:r w:rsidR="00237514">
              <w:rPr>
                <w:rFonts w:ascii="Arial Narrow" w:hAnsi="Arial Narrow"/>
                <w:sz w:val="20"/>
                <w:szCs w:val="20"/>
              </w:rPr>
              <w:t xml:space="preserve"> </w:t>
            </w:r>
            <w:proofErr w:type="spellStart"/>
            <w:r w:rsidRPr="00237514">
              <w:rPr>
                <w:rFonts w:ascii="Arial Narrow" w:hAnsi="Arial Narrow"/>
                <w:sz w:val="20"/>
                <w:szCs w:val="20"/>
              </w:rPr>
              <w:t>dyspnea</w:t>
            </w:r>
            <w:proofErr w:type="spellEnd"/>
            <w:r w:rsidRPr="00237514">
              <w:rPr>
                <w:rFonts w:ascii="Arial Narrow" w:hAnsi="Arial Narrow"/>
                <w:sz w:val="20"/>
                <w:szCs w:val="20"/>
              </w:rPr>
              <w:t>, cough, and spontaneous pneumothorax in all adult patients with TSC.</w:t>
            </w:r>
          </w:p>
          <w:p w14:paraId="34930B1B" w14:textId="77777777" w:rsidR="000D773D" w:rsidRPr="00EF16EB" w:rsidRDefault="000D773D" w:rsidP="00CC7D3E">
            <w:pPr>
              <w:pStyle w:val="ListParagraph"/>
              <w:keepNext/>
              <w:numPr>
                <w:ilvl w:val="0"/>
                <w:numId w:val="18"/>
              </w:numPr>
              <w:spacing w:after="0" w:line="240" w:lineRule="auto"/>
              <w:ind w:left="374" w:hanging="283"/>
              <w:rPr>
                <w:rFonts w:ascii="Arial Narrow" w:hAnsi="Arial Narrow"/>
                <w:sz w:val="20"/>
                <w:szCs w:val="20"/>
              </w:rPr>
            </w:pPr>
            <w:r w:rsidRPr="00EF16EB">
              <w:rPr>
                <w:rFonts w:ascii="Arial Narrow" w:hAnsi="Arial Narrow"/>
                <w:sz w:val="20"/>
                <w:szCs w:val="20"/>
              </w:rPr>
              <w:t>Perform baseline chest CT in all females, and symptomatic males, starting at age 18 years or older.</w:t>
            </w:r>
          </w:p>
          <w:p w14:paraId="081DCB67" w14:textId="77777777" w:rsidR="000D773D" w:rsidRPr="00EF16EB" w:rsidRDefault="000D773D" w:rsidP="00CC7D3E">
            <w:pPr>
              <w:pStyle w:val="ListParagraph"/>
              <w:keepNext/>
              <w:numPr>
                <w:ilvl w:val="0"/>
                <w:numId w:val="18"/>
              </w:numPr>
              <w:spacing w:after="0" w:line="240" w:lineRule="auto"/>
              <w:ind w:left="374" w:hanging="283"/>
              <w:rPr>
                <w:rFonts w:ascii="Arial Narrow" w:hAnsi="Arial Narrow"/>
                <w:sz w:val="20"/>
                <w:szCs w:val="20"/>
              </w:rPr>
            </w:pPr>
            <w:r w:rsidRPr="00EF16EB">
              <w:rPr>
                <w:rFonts w:ascii="Arial Narrow" w:hAnsi="Arial Narrow"/>
                <w:sz w:val="20"/>
                <w:szCs w:val="20"/>
              </w:rPr>
              <w:t>Perform baseline PFTs and 6MWT in patients with evidence of cystic lung disease consistent with LAM on the screening chest CT.</w:t>
            </w:r>
          </w:p>
        </w:tc>
      </w:tr>
      <w:tr w:rsidR="000D773D" w:rsidRPr="00EF16EB" w14:paraId="05BF40F3" w14:textId="77777777" w:rsidTr="00B431D4">
        <w:tc>
          <w:tcPr>
            <w:tcW w:w="1435" w:type="dxa"/>
          </w:tcPr>
          <w:p w14:paraId="72443C0E" w14:textId="77777777" w:rsidR="000D773D" w:rsidRPr="00EF16EB" w:rsidRDefault="000D773D" w:rsidP="00CC7D3E">
            <w:pPr>
              <w:keepNext/>
              <w:spacing w:after="0" w:line="240" w:lineRule="auto"/>
              <w:rPr>
                <w:rFonts w:ascii="Arial Narrow" w:hAnsi="Arial Narrow"/>
                <w:sz w:val="20"/>
                <w:szCs w:val="20"/>
              </w:rPr>
            </w:pPr>
            <w:r w:rsidRPr="00EF16EB">
              <w:rPr>
                <w:rFonts w:ascii="Arial Narrow" w:hAnsi="Arial Narrow"/>
                <w:sz w:val="20"/>
                <w:szCs w:val="20"/>
              </w:rPr>
              <w:t>Skin</w:t>
            </w:r>
          </w:p>
        </w:tc>
        <w:tc>
          <w:tcPr>
            <w:tcW w:w="8136" w:type="dxa"/>
          </w:tcPr>
          <w:p w14:paraId="3EC0CE83" w14:textId="77777777" w:rsidR="000D773D" w:rsidRPr="00EF16EB" w:rsidRDefault="000D773D" w:rsidP="00CC7D3E">
            <w:pPr>
              <w:pStyle w:val="ListParagraph"/>
              <w:keepNext/>
              <w:numPr>
                <w:ilvl w:val="0"/>
                <w:numId w:val="18"/>
              </w:numPr>
              <w:spacing w:after="0" w:line="240" w:lineRule="auto"/>
              <w:ind w:left="374" w:hanging="283"/>
              <w:rPr>
                <w:rFonts w:ascii="Arial Narrow" w:hAnsi="Arial Narrow"/>
                <w:sz w:val="20"/>
                <w:szCs w:val="20"/>
              </w:rPr>
            </w:pPr>
            <w:r w:rsidRPr="00EF16EB">
              <w:rPr>
                <w:rFonts w:ascii="Arial Narrow" w:hAnsi="Arial Narrow"/>
                <w:sz w:val="20"/>
                <w:szCs w:val="20"/>
              </w:rPr>
              <w:t>Perform a detailed clinical dermatologic inspection/examination.</w:t>
            </w:r>
          </w:p>
        </w:tc>
      </w:tr>
      <w:tr w:rsidR="000D773D" w:rsidRPr="00EF16EB" w14:paraId="5A9CD623" w14:textId="77777777" w:rsidTr="00B431D4">
        <w:tc>
          <w:tcPr>
            <w:tcW w:w="1435" w:type="dxa"/>
          </w:tcPr>
          <w:p w14:paraId="152B5716" w14:textId="77777777" w:rsidR="000D773D" w:rsidRPr="00EF16EB" w:rsidRDefault="000D773D" w:rsidP="00CC7D3E">
            <w:pPr>
              <w:keepNext/>
              <w:spacing w:after="0" w:line="240" w:lineRule="auto"/>
              <w:rPr>
                <w:rFonts w:ascii="Arial Narrow" w:hAnsi="Arial Narrow"/>
                <w:sz w:val="20"/>
                <w:szCs w:val="20"/>
              </w:rPr>
            </w:pPr>
            <w:r w:rsidRPr="00EF16EB">
              <w:rPr>
                <w:rFonts w:ascii="Arial Narrow" w:hAnsi="Arial Narrow"/>
                <w:sz w:val="20"/>
                <w:szCs w:val="20"/>
              </w:rPr>
              <w:t>Teeth</w:t>
            </w:r>
          </w:p>
        </w:tc>
        <w:tc>
          <w:tcPr>
            <w:tcW w:w="8136" w:type="dxa"/>
          </w:tcPr>
          <w:p w14:paraId="3AB8B24C" w14:textId="77777777" w:rsidR="000D773D" w:rsidRPr="00EF16EB" w:rsidRDefault="000D773D" w:rsidP="00CC7D3E">
            <w:pPr>
              <w:pStyle w:val="ListParagraph"/>
              <w:keepNext/>
              <w:numPr>
                <w:ilvl w:val="0"/>
                <w:numId w:val="18"/>
              </w:numPr>
              <w:spacing w:after="0" w:line="240" w:lineRule="auto"/>
              <w:ind w:left="374" w:hanging="283"/>
              <w:rPr>
                <w:rFonts w:ascii="Arial Narrow" w:hAnsi="Arial Narrow"/>
                <w:sz w:val="20"/>
                <w:szCs w:val="20"/>
              </w:rPr>
            </w:pPr>
            <w:r w:rsidRPr="00EF16EB">
              <w:rPr>
                <w:rFonts w:ascii="Arial Narrow" w:hAnsi="Arial Narrow"/>
                <w:sz w:val="20"/>
                <w:szCs w:val="20"/>
              </w:rPr>
              <w:t>Perform a detailed clinical dental inspection/examination</w:t>
            </w:r>
          </w:p>
        </w:tc>
      </w:tr>
      <w:tr w:rsidR="000D773D" w:rsidRPr="00EF16EB" w14:paraId="297A4F15" w14:textId="77777777" w:rsidTr="00B431D4">
        <w:tc>
          <w:tcPr>
            <w:tcW w:w="1435" w:type="dxa"/>
          </w:tcPr>
          <w:p w14:paraId="4DCFF653" w14:textId="77777777" w:rsidR="000D773D" w:rsidRPr="00EF16EB" w:rsidRDefault="000D773D" w:rsidP="00CC7D3E">
            <w:pPr>
              <w:keepNext/>
              <w:spacing w:after="0" w:line="240" w:lineRule="auto"/>
              <w:rPr>
                <w:rFonts w:ascii="Arial Narrow" w:hAnsi="Arial Narrow"/>
                <w:sz w:val="20"/>
                <w:szCs w:val="20"/>
              </w:rPr>
            </w:pPr>
            <w:r w:rsidRPr="00EF16EB">
              <w:rPr>
                <w:rFonts w:ascii="Arial Narrow" w:hAnsi="Arial Narrow"/>
                <w:sz w:val="20"/>
                <w:szCs w:val="20"/>
              </w:rPr>
              <w:t>Heart</w:t>
            </w:r>
          </w:p>
        </w:tc>
        <w:tc>
          <w:tcPr>
            <w:tcW w:w="8136" w:type="dxa"/>
          </w:tcPr>
          <w:p w14:paraId="3E29A06D" w14:textId="77777777" w:rsidR="000D773D" w:rsidRPr="00EF16EB" w:rsidRDefault="000D773D" w:rsidP="00CC7D3E">
            <w:pPr>
              <w:pStyle w:val="ListParagraph"/>
              <w:keepNext/>
              <w:numPr>
                <w:ilvl w:val="0"/>
                <w:numId w:val="18"/>
              </w:numPr>
              <w:spacing w:after="0" w:line="240" w:lineRule="auto"/>
              <w:ind w:left="374" w:hanging="283"/>
              <w:rPr>
                <w:rFonts w:ascii="Arial Narrow" w:hAnsi="Arial Narrow"/>
                <w:sz w:val="20"/>
                <w:szCs w:val="20"/>
              </w:rPr>
            </w:pPr>
            <w:r w:rsidRPr="00EF16EB">
              <w:rPr>
                <w:rFonts w:ascii="Arial Narrow" w:hAnsi="Arial Narrow"/>
                <w:sz w:val="20"/>
                <w:szCs w:val="20"/>
              </w:rPr>
              <w:t xml:space="preserve">Consider </w:t>
            </w:r>
            <w:proofErr w:type="spellStart"/>
            <w:r w:rsidRPr="00EF16EB">
              <w:rPr>
                <w:rFonts w:ascii="Arial Narrow" w:hAnsi="Arial Narrow"/>
                <w:sz w:val="20"/>
                <w:szCs w:val="20"/>
              </w:rPr>
              <w:t>fetal</w:t>
            </w:r>
            <w:proofErr w:type="spellEnd"/>
            <w:r w:rsidRPr="00EF16EB">
              <w:rPr>
                <w:rFonts w:ascii="Arial Narrow" w:hAnsi="Arial Narrow"/>
                <w:sz w:val="20"/>
                <w:szCs w:val="20"/>
              </w:rPr>
              <w:t xml:space="preserve"> echocardiography to detect individuals with high risk of heart failure after delivery when rhabdomyomas are identified via prenatal ultrasound.</w:t>
            </w:r>
          </w:p>
          <w:p w14:paraId="5DFC3A01" w14:textId="3618FFFA" w:rsidR="000D773D" w:rsidRPr="00EF16EB" w:rsidRDefault="000D773D" w:rsidP="00CC7D3E">
            <w:pPr>
              <w:pStyle w:val="ListParagraph"/>
              <w:keepNext/>
              <w:numPr>
                <w:ilvl w:val="0"/>
                <w:numId w:val="18"/>
              </w:numPr>
              <w:spacing w:after="0" w:line="240" w:lineRule="auto"/>
              <w:ind w:left="374" w:hanging="283"/>
              <w:rPr>
                <w:rFonts w:ascii="Arial Narrow" w:hAnsi="Arial Narrow"/>
                <w:sz w:val="20"/>
                <w:szCs w:val="20"/>
              </w:rPr>
            </w:pPr>
            <w:r w:rsidRPr="00EF16EB">
              <w:rPr>
                <w:rFonts w:ascii="Arial Narrow" w:hAnsi="Arial Narrow"/>
                <w:sz w:val="20"/>
                <w:szCs w:val="20"/>
              </w:rPr>
              <w:t xml:space="preserve">Obtain an echocardiography in </w:t>
            </w:r>
            <w:r w:rsidR="00E82916" w:rsidRPr="00EF16EB">
              <w:rPr>
                <w:rFonts w:ascii="Arial Narrow" w:hAnsi="Arial Narrow"/>
                <w:sz w:val="20"/>
                <w:szCs w:val="20"/>
              </w:rPr>
              <w:t>paediatric</w:t>
            </w:r>
            <w:r w:rsidRPr="00EF16EB">
              <w:rPr>
                <w:rFonts w:ascii="Arial Narrow" w:hAnsi="Arial Narrow"/>
                <w:sz w:val="20"/>
                <w:szCs w:val="20"/>
              </w:rPr>
              <w:t xml:space="preserve"> patients, especially if younger than age three years.</w:t>
            </w:r>
          </w:p>
          <w:p w14:paraId="304A3259" w14:textId="77777777" w:rsidR="000D773D" w:rsidRPr="00EF16EB" w:rsidRDefault="000D773D" w:rsidP="00CC7D3E">
            <w:pPr>
              <w:pStyle w:val="ListParagraph"/>
              <w:keepNext/>
              <w:numPr>
                <w:ilvl w:val="0"/>
                <w:numId w:val="18"/>
              </w:numPr>
              <w:spacing w:after="0" w:line="240" w:lineRule="auto"/>
              <w:ind w:left="374" w:hanging="283"/>
              <w:rPr>
                <w:rFonts w:ascii="Arial Narrow" w:hAnsi="Arial Narrow"/>
                <w:sz w:val="20"/>
                <w:szCs w:val="20"/>
              </w:rPr>
            </w:pPr>
            <w:r w:rsidRPr="00EF16EB">
              <w:rPr>
                <w:rFonts w:ascii="Arial Narrow" w:hAnsi="Arial Narrow"/>
                <w:sz w:val="20"/>
                <w:szCs w:val="20"/>
              </w:rPr>
              <w:t>Obtain an electrocardiography at all ages to assess for underlying conduction defects.</w:t>
            </w:r>
          </w:p>
        </w:tc>
      </w:tr>
      <w:tr w:rsidR="000D773D" w:rsidRPr="00EF16EB" w14:paraId="36290073" w14:textId="77777777" w:rsidTr="00B431D4">
        <w:tc>
          <w:tcPr>
            <w:tcW w:w="1435" w:type="dxa"/>
          </w:tcPr>
          <w:p w14:paraId="5438AECC" w14:textId="77777777" w:rsidR="000D773D" w:rsidRPr="00EF16EB" w:rsidRDefault="000D773D" w:rsidP="00CC7D3E">
            <w:pPr>
              <w:keepNext/>
              <w:spacing w:after="0" w:line="240" w:lineRule="auto"/>
              <w:rPr>
                <w:rFonts w:ascii="Arial Narrow" w:hAnsi="Arial Narrow"/>
                <w:sz w:val="20"/>
                <w:szCs w:val="20"/>
              </w:rPr>
            </w:pPr>
            <w:r w:rsidRPr="00EF16EB">
              <w:rPr>
                <w:rFonts w:ascii="Arial Narrow" w:hAnsi="Arial Narrow"/>
                <w:sz w:val="20"/>
                <w:szCs w:val="20"/>
              </w:rPr>
              <w:t>Eye</w:t>
            </w:r>
          </w:p>
        </w:tc>
        <w:tc>
          <w:tcPr>
            <w:tcW w:w="8136" w:type="dxa"/>
          </w:tcPr>
          <w:p w14:paraId="1D969D9B" w14:textId="77777777" w:rsidR="000D773D" w:rsidRPr="00EF16EB" w:rsidRDefault="000D773D" w:rsidP="00CC7D3E">
            <w:pPr>
              <w:pStyle w:val="ListParagraph"/>
              <w:keepNext/>
              <w:numPr>
                <w:ilvl w:val="0"/>
                <w:numId w:val="18"/>
              </w:numPr>
              <w:spacing w:after="0" w:line="240" w:lineRule="auto"/>
              <w:ind w:left="374" w:hanging="283"/>
              <w:rPr>
                <w:rFonts w:ascii="Arial Narrow" w:hAnsi="Arial Narrow"/>
                <w:sz w:val="20"/>
                <w:szCs w:val="20"/>
              </w:rPr>
            </w:pPr>
            <w:r w:rsidRPr="00EF16EB">
              <w:rPr>
                <w:rFonts w:ascii="Arial Narrow" w:hAnsi="Arial Narrow"/>
                <w:sz w:val="20"/>
                <w:szCs w:val="20"/>
              </w:rPr>
              <w:t>Perform a complete ophthalmologic evaluation, including dilated fundoscopy, to assess for retinal findings (astrocytic hamartoma and achromic patch) and visual field deficits.</w:t>
            </w:r>
          </w:p>
        </w:tc>
      </w:tr>
    </w:tbl>
    <w:p w14:paraId="37949E6D" w14:textId="77777777" w:rsidR="00DB0A10" w:rsidRPr="00EF16EB" w:rsidRDefault="000D773D" w:rsidP="00CC7D3E">
      <w:pPr>
        <w:keepNext/>
        <w:spacing w:after="0" w:line="240" w:lineRule="auto"/>
        <w:rPr>
          <w:rFonts w:ascii="Arial Narrow" w:hAnsi="Arial Narrow"/>
          <w:sz w:val="18"/>
          <w:szCs w:val="18"/>
        </w:rPr>
      </w:pPr>
      <w:r w:rsidRPr="00EF16EB">
        <w:rPr>
          <w:rFonts w:ascii="Arial Narrow" w:hAnsi="Arial Narrow"/>
          <w:sz w:val="18"/>
          <w:szCs w:val="18"/>
        </w:rPr>
        <w:t xml:space="preserve">Source: Table 3, p53 of Northrup 2021. </w:t>
      </w:r>
    </w:p>
    <w:p w14:paraId="5E031E02" w14:textId="670EA31E" w:rsidR="000D773D" w:rsidRPr="00EF16EB" w:rsidRDefault="000D773D" w:rsidP="00CC7D3E">
      <w:pPr>
        <w:keepNext/>
        <w:spacing w:after="360" w:line="240" w:lineRule="auto"/>
        <w:rPr>
          <w:rFonts w:ascii="Arial Narrow" w:hAnsi="Arial Narrow"/>
          <w:sz w:val="18"/>
          <w:szCs w:val="18"/>
        </w:rPr>
      </w:pPr>
      <w:r w:rsidRPr="00EF16EB">
        <w:rPr>
          <w:rFonts w:ascii="Arial Narrow" w:hAnsi="Arial Narrow"/>
          <w:sz w:val="18"/>
          <w:szCs w:val="18"/>
        </w:rPr>
        <w:t xml:space="preserve">6MWT </w:t>
      </w:r>
      <w:r w:rsidRPr="00EF16EB">
        <w:rPr>
          <w:rFonts w:ascii="Arial" w:hAnsi="Arial" w:cs="Arial"/>
          <w:sz w:val="18"/>
          <w:szCs w:val="18"/>
        </w:rPr>
        <w:t> </w:t>
      </w:r>
      <w:r w:rsidRPr="00EF16EB">
        <w:rPr>
          <w:rFonts w:ascii="Arial Narrow" w:hAnsi="Arial Narrow"/>
          <w:sz w:val="18"/>
          <w:szCs w:val="18"/>
        </w:rPr>
        <w:t>= 6-Minute walk test; CT =</w:t>
      </w:r>
      <w:r w:rsidRPr="00EF16EB">
        <w:rPr>
          <w:rFonts w:ascii="Arial" w:hAnsi="Arial" w:cs="Arial"/>
          <w:sz w:val="18"/>
          <w:szCs w:val="18"/>
        </w:rPr>
        <w:t> </w:t>
      </w:r>
      <w:r w:rsidRPr="00EF16EB">
        <w:rPr>
          <w:rFonts w:ascii="Arial Narrow" w:hAnsi="Arial Narrow"/>
          <w:sz w:val="18"/>
          <w:szCs w:val="18"/>
        </w:rPr>
        <w:t xml:space="preserve"> Computed tomography; EEG </w:t>
      </w:r>
      <w:r w:rsidRPr="00EF16EB">
        <w:rPr>
          <w:rFonts w:ascii="Arial" w:hAnsi="Arial" w:cs="Arial"/>
          <w:sz w:val="18"/>
          <w:szCs w:val="18"/>
        </w:rPr>
        <w:t> </w:t>
      </w:r>
      <w:r w:rsidRPr="00EF16EB">
        <w:rPr>
          <w:rFonts w:ascii="Arial Narrow" w:hAnsi="Arial Narrow"/>
          <w:sz w:val="18"/>
          <w:szCs w:val="18"/>
        </w:rPr>
        <w:t>= Electroencephalography; GFR =</w:t>
      </w:r>
      <w:r w:rsidRPr="00EF16EB">
        <w:rPr>
          <w:rFonts w:ascii="Arial" w:hAnsi="Arial" w:cs="Arial"/>
          <w:sz w:val="18"/>
          <w:szCs w:val="18"/>
        </w:rPr>
        <w:t> </w:t>
      </w:r>
      <w:r w:rsidRPr="00EF16EB">
        <w:rPr>
          <w:rFonts w:ascii="Arial Narrow" w:hAnsi="Arial Narrow"/>
          <w:sz w:val="18"/>
          <w:szCs w:val="18"/>
        </w:rPr>
        <w:t xml:space="preserve"> Glomerular filtration rate; LAM =</w:t>
      </w:r>
      <w:r w:rsidRPr="00EF16EB">
        <w:rPr>
          <w:rFonts w:ascii="Arial" w:hAnsi="Arial" w:cs="Arial"/>
          <w:sz w:val="18"/>
          <w:szCs w:val="18"/>
        </w:rPr>
        <w:t> </w:t>
      </w:r>
      <w:r w:rsidRPr="00EF16EB">
        <w:rPr>
          <w:rFonts w:ascii="Arial Narrow" w:hAnsi="Arial Narrow"/>
          <w:sz w:val="18"/>
          <w:szCs w:val="18"/>
        </w:rPr>
        <w:t xml:space="preserve"> </w:t>
      </w:r>
      <w:proofErr w:type="spellStart"/>
      <w:r w:rsidRPr="00EF16EB">
        <w:rPr>
          <w:rFonts w:ascii="Arial Narrow" w:hAnsi="Arial Narrow"/>
          <w:sz w:val="18"/>
          <w:szCs w:val="18"/>
        </w:rPr>
        <w:t>Lymphangiomyomatosis</w:t>
      </w:r>
      <w:proofErr w:type="spellEnd"/>
      <w:r w:rsidRPr="00EF16EB">
        <w:rPr>
          <w:rFonts w:ascii="Arial Narrow" w:hAnsi="Arial Narrow"/>
          <w:sz w:val="18"/>
          <w:szCs w:val="18"/>
        </w:rPr>
        <w:t xml:space="preserve">; MRI </w:t>
      </w:r>
      <w:r w:rsidRPr="00EF16EB">
        <w:rPr>
          <w:rFonts w:ascii="Arial" w:hAnsi="Arial" w:cs="Arial"/>
          <w:sz w:val="18"/>
          <w:szCs w:val="18"/>
        </w:rPr>
        <w:t> </w:t>
      </w:r>
      <w:r w:rsidRPr="00EF16EB">
        <w:rPr>
          <w:rFonts w:ascii="Arial Narrow" w:hAnsi="Arial Narrow"/>
          <w:sz w:val="18"/>
          <w:szCs w:val="18"/>
        </w:rPr>
        <w:t xml:space="preserve">= Magnetic resonance imaging; PFT </w:t>
      </w:r>
      <w:r w:rsidRPr="00EF16EB">
        <w:rPr>
          <w:rFonts w:ascii="Arial" w:hAnsi="Arial" w:cs="Arial"/>
          <w:sz w:val="18"/>
          <w:szCs w:val="18"/>
        </w:rPr>
        <w:t> </w:t>
      </w:r>
      <w:r w:rsidRPr="00EF16EB">
        <w:rPr>
          <w:rFonts w:ascii="Arial Narrow" w:hAnsi="Arial Narrow"/>
          <w:sz w:val="18"/>
          <w:szCs w:val="18"/>
        </w:rPr>
        <w:t xml:space="preserve">= Pulmonary function test; SEGA </w:t>
      </w:r>
      <w:r w:rsidRPr="00EF16EB">
        <w:rPr>
          <w:rFonts w:ascii="Arial" w:hAnsi="Arial" w:cs="Arial"/>
          <w:sz w:val="18"/>
          <w:szCs w:val="18"/>
        </w:rPr>
        <w:t> </w:t>
      </w:r>
      <w:r w:rsidRPr="00EF16EB">
        <w:rPr>
          <w:rFonts w:ascii="Arial Narrow" w:hAnsi="Arial Narrow"/>
          <w:sz w:val="18"/>
          <w:szCs w:val="18"/>
        </w:rPr>
        <w:t xml:space="preserve">= Subependymal gain cell astrocytoma; SEN </w:t>
      </w:r>
      <w:r w:rsidRPr="00EF16EB">
        <w:rPr>
          <w:rFonts w:ascii="Arial" w:hAnsi="Arial" w:cs="Arial"/>
          <w:sz w:val="18"/>
          <w:szCs w:val="18"/>
        </w:rPr>
        <w:t> </w:t>
      </w:r>
      <w:r w:rsidRPr="00EF16EB">
        <w:rPr>
          <w:rFonts w:ascii="Arial Narrow" w:hAnsi="Arial Narrow"/>
          <w:sz w:val="18"/>
          <w:szCs w:val="18"/>
        </w:rPr>
        <w:t>= Subependymal nodules; TAND =</w:t>
      </w:r>
      <w:r w:rsidRPr="00EF16EB">
        <w:rPr>
          <w:rFonts w:ascii="Arial" w:hAnsi="Arial" w:cs="Arial"/>
          <w:sz w:val="18"/>
          <w:szCs w:val="18"/>
        </w:rPr>
        <w:t> </w:t>
      </w:r>
      <w:r w:rsidRPr="00EF16EB">
        <w:rPr>
          <w:rFonts w:ascii="Arial Narrow" w:hAnsi="Arial Narrow"/>
          <w:sz w:val="18"/>
          <w:szCs w:val="18"/>
        </w:rPr>
        <w:t xml:space="preserve"> TSC-associated neuropsychiatric disorder; TSC =</w:t>
      </w:r>
      <w:r w:rsidRPr="00EF16EB">
        <w:rPr>
          <w:rFonts w:ascii="Arial" w:hAnsi="Arial" w:cs="Arial"/>
          <w:sz w:val="18"/>
          <w:szCs w:val="18"/>
        </w:rPr>
        <w:t> </w:t>
      </w:r>
      <w:r w:rsidRPr="00EF16EB">
        <w:rPr>
          <w:rFonts w:ascii="Arial Narrow" w:hAnsi="Arial Narrow"/>
          <w:sz w:val="18"/>
          <w:szCs w:val="18"/>
        </w:rPr>
        <w:t xml:space="preserve"> Tuberous sclerosis complex</w:t>
      </w:r>
    </w:p>
    <w:p w14:paraId="2F20A04A" w14:textId="77777777" w:rsidR="002676BC" w:rsidRDefault="002676BC">
      <w:pPr>
        <w:spacing w:after="160" w:line="259" w:lineRule="auto"/>
      </w:pPr>
      <w:r>
        <w:br w:type="page"/>
      </w:r>
    </w:p>
    <w:p w14:paraId="7399F908" w14:textId="7A0CB279" w:rsidR="004C3AFC" w:rsidRPr="005D2196" w:rsidRDefault="004C3AFC" w:rsidP="005D2196">
      <w:r w:rsidRPr="005D2196">
        <w:lastRenderedPageBreak/>
        <w:fldChar w:fldCharType="begin"/>
      </w:r>
      <w:r w:rsidRPr="005D2196">
        <w:instrText xml:space="preserve"> REF _Ref97629690 \h  \* MERGEFORMAT </w:instrText>
      </w:r>
      <w:r w:rsidRPr="005D2196">
        <w:fldChar w:fldCharType="separate"/>
      </w:r>
      <w:r w:rsidR="0069673F" w:rsidRPr="0069673F">
        <w:t>Table 6</w:t>
      </w:r>
      <w:r w:rsidRPr="005D2196">
        <w:fldChar w:fldCharType="end"/>
      </w:r>
      <w:r w:rsidRPr="005D2196">
        <w:t xml:space="preserve"> presents the international kidney-related surveillance and management recommendations for patients already diagnosed with definite or possible TSC.</w:t>
      </w:r>
    </w:p>
    <w:p w14:paraId="74F38A95" w14:textId="26D8504E" w:rsidR="004C3AFC" w:rsidRPr="00135F3D" w:rsidRDefault="004C3AFC" w:rsidP="00CC7D3E">
      <w:pPr>
        <w:keepNext/>
        <w:autoSpaceDE w:val="0"/>
        <w:autoSpaceDN w:val="0"/>
        <w:adjustRightInd w:val="0"/>
        <w:spacing w:after="40" w:line="259" w:lineRule="auto"/>
        <w:rPr>
          <w:rFonts w:ascii="Arial Narrow" w:eastAsia="Times New Roman" w:hAnsi="Arial Narrow"/>
          <w:b/>
          <w:bCs/>
          <w:iCs w:val="0"/>
          <w:color w:val="000000" w:themeColor="text1"/>
          <w:sz w:val="20"/>
          <w:szCs w:val="20"/>
        </w:rPr>
      </w:pPr>
      <w:bookmarkStart w:id="8" w:name="_Ref97629690"/>
      <w:r w:rsidRPr="00135F3D">
        <w:rPr>
          <w:rFonts w:ascii="Arial Narrow" w:eastAsia="Times New Roman" w:hAnsi="Arial Narrow"/>
          <w:b/>
          <w:bCs/>
          <w:iCs w:val="0"/>
          <w:color w:val="000000" w:themeColor="text1"/>
          <w:sz w:val="20"/>
          <w:szCs w:val="20"/>
        </w:rPr>
        <w:t>Table </w:t>
      </w:r>
      <w:r w:rsidRPr="00135F3D">
        <w:rPr>
          <w:rFonts w:ascii="Arial Narrow" w:eastAsia="Times New Roman" w:hAnsi="Arial Narrow"/>
          <w:b/>
          <w:bCs/>
          <w:iCs w:val="0"/>
          <w:color w:val="000000" w:themeColor="text1"/>
          <w:sz w:val="20"/>
          <w:szCs w:val="20"/>
        </w:rPr>
        <w:fldChar w:fldCharType="begin"/>
      </w:r>
      <w:r w:rsidRPr="00135F3D">
        <w:rPr>
          <w:rFonts w:ascii="Arial Narrow" w:eastAsia="Times New Roman" w:hAnsi="Arial Narrow"/>
          <w:b/>
          <w:bCs/>
          <w:iCs w:val="0"/>
          <w:color w:val="000000" w:themeColor="text1"/>
          <w:sz w:val="20"/>
          <w:szCs w:val="20"/>
        </w:rPr>
        <w:instrText xml:space="preserve"> SEQ Table \* ARABIC </w:instrText>
      </w:r>
      <w:r w:rsidRPr="00135F3D">
        <w:rPr>
          <w:rFonts w:ascii="Arial Narrow" w:eastAsia="Times New Roman" w:hAnsi="Arial Narrow"/>
          <w:b/>
          <w:bCs/>
          <w:iCs w:val="0"/>
          <w:color w:val="000000" w:themeColor="text1"/>
          <w:sz w:val="20"/>
          <w:szCs w:val="20"/>
        </w:rPr>
        <w:fldChar w:fldCharType="separate"/>
      </w:r>
      <w:r w:rsidR="0069673F">
        <w:rPr>
          <w:rFonts w:ascii="Arial Narrow" w:eastAsia="Times New Roman" w:hAnsi="Arial Narrow"/>
          <w:b/>
          <w:bCs/>
          <w:iCs w:val="0"/>
          <w:noProof/>
          <w:color w:val="000000" w:themeColor="text1"/>
          <w:sz w:val="20"/>
          <w:szCs w:val="20"/>
        </w:rPr>
        <w:t>6</w:t>
      </w:r>
      <w:r w:rsidRPr="00135F3D">
        <w:rPr>
          <w:rFonts w:ascii="Arial Narrow" w:eastAsia="Times New Roman" w:hAnsi="Arial Narrow"/>
          <w:b/>
          <w:bCs/>
          <w:iCs w:val="0"/>
          <w:color w:val="000000" w:themeColor="text1"/>
          <w:sz w:val="20"/>
          <w:szCs w:val="20"/>
        </w:rPr>
        <w:fldChar w:fldCharType="end"/>
      </w:r>
      <w:bookmarkEnd w:id="8"/>
      <w:r w:rsidR="002E6C8D" w:rsidRPr="00135F3D">
        <w:rPr>
          <w:rFonts w:ascii="Arial Narrow" w:eastAsia="Times New Roman" w:hAnsi="Arial Narrow"/>
          <w:b/>
          <w:bCs/>
          <w:iCs w:val="0"/>
          <w:color w:val="000000" w:themeColor="text1"/>
          <w:sz w:val="20"/>
          <w:szCs w:val="20"/>
        </w:rPr>
        <w:tab/>
      </w:r>
      <w:r w:rsidRPr="00135F3D">
        <w:rPr>
          <w:rFonts w:ascii="Arial Narrow" w:eastAsia="Times New Roman" w:hAnsi="Arial Narrow"/>
          <w:b/>
          <w:bCs/>
          <w:iCs w:val="0"/>
          <w:color w:val="000000" w:themeColor="text1"/>
          <w:sz w:val="20"/>
          <w:szCs w:val="20"/>
        </w:rPr>
        <w:t xml:space="preserve">International Surveillance and Management Recommendations for Patients Already Diagnosed </w:t>
      </w:r>
      <w:r w:rsidR="00EC0A06" w:rsidRPr="00135F3D">
        <w:rPr>
          <w:rFonts w:ascii="Arial Narrow" w:eastAsia="Times New Roman" w:hAnsi="Arial Narrow"/>
          <w:b/>
          <w:bCs/>
          <w:iCs w:val="0"/>
          <w:color w:val="000000" w:themeColor="text1"/>
          <w:sz w:val="20"/>
          <w:szCs w:val="20"/>
        </w:rPr>
        <w:t>with</w:t>
      </w:r>
      <w:r w:rsidRPr="00135F3D">
        <w:rPr>
          <w:rFonts w:ascii="Arial Narrow" w:eastAsia="Times New Roman" w:hAnsi="Arial Narrow"/>
          <w:b/>
          <w:bCs/>
          <w:iCs w:val="0"/>
          <w:color w:val="000000" w:themeColor="text1"/>
          <w:sz w:val="20"/>
          <w:szCs w:val="20"/>
        </w:rPr>
        <w:t xml:space="preserve"> Definite or Possible TSC</w:t>
      </w:r>
    </w:p>
    <w:tbl>
      <w:tblPr>
        <w:tblStyle w:val="TableGrid"/>
        <w:tblW w:w="0" w:type="auto"/>
        <w:tblInd w:w="0" w:type="dxa"/>
        <w:tblCellMar>
          <w:left w:w="28" w:type="dxa"/>
          <w:right w:w="28" w:type="dxa"/>
        </w:tblCellMar>
        <w:tblLook w:val="04A0" w:firstRow="1" w:lastRow="0" w:firstColumn="1" w:lastColumn="0" w:noHBand="0" w:noVBand="1"/>
      </w:tblPr>
      <w:tblGrid>
        <w:gridCol w:w="1384"/>
        <w:gridCol w:w="8187"/>
      </w:tblGrid>
      <w:tr w:rsidR="004C3AFC" w:rsidRPr="00135F3D" w14:paraId="342F3E05" w14:textId="77777777" w:rsidTr="00921A3A">
        <w:tc>
          <w:tcPr>
            <w:tcW w:w="1384" w:type="dxa"/>
          </w:tcPr>
          <w:p w14:paraId="3E187EE0" w14:textId="77777777" w:rsidR="004C3AFC" w:rsidRPr="00135F3D" w:rsidRDefault="004C3AFC" w:rsidP="00CC7D3E">
            <w:pPr>
              <w:keepNext/>
              <w:spacing w:after="0" w:line="240" w:lineRule="auto"/>
              <w:jc w:val="center"/>
              <w:rPr>
                <w:rFonts w:ascii="Arial Narrow" w:hAnsi="Arial Narrow"/>
                <w:b/>
                <w:bCs/>
                <w:sz w:val="20"/>
                <w:szCs w:val="20"/>
                <w:vertAlign w:val="superscript"/>
              </w:rPr>
            </w:pPr>
            <w:r w:rsidRPr="00135F3D">
              <w:rPr>
                <w:rFonts w:ascii="Arial Narrow" w:hAnsi="Arial Narrow"/>
                <w:b/>
                <w:bCs/>
                <w:sz w:val="20"/>
                <w:szCs w:val="20"/>
              </w:rPr>
              <w:t>Organ system</w:t>
            </w:r>
            <w:r w:rsidRPr="00135F3D">
              <w:rPr>
                <w:rFonts w:ascii="Arial Narrow" w:hAnsi="Arial Narrow"/>
                <w:b/>
                <w:bCs/>
                <w:sz w:val="20"/>
                <w:szCs w:val="20"/>
                <w:vertAlign w:val="superscript"/>
              </w:rPr>
              <w:t>a</w:t>
            </w:r>
          </w:p>
        </w:tc>
        <w:tc>
          <w:tcPr>
            <w:tcW w:w="8187" w:type="dxa"/>
          </w:tcPr>
          <w:p w14:paraId="4CC81DE2" w14:textId="77777777" w:rsidR="004C3AFC" w:rsidRPr="00135F3D" w:rsidRDefault="004C3AFC" w:rsidP="00CC7D3E">
            <w:pPr>
              <w:keepNext/>
              <w:spacing w:after="0" w:line="240" w:lineRule="auto"/>
              <w:jc w:val="center"/>
              <w:rPr>
                <w:rFonts w:ascii="Arial Narrow" w:hAnsi="Arial Narrow"/>
                <w:b/>
                <w:bCs/>
                <w:sz w:val="20"/>
                <w:szCs w:val="20"/>
              </w:rPr>
            </w:pPr>
            <w:r w:rsidRPr="00135F3D">
              <w:rPr>
                <w:rFonts w:ascii="Arial Narrow" w:hAnsi="Arial Narrow"/>
                <w:b/>
                <w:bCs/>
                <w:sz w:val="20"/>
                <w:szCs w:val="20"/>
              </w:rPr>
              <w:t>Recommendations</w:t>
            </w:r>
          </w:p>
        </w:tc>
      </w:tr>
      <w:tr w:rsidR="004C3AFC" w:rsidRPr="00135F3D" w14:paraId="323FE9C2" w14:textId="77777777" w:rsidTr="00921A3A">
        <w:tc>
          <w:tcPr>
            <w:tcW w:w="1384" w:type="dxa"/>
          </w:tcPr>
          <w:p w14:paraId="136B1445" w14:textId="77777777" w:rsidR="004C3AFC" w:rsidRPr="00EF16EB" w:rsidRDefault="004C3AFC" w:rsidP="00CC7D3E">
            <w:pPr>
              <w:keepNext/>
              <w:spacing w:after="0" w:line="240" w:lineRule="auto"/>
              <w:rPr>
                <w:rFonts w:ascii="Arial Narrow" w:hAnsi="Arial Narrow"/>
                <w:sz w:val="20"/>
                <w:szCs w:val="20"/>
              </w:rPr>
            </w:pPr>
            <w:r w:rsidRPr="00EF16EB">
              <w:rPr>
                <w:rFonts w:ascii="Arial Narrow" w:hAnsi="Arial Narrow"/>
                <w:sz w:val="20"/>
                <w:szCs w:val="20"/>
              </w:rPr>
              <w:t>Kidney</w:t>
            </w:r>
          </w:p>
        </w:tc>
        <w:tc>
          <w:tcPr>
            <w:tcW w:w="8187" w:type="dxa"/>
          </w:tcPr>
          <w:p w14:paraId="0DF5555D" w14:textId="77777777" w:rsidR="004C3AFC" w:rsidRPr="00EF16EB" w:rsidRDefault="004C3AFC" w:rsidP="00CC7D3E">
            <w:pPr>
              <w:pStyle w:val="ListParagraph"/>
              <w:keepNext/>
              <w:numPr>
                <w:ilvl w:val="0"/>
                <w:numId w:val="18"/>
              </w:numPr>
              <w:spacing w:after="0" w:line="240" w:lineRule="auto"/>
              <w:ind w:left="434" w:hanging="283"/>
              <w:rPr>
                <w:rFonts w:ascii="Arial Narrow" w:hAnsi="Arial Narrow"/>
                <w:sz w:val="20"/>
                <w:szCs w:val="20"/>
              </w:rPr>
            </w:pPr>
            <w:r w:rsidRPr="00EF16EB">
              <w:rPr>
                <w:rFonts w:ascii="Arial Narrow" w:hAnsi="Arial Narrow"/>
                <w:sz w:val="20"/>
                <w:szCs w:val="20"/>
              </w:rPr>
              <w:t>Obtain MRI of the abdomen to assess for the progression of angiomyolipoma and renal cystic disease every 1-3 years throughout the lifetime of the patient.</w:t>
            </w:r>
          </w:p>
          <w:p w14:paraId="17D89067" w14:textId="77777777" w:rsidR="004C3AFC" w:rsidRPr="00EF16EB" w:rsidRDefault="004C3AFC" w:rsidP="00CC7D3E">
            <w:pPr>
              <w:pStyle w:val="ListParagraph"/>
              <w:keepNext/>
              <w:numPr>
                <w:ilvl w:val="0"/>
                <w:numId w:val="18"/>
              </w:numPr>
              <w:spacing w:after="0" w:line="240" w:lineRule="auto"/>
              <w:ind w:left="434" w:hanging="283"/>
              <w:rPr>
                <w:rFonts w:ascii="Arial Narrow" w:hAnsi="Arial Narrow"/>
                <w:sz w:val="20"/>
                <w:szCs w:val="20"/>
              </w:rPr>
            </w:pPr>
            <w:r w:rsidRPr="00EF16EB">
              <w:rPr>
                <w:rFonts w:ascii="Arial Narrow" w:hAnsi="Arial Narrow"/>
                <w:sz w:val="20"/>
                <w:szCs w:val="20"/>
              </w:rPr>
              <w:t>Assess renal function including determination of glomerular filtration rate, proteinuria, and blood pressure at least annually.</w:t>
            </w:r>
          </w:p>
          <w:p w14:paraId="6A287B0F" w14:textId="415EF0E5" w:rsidR="004C3AFC" w:rsidRPr="00EF16EB" w:rsidRDefault="004C3AFC" w:rsidP="00CC7D3E">
            <w:pPr>
              <w:pStyle w:val="ListParagraph"/>
              <w:keepNext/>
              <w:numPr>
                <w:ilvl w:val="0"/>
                <w:numId w:val="18"/>
              </w:numPr>
              <w:spacing w:after="0" w:line="240" w:lineRule="auto"/>
              <w:ind w:left="434" w:hanging="283"/>
              <w:rPr>
                <w:rFonts w:ascii="Arial Narrow" w:hAnsi="Arial Narrow"/>
                <w:sz w:val="20"/>
                <w:szCs w:val="20"/>
              </w:rPr>
            </w:pPr>
            <w:proofErr w:type="spellStart"/>
            <w:r w:rsidRPr="00EF16EB">
              <w:rPr>
                <w:rFonts w:ascii="Arial Narrow" w:hAnsi="Arial Narrow"/>
                <w:sz w:val="20"/>
                <w:szCs w:val="20"/>
              </w:rPr>
              <w:t>Embolisation</w:t>
            </w:r>
            <w:proofErr w:type="spellEnd"/>
            <w:r w:rsidRPr="00EF16EB">
              <w:rPr>
                <w:rFonts w:ascii="Arial Narrow" w:hAnsi="Arial Narrow"/>
                <w:sz w:val="20"/>
                <w:szCs w:val="20"/>
              </w:rPr>
              <w:t xml:space="preserve"> followed by corticosteroids is the first-line therapy for angiomyolipoma presenting with acute </w:t>
            </w:r>
            <w:r w:rsidR="00E82916" w:rsidRPr="00EF16EB">
              <w:rPr>
                <w:rFonts w:ascii="Arial Narrow" w:hAnsi="Arial Narrow"/>
                <w:sz w:val="20"/>
                <w:szCs w:val="20"/>
              </w:rPr>
              <w:t>haemorrhage</w:t>
            </w:r>
            <w:r w:rsidRPr="00EF16EB">
              <w:rPr>
                <w:rFonts w:ascii="Arial Narrow" w:hAnsi="Arial Narrow"/>
                <w:sz w:val="20"/>
                <w:szCs w:val="20"/>
              </w:rPr>
              <w:t>.</w:t>
            </w:r>
          </w:p>
          <w:p w14:paraId="2E05DEC5" w14:textId="77777777" w:rsidR="004C3AFC" w:rsidRPr="00EF16EB" w:rsidRDefault="004C3AFC" w:rsidP="00CC7D3E">
            <w:pPr>
              <w:pStyle w:val="ListParagraph"/>
              <w:keepNext/>
              <w:numPr>
                <w:ilvl w:val="0"/>
                <w:numId w:val="18"/>
              </w:numPr>
              <w:spacing w:after="0" w:line="240" w:lineRule="auto"/>
              <w:ind w:left="434" w:hanging="283"/>
              <w:rPr>
                <w:rFonts w:ascii="Arial Narrow" w:hAnsi="Arial Narrow"/>
                <w:sz w:val="20"/>
                <w:szCs w:val="20"/>
              </w:rPr>
            </w:pPr>
            <w:r w:rsidRPr="00EF16EB">
              <w:rPr>
                <w:rFonts w:ascii="Arial Narrow" w:hAnsi="Arial Narrow"/>
                <w:sz w:val="20"/>
                <w:szCs w:val="20"/>
              </w:rPr>
              <w:t xml:space="preserve">Nephrectomy is to be avoided. For asymptomatic, growing angiomyolipoma measuring larger than 3 cm in diameter, treatment with an mTOR is the recommended first-line therapy. Selective </w:t>
            </w:r>
            <w:proofErr w:type="spellStart"/>
            <w:r w:rsidRPr="00EF16EB">
              <w:rPr>
                <w:rFonts w:ascii="Arial Narrow" w:hAnsi="Arial Narrow"/>
                <w:sz w:val="20"/>
                <w:szCs w:val="20"/>
              </w:rPr>
              <w:t>embolisation</w:t>
            </w:r>
            <w:proofErr w:type="spellEnd"/>
            <w:r w:rsidRPr="00EF16EB">
              <w:rPr>
                <w:rFonts w:ascii="Arial Narrow" w:hAnsi="Arial Narrow"/>
                <w:sz w:val="20"/>
                <w:szCs w:val="20"/>
              </w:rPr>
              <w:t xml:space="preserve"> or kidney-sparing resection are acceptable second-line treatments for asymptomatic angiomyolipoma.</w:t>
            </w:r>
          </w:p>
        </w:tc>
      </w:tr>
    </w:tbl>
    <w:p w14:paraId="49300953" w14:textId="77777777" w:rsidR="006F14DE" w:rsidRPr="00CC7D3E" w:rsidRDefault="004C3AFC" w:rsidP="00CC7D3E">
      <w:pPr>
        <w:keepNext/>
        <w:spacing w:after="0" w:line="240" w:lineRule="auto"/>
        <w:rPr>
          <w:rFonts w:ascii="Arial Narrow" w:hAnsi="Arial Narrow"/>
          <w:sz w:val="18"/>
        </w:rPr>
      </w:pPr>
      <w:r w:rsidRPr="00CC7D3E">
        <w:rPr>
          <w:rFonts w:ascii="Arial Narrow" w:hAnsi="Arial Narrow"/>
          <w:sz w:val="18"/>
        </w:rPr>
        <w:t xml:space="preserve">Source: Table 4, p56 of Northrup (2021). </w:t>
      </w:r>
    </w:p>
    <w:p w14:paraId="58F7882C" w14:textId="7F6B5920" w:rsidR="004C3AFC" w:rsidRPr="00CC7D3E" w:rsidRDefault="00B33C65" w:rsidP="00CC7D3E">
      <w:pPr>
        <w:keepNext/>
        <w:spacing w:after="0" w:line="240" w:lineRule="auto"/>
        <w:rPr>
          <w:rFonts w:ascii="Arial Narrow" w:hAnsi="Arial Narrow"/>
          <w:sz w:val="18"/>
        </w:rPr>
      </w:pPr>
      <w:r w:rsidRPr="00CC7D3E">
        <w:rPr>
          <w:rFonts w:ascii="Arial Narrow" w:hAnsi="Arial Narrow"/>
          <w:sz w:val="18"/>
        </w:rPr>
        <w:t xml:space="preserve">cm = centimetre; </w:t>
      </w:r>
      <w:r w:rsidR="006F14DE" w:rsidRPr="00CC7D3E">
        <w:rPr>
          <w:rFonts w:ascii="Arial Narrow" w:hAnsi="Arial Narrow"/>
          <w:sz w:val="18"/>
        </w:rPr>
        <w:t xml:space="preserve">MRI = magnetic resonance imaging; mTOR = mechanistic target of rapamycin; </w:t>
      </w:r>
      <w:r w:rsidR="004C3AFC" w:rsidRPr="00CC7D3E">
        <w:rPr>
          <w:rFonts w:ascii="Arial Narrow" w:hAnsi="Arial Narrow"/>
          <w:sz w:val="18"/>
        </w:rPr>
        <w:t>TSC = Tuberous sclerosis complex</w:t>
      </w:r>
    </w:p>
    <w:p w14:paraId="6CB15B98" w14:textId="53B2BDB9" w:rsidR="004C3AFC" w:rsidRPr="00CC7D3E" w:rsidRDefault="004C3AFC" w:rsidP="00CC7D3E">
      <w:pPr>
        <w:keepNext/>
        <w:tabs>
          <w:tab w:val="left" w:pos="284"/>
        </w:tabs>
        <w:ind w:left="284" w:hanging="284"/>
        <w:rPr>
          <w:rFonts w:ascii="Arial Narrow" w:hAnsi="Arial Narrow"/>
          <w:sz w:val="18"/>
        </w:rPr>
      </w:pPr>
      <w:r w:rsidRPr="00CC7D3E">
        <w:rPr>
          <w:rFonts w:ascii="Arial Narrow" w:hAnsi="Arial Narrow"/>
          <w:sz w:val="18"/>
          <w:vertAlign w:val="superscript"/>
        </w:rPr>
        <w:t>a</w:t>
      </w:r>
      <w:r w:rsidR="002D4E6A" w:rsidRPr="00CC7D3E">
        <w:rPr>
          <w:rFonts w:ascii="Arial Narrow" w:hAnsi="Arial Narrow"/>
          <w:sz w:val="18"/>
          <w:vertAlign w:val="superscript"/>
        </w:rPr>
        <w:tab/>
      </w:r>
      <w:r w:rsidRPr="00CC7D3E">
        <w:rPr>
          <w:rFonts w:ascii="Arial Narrow" w:hAnsi="Arial Narrow"/>
          <w:sz w:val="18"/>
        </w:rPr>
        <w:t xml:space="preserve">Northrup (2021) included recommendations across several organ systems. For concision, only the kidney-related recommendations are presented. </w:t>
      </w:r>
    </w:p>
    <w:p w14:paraId="0786E11F" w14:textId="0FE691B1" w:rsidR="00E66F27" w:rsidRPr="005D2196" w:rsidRDefault="00E66F27" w:rsidP="005D2196">
      <w:r w:rsidRPr="005D2196">
        <w:t xml:space="preserve">Northrup </w:t>
      </w:r>
      <w:r w:rsidR="00310AE5" w:rsidRPr="005D2196">
        <w:t>(</w:t>
      </w:r>
      <w:r w:rsidRPr="005D2196">
        <w:t>2021) indicate</w:t>
      </w:r>
      <w:r w:rsidR="00310AE5" w:rsidRPr="005D2196">
        <w:t>s</w:t>
      </w:r>
      <w:r w:rsidRPr="005D2196">
        <w:t xml:space="preserve"> that for patients </w:t>
      </w:r>
      <w:r w:rsidR="003965DE" w:rsidRPr="005D2196">
        <w:t xml:space="preserve">presenting with AML with acute </w:t>
      </w:r>
      <w:r w:rsidR="00E82916" w:rsidRPr="005D2196">
        <w:t>haemorrhage</w:t>
      </w:r>
      <w:r w:rsidR="003965DE" w:rsidRPr="005D2196">
        <w:t xml:space="preserve">, </w:t>
      </w:r>
      <w:proofErr w:type="spellStart"/>
      <w:r w:rsidR="003965DE" w:rsidRPr="005D2196">
        <w:t>embolisation</w:t>
      </w:r>
      <w:proofErr w:type="spellEnd"/>
      <w:r w:rsidR="003965DE" w:rsidRPr="005D2196">
        <w:t xml:space="preserve"> followed by corticosteroids is the first line therapy, and notes that nephrectomy is to be avoided.</w:t>
      </w:r>
    </w:p>
    <w:p w14:paraId="499F0A76" w14:textId="3DC23069" w:rsidR="001E3828" w:rsidRPr="005D2196" w:rsidRDefault="003965DE" w:rsidP="005D2196">
      <w:r w:rsidRPr="005D2196">
        <w:t>Northrup (2021) also notes that for asymptomatic, growing AML measuring larger than 3</w:t>
      </w:r>
      <w:r w:rsidR="00B33C65" w:rsidRPr="005D2196">
        <w:t xml:space="preserve"> centimetres (</w:t>
      </w:r>
      <w:r w:rsidRPr="005D2196">
        <w:t>cm</w:t>
      </w:r>
      <w:r w:rsidR="00B33C65" w:rsidRPr="005D2196">
        <w:t>)</w:t>
      </w:r>
      <w:r w:rsidRPr="005D2196">
        <w:t xml:space="preserve"> in diameter, treatment with </w:t>
      </w:r>
      <w:r w:rsidR="00921A3A" w:rsidRPr="005D2196">
        <w:t>a mammalian target of rapamycin inhibitor (</w:t>
      </w:r>
      <w:proofErr w:type="spellStart"/>
      <w:r w:rsidR="00921A3A" w:rsidRPr="005D2196">
        <w:t>mTORi</w:t>
      </w:r>
      <w:proofErr w:type="spellEnd"/>
      <w:r w:rsidR="00921A3A" w:rsidRPr="005D2196">
        <w:t xml:space="preserve">; </w:t>
      </w:r>
      <w:r w:rsidR="000A7C30" w:rsidRPr="005D2196">
        <w:t>e.g.</w:t>
      </w:r>
      <w:r w:rsidR="00921A3A" w:rsidRPr="005D2196">
        <w:t>,</w:t>
      </w:r>
      <w:r w:rsidRPr="005D2196">
        <w:t xml:space="preserve"> </w:t>
      </w:r>
      <w:proofErr w:type="spellStart"/>
      <w:r w:rsidRPr="005D2196">
        <w:t>everolimus</w:t>
      </w:r>
      <w:proofErr w:type="spellEnd"/>
      <w:r w:rsidRPr="005D2196">
        <w:t xml:space="preserve"> or s</w:t>
      </w:r>
      <w:r w:rsidR="00E82916" w:rsidRPr="005D2196">
        <w:t>iro</w:t>
      </w:r>
      <w:r w:rsidRPr="005D2196">
        <w:t xml:space="preserve">limus) is the recommended first-line therapy, and that selective </w:t>
      </w:r>
      <w:proofErr w:type="spellStart"/>
      <w:r w:rsidRPr="005D2196">
        <w:t>emboli</w:t>
      </w:r>
      <w:r w:rsidR="002D4E6A" w:rsidRPr="005D2196">
        <w:t>s</w:t>
      </w:r>
      <w:r w:rsidRPr="005D2196">
        <w:t>ation</w:t>
      </w:r>
      <w:proofErr w:type="spellEnd"/>
      <w:r w:rsidRPr="005D2196">
        <w:t xml:space="preserve"> or kidney</w:t>
      </w:r>
      <w:r w:rsidR="000A7C30">
        <w:t>-</w:t>
      </w:r>
      <w:r w:rsidRPr="005D2196">
        <w:t>sparing resection are acceptable second</w:t>
      </w:r>
      <w:r w:rsidR="00497025" w:rsidRPr="005D2196">
        <w:t>-</w:t>
      </w:r>
      <w:r w:rsidRPr="005D2196">
        <w:t>line treatme</w:t>
      </w:r>
      <w:r w:rsidR="001E3828" w:rsidRPr="005D2196">
        <w:t>nt</w:t>
      </w:r>
      <w:r w:rsidRPr="005D2196">
        <w:t xml:space="preserve">s for asymptomatic angiomyolipoma. </w:t>
      </w:r>
    </w:p>
    <w:p w14:paraId="03A4D378" w14:textId="432FAED1" w:rsidR="00371D6F" w:rsidRPr="005D2196" w:rsidRDefault="003965DE" w:rsidP="005D2196">
      <w:r w:rsidRPr="005D2196">
        <w:t xml:space="preserve">It should be noted that the PBS criteria for reimbursement of </w:t>
      </w:r>
      <w:proofErr w:type="spellStart"/>
      <w:r w:rsidRPr="005D2196">
        <w:t>everolimus</w:t>
      </w:r>
      <w:proofErr w:type="spellEnd"/>
      <w:r w:rsidRPr="005D2196">
        <w:t xml:space="preserve"> </w:t>
      </w:r>
      <w:r w:rsidR="00371D6F" w:rsidRPr="005D2196">
        <w:t xml:space="preserve">in TSC patients (Items 2818H and 11258M) states that </w:t>
      </w:r>
      <w:r w:rsidR="00921A3A" w:rsidRPr="005D2196">
        <w:t xml:space="preserve">a </w:t>
      </w:r>
      <w:r w:rsidR="00371D6F" w:rsidRPr="005D2196">
        <w:t>‘patient must not be a candidate for curative surgical resection.’ This does not strictly align with the international guidelines (Northrup 2021). However, the applicant</w:t>
      </w:r>
      <w:r w:rsidR="001E3828" w:rsidRPr="005D2196">
        <w:t xml:space="preserve"> noted in further discussion that </w:t>
      </w:r>
      <w:r w:rsidR="00EC0A06" w:rsidRPr="005D2196">
        <w:t>these criteria</w:t>
      </w:r>
      <w:r w:rsidR="001E3828" w:rsidRPr="005D2196">
        <w:t xml:space="preserve"> may be interpreted in a way as to not preclude first</w:t>
      </w:r>
      <w:r w:rsidR="008D0747" w:rsidRPr="005D2196">
        <w:t>-</w:t>
      </w:r>
      <w:r w:rsidR="001E3828" w:rsidRPr="005D2196">
        <w:t xml:space="preserve">line treatment with </w:t>
      </w:r>
      <w:proofErr w:type="spellStart"/>
      <w:r w:rsidR="001E3828" w:rsidRPr="005D2196">
        <w:t>mTORi</w:t>
      </w:r>
      <w:proofErr w:type="spellEnd"/>
      <w:r w:rsidR="00921A3A" w:rsidRPr="005D2196">
        <w:t>.</w:t>
      </w:r>
    </w:p>
    <w:p w14:paraId="0E844053" w14:textId="77C28897" w:rsidR="003965DE" w:rsidRPr="005D2196" w:rsidRDefault="001E3828" w:rsidP="005D2196">
      <w:r w:rsidRPr="005D2196">
        <w:t>Though a greater than 3</w:t>
      </w:r>
      <w:r w:rsidR="00497025" w:rsidRPr="005D2196">
        <w:t xml:space="preserve"> </w:t>
      </w:r>
      <w:r w:rsidRPr="005D2196">
        <w:t xml:space="preserve">cm AML diameter is typically described in the literature (Northrup 2021, Restrepo 2022, Gaur 2017, Amin 2018) as a guideline to indicate treatment rather </w:t>
      </w:r>
      <w:r w:rsidR="00E82916" w:rsidRPr="005D2196">
        <w:t>than</w:t>
      </w:r>
      <w:r w:rsidRPr="005D2196">
        <w:t xml:space="preserve"> continued surveillance, in fur</w:t>
      </w:r>
      <w:r w:rsidR="003965DE" w:rsidRPr="005D2196">
        <w:t xml:space="preserve">ther discussion with the applicant, the applicant considered that treatment options for AML in TSC patients </w:t>
      </w:r>
      <w:r w:rsidRPr="005D2196">
        <w:t>in practice are</w:t>
      </w:r>
      <w:r w:rsidR="003965DE" w:rsidRPr="005D2196">
        <w:t xml:space="preserve"> assessed on a case by case basis, with factors including: prior intervention, tumour size, tumour growth, other tumour characteristics, renal function, comorbidities and patient overall health. </w:t>
      </w:r>
    </w:p>
    <w:p w14:paraId="63A88E63" w14:textId="5DC80CBA" w:rsidR="00C50B74" w:rsidRPr="00DA79F1" w:rsidRDefault="00CB22FB" w:rsidP="00135F3D">
      <w:pPr>
        <w:pStyle w:val="Heading5"/>
      </w:pPr>
      <w:r w:rsidRPr="00DA79F1">
        <w:t>Von Hippel-</w:t>
      </w:r>
      <w:r w:rsidR="000A7C30">
        <w:t>Lindau</w:t>
      </w:r>
      <w:r w:rsidRPr="00DA79F1">
        <w:t xml:space="preserve"> disease</w:t>
      </w:r>
    </w:p>
    <w:p w14:paraId="68671503" w14:textId="5E9D1A94" w:rsidR="00C71549" w:rsidRPr="005D2196" w:rsidRDefault="00C71549" w:rsidP="005D2196">
      <w:r w:rsidRPr="005D2196">
        <w:t>Von Hippel-</w:t>
      </w:r>
      <w:r w:rsidR="000A7C30">
        <w:t>Lindau</w:t>
      </w:r>
      <w:r w:rsidRPr="005D2196">
        <w:t xml:space="preserve"> disease (VHL) </w:t>
      </w:r>
      <w:r w:rsidR="004C204F" w:rsidRPr="005D2196">
        <w:t xml:space="preserve">is caused by germline mutations of the </w:t>
      </w:r>
      <w:r w:rsidR="00CC5C4A" w:rsidRPr="005D2196">
        <w:t>tumour</w:t>
      </w:r>
      <w:r w:rsidR="004C204F" w:rsidRPr="005D2196">
        <w:t xml:space="preserve"> suppressor gene </w:t>
      </w:r>
      <w:r w:rsidR="004C204F" w:rsidRPr="00CC7D3E">
        <w:rPr>
          <w:i/>
        </w:rPr>
        <w:t>VHL</w:t>
      </w:r>
      <w:r w:rsidR="004C204F" w:rsidRPr="005D2196">
        <w:t xml:space="preserve">, located on the short arm of chromosome 3. While the majority of the affected individuals have a positive family history, up to 20% of cases arise from </w:t>
      </w:r>
      <w:r w:rsidR="004C204F" w:rsidRPr="005D2196">
        <w:rPr>
          <w:i/>
        </w:rPr>
        <w:t>de novo</w:t>
      </w:r>
      <w:r w:rsidR="004C204F" w:rsidRPr="005D2196">
        <w:t xml:space="preserve"> mutations (Varshney 2017). </w:t>
      </w:r>
      <w:r w:rsidRPr="005D2196">
        <w:t>It has an approximate incidence of 1 in 36000 live births (Maher 1991).</w:t>
      </w:r>
    </w:p>
    <w:p w14:paraId="5EABCF2B" w14:textId="7A4B0CDD" w:rsidR="00150B5F" w:rsidRPr="005D2196" w:rsidRDefault="00C71549" w:rsidP="005D2196">
      <w:r w:rsidRPr="005D2196">
        <w:t>VHL</w:t>
      </w:r>
      <w:r w:rsidR="00CB22FB" w:rsidRPr="005D2196">
        <w:t xml:space="preserve"> is characteri</w:t>
      </w:r>
      <w:r w:rsidR="00161997" w:rsidRPr="005D2196">
        <w:t>s</w:t>
      </w:r>
      <w:r w:rsidR="00CB22FB" w:rsidRPr="005D2196">
        <w:t>ed by the abnormal growth of both benign and cancerous tumours and cysts in many parts of the body. Tumours usually first appear in young adulthood. Common manifestations include hemangioblastomas of the brain, spinal cord and retina</w:t>
      </w:r>
      <w:r w:rsidR="00491828" w:rsidRPr="005D2196">
        <w:t>,</w:t>
      </w:r>
      <w:r w:rsidR="00CB22FB" w:rsidRPr="005D2196">
        <w:t xml:space="preserve"> pheochromocytoma and paraganglioma</w:t>
      </w:r>
      <w:r w:rsidR="00491828" w:rsidRPr="005D2196">
        <w:t>,</w:t>
      </w:r>
      <w:r w:rsidR="00CB22FB" w:rsidRPr="005D2196">
        <w:t xml:space="preserve"> renal cell </w:t>
      </w:r>
      <w:r w:rsidR="00CB22FB" w:rsidRPr="005D2196">
        <w:lastRenderedPageBreak/>
        <w:t>carcinoma</w:t>
      </w:r>
      <w:r w:rsidR="00491828" w:rsidRPr="005D2196">
        <w:t>,</w:t>
      </w:r>
      <w:r w:rsidR="00CB22FB" w:rsidRPr="005D2196">
        <w:t xml:space="preserve"> pancreatic cysts and neuroendocrine tumours</w:t>
      </w:r>
      <w:r w:rsidR="00491828" w:rsidRPr="005D2196">
        <w:t xml:space="preserve">, </w:t>
      </w:r>
      <w:r w:rsidR="00CB22FB" w:rsidRPr="005D2196">
        <w:t>and endolymphatic sac tumours</w:t>
      </w:r>
      <w:r w:rsidR="004C204F" w:rsidRPr="005D2196">
        <w:t xml:space="preserve"> (Varshney 2017)</w:t>
      </w:r>
      <w:r w:rsidR="00CB22FB" w:rsidRPr="005D2196">
        <w:t>.</w:t>
      </w:r>
    </w:p>
    <w:p w14:paraId="3801AF58" w14:textId="72E7DBE4" w:rsidR="00CB22FB" w:rsidRPr="005D2196" w:rsidRDefault="00CB22FB" w:rsidP="005D2196">
      <w:r w:rsidRPr="005D2196">
        <w:t xml:space="preserve">Key clinical characteristics of VHL are presented in </w:t>
      </w:r>
      <w:r w:rsidR="00491828" w:rsidRPr="005D2196">
        <w:fldChar w:fldCharType="begin"/>
      </w:r>
      <w:r w:rsidR="00491828" w:rsidRPr="005D2196">
        <w:instrText xml:space="preserve"> REF _Ref97039739 \h  \* MERGEFORMAT </w:instrText>
      </w:r>
      <w:r w:rsidR="00491828" w:rsidRPr="005D2196">
        <w:fldChar w:fldCharType="separate"/>
      </w:r>
      <w:r w:rsidR="0069673F" w:rsidRPr="0069673F">
        <w:t>Table 7</w:t>
      </w:r>
      <w:r w:rsidR="00491828" w:rsidRPr="005D2196">
        <w:fldChar w:fldCharType="end"/>
      </w:r>
      <w:r w:rsidR="00491828" w:rsidRPr="005D2196">
        <w:t>.</w:t>
      </w:r>
    </w:p>
    <w:p w14:paraId="40CF0E96" w14:textId="518EB08B" w:rsidR="00CB22FB" w:rsidRPr="00135F3D" w:rsidRDefault="000C022D" w:rsidP="00135F3D">
      <w:pPr>
        <w:autoSpaceDE w:val="0"/>
        <w:autoSpaceDN w:val="0"/>
        <w:adjustRightInd w:val="0"/>
        <w:spacing w:after="40" w:line="259" w:lineRule="auto"/>
        <w:rPr>
          <w:rFonts w:ascii="Arial Narrow" w:eastAsia="Times New Roman" w:hAnsi="Arial Narrow"/>
          <w:b/>
          <w:bCs/>
          <w:iCs w:val="0"/>
          <w:color w:val="000000" w:themeColor="text1"/>
          <w:sz w:val="20"/>
          <w:szCs w:val="20"/>
        </w:rPr>
      </w:pPr>
      <w:bookmarkStart w:id="9" w:name="_Ref97039739"/>
      <w:r w:rsidRPr="00135F3D">
        <w:rPr>
          <w:rFonts w:ascii="Arial Narrow" w:eastAsia="Times New Roman" w:hAnsi="Arial Narrow"/>
          <w:b/>
          <w:bCs/>
          <w:iCs w:val="0"/>
          <w:color w:val="000000" w:themeColor="text1"/>
          <w:sz w:val="20"/>
          <w:szCs w:val="20"/>
        </w:rPr>
        <w:t>Table </w:t>
      </w:r>
      <w:r w:rsidRPr="00135F3D">
        <w:rPr>
          <w:rFonts w:ascii="Arial Narrow" w:eastAsia="Times New Roman" w:hAnsi="Arial Narrow"/>
          <w:b/>
          <w:bCs/>
          <w:iCs w:val="0"/>
          <w:color w:val="000000" w:themeColor="text1"/>
          <w:sz w:val="20"/>
          <w:szCs w:val="20"/>
        </w:rPr>
        <w:fldChar w:fldCharType="begin"/>
      </w:r>
      <w:r w:rsidRPr="00135F3D">
        <w:rPr>
          <w:rFonts w:ascii="Arial Narrow" w:eastAsia="Times New Roman" w:hAnsi="Arial Narrow"/>
          <w:b/>
          <w:bCs/>
          <w:iCs w:val="0"/>
          <w:color w:val="000000" w:themeColor="text1"/>
          <w:sz w:val="20"/>
          <w:szCs w:val="20"/>
        </w:rPr>
        <w:instrText xml:space="preserve"> SEQ Table \* ARABIC </w:instrText>
      </w:r>
      <w:r w:rsidRPr="00135F3D">
        <w:rPr>
          <w:rFonts w:ascii="Arial Narrow" w:eastAsia="Times New Roman" w:hAnsi="Arial Narrow"/>
          <w:b/>
          <w:bCs/>
          <w:iCs w:val="0"/>
          <w:color w:val="000000" w:themeColor="text1"/>
          <w:sz w:val="20"/>
          <w:szCs w:val="20"/>
        </w:rPr>
        <w:fldChar w:fldCharType="separate"/>
      </w:r>
      <w:r w:rsidR="0069673F">
        <w:rPr>
          <w:rFonts w:ascii="Arial Narrow" w:eastAsia="Times New Roman" w:hAnsi="Arial Narrow"/>
          <w:b/>
          <w:bCs/>
          <w:iCs w:val="0"/>
          <w:noProof/>
          <w:color w:val="000000" w:themeColor="text1"/>
          <w:sz w:val="20"/>
          <w:szCs w:val="20"/>
        </w:rPr>
        <w:t>7</w:t>
      </w:r>
      <w:r w:rsidRPr="00135F3D">
        <w:rPr>
          <w:rFonts w:ascii="Arial Narrow" w:eastAsia="Times New Roman" w:hAnsi="Arial Narrow"/>
          <w:b/>
          <w:bCs/>
          <w:iCs w:val="0"/>
          <w:color w:val="000000" w:themeColor="text1"/>
          <w:sz w:val="20"/>
          <w:szCs w:val="20"/>
        </w:rPr>
        <w:fldChar w:fldCharType="end"/>
      </w:r>
      <w:bookmarkEnd w:id="9"/>
      <w:r w:rsidR="002E6C8D" w:rsidRPr="00135F3D">
        <w:rPr>
          <w:rFonts w:ascii="Arial Narrow" w:eastAsia="Times New Roman" w:hAnsi="Arial Narrow"/>
          <w:b/>
          <w:bCs/>
          <w:iCs w:val="0"/>
          <w:color w:val="000000" w:themeColor="text1"/>
          <w:sz w:val="20"/>
          <w:szCs w:val="20"/>
        </w:rPr>
        <w:tab/>
      </w:r>
      <w:r w:rsidR="00CB22FB" w:rsidRPr="00135F3D">
        <w:rPr>
          <w:rFonts w:ascii="Arial Narrow" w:eastAsia="Times New Roman" w:hAnsi="Arial Narrow"/>
          <w:b/>
          <w:bCs/>
          <w:iCs w:val="0"/>
          <w:color w:val="000000" w:themeColor="text1"/>
          <w:sz w:val="20"/>
          <w:szCs w:val="20"/>
        </w:rPr>
        <w:t>Key clinical characteristics of VHL</w:t>
      </w:r>
    </w:p>
    <w:tbl>
      <w:tblPr>
        <w:tblStyle w:val="TableGrid"/>
        <w:tblW w:w="0" w:type="auto"/>
        <w:tblInd w:w="0" w:type="dxa"/>
        <w:tblLook w:val="04A0" w:firstRow="1" w:lastRow="0" w:firstColumn="1" w:lastColumn="0" w:noHBand="0" w:noVBand="1"/>
      </w:tblPr>
      <w:tblGrid>
        <w:gridCol w:w="4106"/>
        <w:gridCol w:w="5465"/>
      </w:tblGrid>
      <w:tr w:rsidR="00CB22FB" w:rsidRPr="00135F3D" w14:paraId="088CD4B6" w14:textId="77777777" w:rsidTr="00B33C65">
        <w:tc>
          <w:tcPr>
            <w:tcW w:w="4106" w:type="dxa"/>
          </w:tcPr>
          <w:p w14:paraId="271F2ECF" w14:textId="3DFC6255" w:rsidR="00CB22FB" w:rsidRPr="00135F3D" w:rsidRDefault="00CB22FB" w:rsidP="00135F3D">
            <w:pPr>
              <w:spacing w:after="0" w:line="240" w:lineRule="auto"/>
              <w:rPr>
                <w:rFonts w:ascii="Arial Narrow" w:hAnsi="Arial Narrow"/>
                <w:sz w:val="20"/>
                <w:szCs w:val="20"/>
              </w:rPr>
            </w:pPr>
            <w:r w:rsidRPr="00135F3D">
              <w:rPr>
                <w:rFonts w:ascii="Arial Narrow" w:hAnsi="Arial Narrow"/>
                <w:sz w:val="20"/>
                <w:szCs w:val="20"/>
              </w:rPr>
              <w:t>Major features</w:t>
            </w:r>
          </w:p>
        </w:tc>
        <w:tc>
          <w:tcPr>
            <w:tcW w:w="5465" w:type="dxa"/>
          </w:tcPr>
          <w:p w14:paraId="7253811B" w14:textId="48B98BF9" w:rsidR="00CB22FB" w:rsidRPr="00135F3D" w:rsidRDefault="00CB22FB" w:rsidP="00135F3D">
            <w:pPr>
              <w:spacing w:after="0" w:line="240" w:lineRule="auto"/>
              <w:rPr>
                <w:rFonts w:ascii="Arial Narrow" w:hAnsi="Arial Narrow"/>
                <w:sz w:val="20"/>
                <w:szCs w:val="20"/>
              </w:rPr>
            </w:pPr>
            <w:r w:rsidRPr="00135F3D">
              <w:rPr>
                <w:rFonts w:ascii="Arial Narrow" w:hAnsi="Arial Narrow"/>
                <w:sz w:val="20"/>
                <w:szCs w:val="20"/>
              </w:rPr>
              <w:t>Minor features</w:t>
            </w:r>
          </w:p>
        </w:tc>
      </w:tr>
      <w:tr w:rsidR="00CB22FB" w:rsidRPr="00135F3D" w14:paraId="4AA839B5" w14:textId="77777777" w:rsidTr="00B33C65">
        <w:tc>
          <w:tcPr>
            <w:tcW w:w="4106" w:type="dxa"/>
            <w:tcBorders>
              <w:bottom w:val="nil"/>
            </w:tcBorders>
          </w:tcPr>
          <w:p w14:paraId="1DC8ECD0" w14:textId="725F2247" w:rsidR="00CB22FB" w:rsidRPr="00135F3D" w:rsidRDefault="00CB22FB" w:rsidP="00EF16EB">
            <w:pPr>
              <w:pStyle w:val="TableText"/>
              <w:ind w:left="447" w:hanging="425"/>
            </w:pPr>
            <w:proofErr w:type="spellStart"/>
            <w:r w:rsidRPr="00135F3D">
              <w:t>H</w:t>
            </w:r>
            <w:r w:rsidR="003A2751">
              <w:t>a</w:t>
            </w:r>
            <w:r w:rsidRPr="00135F3D">
              <w:t>emangioblastomas</w:t>
            </w:r>
            <w:proofErr w:type="spellEnd"/>
            <w:r w:rsidRPr="00135F3D">
              <w:t xml:space="preserve"> of the retina, spine or brain</w:t>
            </w:r>
          </w:p>
        </w:tc>
        <w:tc>
          <w:tcPr>
            <w:tcW w:w="5465" w:type="dxa"/>
            <w:tcBorders>
              <w:bottom w:val="nil"/>
            </w:tcBorders>
          </w:tcPr>
          <w:p w14:paraId="40319EDC" w14:textId="0BC15E9E" w:rsidR="00CB22FB" w:rsidRPr="00135F3D" w:rsidRDefault="00CB22FB" w:rsidP="00EF16EB">
            <w:pPr>
              <w:pStyle w:val="TableText"/>
              <w:ind w:left="322" w:hanging="322"/>
            </w:pPr>
            <w:r w:rsidRPr="00135F3D">
              <w:t>Endolymphatic sac tumours</w:t>
            </w:r>
          </w:p>
        </w:tc>
      </w:tr>
      <w:tr w:rsidR="00CB22FB" w:rsidRPr="00135F3D" w14:paraId="267FCFAF" w14:textId="77777777" w:rsidTr="00B33C65">
        <w:tc>
          <w:tcPr>
            <w:tcW w:w="4106" w:type="dxa"/>
            <w:tcBorders>
              <w:top w:val="nil"/>
              <w:bottom w:val="nil"/>
            </w:tcBorders>
          </w:tcPr>
          <w:p w14:paraId="32BAC226" w14:textId="0061F3F5" w:rsidR="00CB22FB" w:rsidRPr="00135F3D" w:rsidRDefault="00CB22FB" w:rsidP="00EF16EB">
            <w:pPr>
              <w:pStyle w:val="TableText"/>
              <w:ind w:left="447" w:hanging="425"/>
            </w:pPr>
            <w:proofErr w:type="spellStart"/>
            <w:r w:rsidRPr="00135F3D">
              <w:t>ccRCC</w:t>
            </w:r>
            <w:proofErr w:type="spellEnd"/>
            <w:r w:rsidRPr="00135F3D">
              <w:t xml:space="preserve"> diagnosed &lt;40 years of age or multiple/ bilateral </w:t>
            </w:r>
            <w:proofErr w:type="spellStart"/>
            <w:r w:rsidRPr="00135F3D">
              <w:t>ccRCC</w:t>
            </w:r>
            <w:proofErr w:type="spellEnd"/>
            <w:r w:rsidRPr="00135F3D">
              <w:t xml:space="preserve"> </w:t>
            </w:r>
            <w:r w:rsidR="00CC5C4A" w:rsidRPr="00135F3D">
              <w:t>tumours</w:t>
            </w:r>
            <w:r w:rsidRPr="00135F3D">
              <w:t xml:space="preserve"> diagnosed at any age</w:t>
            </w:r>
          </w:p>
        </w:tc>
        <w:tc>
          <w:tcPr>
            <w:tcW w:w="5465" w:type="dxa"/>
            <w:tcBorders>
              <w:top w:val="nil"/>
              <w:bottom w:val="nil"/>
            </w:tcBorders>
          </w:tcPr>
          <w:p w14:paraId="4AD3894B" w14:textId="77777777" w:rsidR="00CB22FB" w:rsidRPr="00135F3D" w:rsidRDefault="00CB22FB" w:rsidP="00EF16EB">
            <w:pPr>
              <w:pStyle w:val="TableText"/>
              <w:ind w:left="322" w:hanging="322"/>
            </w:pPr>
            <w:r w:rsidRPr="00135F3D">
              <w:t>Papillary cystadenomas of the epididymis or broad ligament</w:t>
            </w:r>
          </w:p>
          <w:p w14:paraId="41B70D23" w14:textId="3046DDE2" w:rsidR="00B33C65" w:rsidRPr="00135F3D" w:rsidRDefault="00B33C65" w:rsidP="00EF16EB">
            <w:pPr>
              <w:pStyle w:val="TableText"/>
              <w:ind w:left="322" w:hanging="322"/>
            </w:pPr>
            <w:r w:rsidRPr="00135F3D">
              <w:t>Pancreatic serious cystadenoma (&gt;1)</w:t>
            </w:r>
          </w:p>
        </w:tc>
      </w:tr>
      <w:tr w:rsidR="00CB22FB" w:rsidRPr="00135F3D" w14:paraId="7FF96E4D" w14:textId="77777777" w:rsidTr="00B33C65">
        <w:tc>
          <w:tcPr>
            <w:tcW w:w="4106" w:type="dxa"/>
            <w:tcBorders>
              <w:top w:val="nil"/>
              <w:bottom w:val="nil"/>
            </w:tcBorders>
          </w:tcPr>
          <w:p w14:paraId="104F297F" w14:textId="247A5D36" w:rsidR="00CB22FB" w:rsidRPr="00135F3D" w:rsidRDefault="00CB22FB" w:rsidP="00EF16EB">
            <w:pPr>
              <w:pStyle w:val="TableText"/>
              <w:ind w:left="447" w:hanging="425"/>
            </w:pPr>
            <w:r w:rsidRPr="00135F3D">
              <w:t>Adrenal paraganglioma</w:t>
            </w:r>
          </w:p>
        </w:tc>
        <w:tc>
          <w:tcPr>
            <w:tcW w:w="5465" w:type="dxa"/>
            <w:tcBorders>
              <w:top w:val="nil"/>
              <w:bottom w:val="nil"/>
            </w:tcBorders>
          </w:tcPr>
          <w:p w14:paraId="47F79419" w14:textId="498F0784" w:rsidR="00CB22FB" w:rsidRPr="00135F3D" w:rsidRDefault="00B33C65" w:rsidP="00EF16EB">
            <w:pPr>
              <w:pStyle w:val="TableText"/>
              <w:ind w:left="322" w:hanging="322"/>
            </w:pPr>
            <w:r w:rsidRPr="00135F3D">
              <w:t>Pancreatic neuroendocrine tumour or multiple pancreatic cysts (&gt;1)</w:t>
            </w:r>
          </w:p>
        </w:tc>
      </w:tr>
      <w:tr w:rsidR="00CB22FB" w:rsidRPr="00135F3D" w14:paraId="4A56DAFE" w14:textId="77777777" w:rsidTr="00EF16EB">
        <w:trPr>
          <w:trHeight w:val="80"/>
        </w:trPr>
        <w:tc>
          <w:tcPr>
            <w:tcW w:w="4106" w:type="dxa"/>
            <w:tcBorders>
              <w:top w:val="nil"/>
              <w:bottom w:val="nil"/>
            </w:tcBorders>
          </w:tcPr>
          <w:p w14:paraId="1F097D68" w14:textId="3847BA04" w:rsidR="00CB22FB" w:rsidRPr="00135F3D" w:rsidRDefault="00CB22FB" w:rsidP="00EF16EB">
            <w:pPr>
              <w:pStyle w:val="TableText"/>
              <w:ind w:left="447" w:hanging="425"/>
            </w:pPr>
            <w:r w:rsidRPr="00135F3D">
              <w:t>Paraganglioma of abdomen, thorax or neck</w:t>
            </w:r>
          </w:p>
        </w:tc>
        <w:tc>
          <w:tcPr>
            <w:tcW w:w="5465" w:type="dxa"/>
            <w:tcBorders>
              <w:top w:val="nil"/>
              <w:bottom w:val="nil"/>
            </w:tcBorders>
          </w:tcPr>
          <w:p w14:paraId="4A1CB4F4" w14:textId="60CA3CE5" w:rsidR="00CB22FB" w:rsidRPr="00135F3D" w:rsidRDefault="00CB22FB" w:rsidP="00135F3D">
            <w:pPr>
              <w:pStyle w:val="TableText"/>
              <w:numPr>
                <w:ilvl w:val="0"/>
                <w:numId w:val="0"/>
              </w:numPr>
              <w:ind w:left="720"/>
            </w:pPr>
          </w:p>
        </w:tc>
      </w:tr>
      <w:tr w:rsidR="00CB22FB" w:rsidRPr="00135F3D" w14:paraId="3558ADDE" w14:textId="77777777" w:rsidTr="00B33C65">
        <w:tc>
          <w:tcPr>
            <w:tcW w:w="4106" w:type="dxa"/>
            <w:tcBorders>
              <w:top w:val="nil"/>
            </w:tcBorders>
          </w:tcPr>
          <w:p w14:paraId="011C20C3" w14:textId="4C1185E4" w:rsidR="00CB22FB" w:rsidRPr="00135F3D" w:rsidRDefault="00CB22FB" w:rsidP="00EF16EB">
            <w:pPr>
              <w:pStyle w:val="TableText"/>
              <w:ind w:left="447" w:hanging="425"/>
            </w:pPr>
            <w:r w:rsidRPr="00135F3D">
              <w:t xml:space="preserve">Retinal </w:t>
            </w:r>
            <w:r w:rsidR="003A2751">
              <w:t>angiomas</w:t>
            </w:r>
          </w:p>
        </w:tc>
        <w:tc>
          <w:tcPr>
            <w:tcW w:w="5465" w:type="dxa"/>
            <w:tcBorders>
              <w:top w:val="nil"/>
            </w:tcBorders>
          </w:tcPr>
          <w:p w14:paraId="2F218E31" w14:textId="77777777" w:rsidR="00CB22FB" w:rsidRPr="00135F3D" w:rsidRDefault="00CB22FB" w:rsidP="00135F3D">
            <w:pPr>
              <w:pStyle w:val="TableText"/>
              <w:numPr>
                <w:ilvl w:val="0"/>
                <w:numId w:val="0"/>
              </w:numPr>
              <w:ind w:left="720"/>
            </w:pPr>
          </w:p>
        </w:tc>
      </w:tr>
    </w:tbl>
    <w:p w14:paraId="4A4FFE5A" w14:textId="574A6BC5" w:rsidR="00FE0460" w:rsidRDefault="00FE0460" w:rsidP="00FE0460">
      <w:pPr>
        <w:spacing w:after="0" w:line="240" w:lineRule="auto"/>
        <w:rPr>
          <w:rFonts w:ascii="Arial Narrow" w:hAnsi="Arial Narrow"/>
          <w:sz w:val="18"/>
          <w:szCs w:val="18"/>
        </w:rPr>
      </w:pPr>
      <w:r w:rsidRPr="00EF16EB">
        <w:rPr>
          <w:rFonts w:ascii="Arial Narrow" w:hAnsi="Arial Narrow"/>
          <w:sz w:val="18"/>
          <w:szCs w:val="18"/>
        </w:rPr>
        <w:t>Source: NCCN guidelines 2021, Table 2, ‘HRCC-A’ page.</w:t>
      </w:r>
    </w:p>
    <w:p w14:paraId="19917195" w14:textId="569C6EB5" w:rsidR="00FE0460" w:rsidRDefault="00FE0460" w:rsidP="008404A1">
      <w:pPr>
        <w:spacing w:line="240" w:lineRule="auto"/>
        <w:rPr>
          <w:rFonts w:ascii="Arial Narrow" w:hAnsi="Arial Narrow"/>
          <w:sz w:val="18"/>
          <w:szCs w:val="18"/>
        </w:rPr>
      </w:pPr>
      <w:proofErr w:type="spellStart"/>
      <w:r w:rsidRPr="00EF16EB">
        <w:rPr>
          <w:rFonts w:ascii="Arial Narrow" w:hAnsi="Arial Narrow"/>
          <w:sz w:val="18"/>
          <w:szCs w:val="18"/>
        </w:rPr>
        <w:t>ccRCC</w:t>
      </w:r>
      <w:proofErr w:type="spellEnd"/>
      <w:r w:rsidRPr="00EF16EB">
        <w:rPr>
          <w:rFonts w:ascii="Arial Narrow" w:hAnsi="Arial Narrow"/>
          <w:sz w:val="18"/>
          <w:szCs w:val="18"/>
        </w:rPr>
        <w:t xml:space="preserve"> = clear cell renal cell carcinoma</w:t>
      </w:r>
    </w:p>
    <w:p w14:paraId="6FD52E3E" w14:textId="346D4B98" w:rsidR="00435861" w:rsidRPr="005D2196" w:rsidRDefault="00435861" w:rsidP="005D2196">
      <w:r w:rsidRPr="005D2196">
        <w:t>Based on the 2007 review of 573 VHL patients by Ong (2007)</w:t>
      </w:r>
      <w:r w:rsidR="009703B5" w:rsidRPr="005D2196">
        <w:t>,</w:t>
      </w:r>
      <w:r w:rsidRPr="005D2196">
        <w:t xml:space="preserve"> the lifetime risk (by age 70) of </w:t>
      </w:r>
      <w:r w:rsidR="00F06201" w:rsidRPr="005D2196">
        <w:t>renal cell carcinoma (</w:t>
      </w:r>
      <w:r w:rsidRPr="005D2196">
        <w:t xml:space="preserve">RCC </w:t>
      </w:r>
      <w:r w:rsidR="00F06201" w:rsidRPr="005D2196">
        <w:t xml:space="preserve">) </w:t>
      </w:r>
      <w:r w:rsidRPr="005D2196">
        <w:t>is up to 80%</w:t>
      </w:r>
      <w:r w:rsidR="002D4E6A" w:rsidRPr="005D2196">
        <w:t>.</w:t>
      </w:r>
      <w:r w:rsidRPr="005D2196">
        <w:t xml:space="preserve"> However, this is likely to be an overestimate of risk as no adjustment was made for proband ascertainment (</w:t>
      </w:r>
      <w:proofErr w:type="spellStart"/>
      <w:r w:rsidR="002E6C8D" w:rsidRPr="005D2196">
        <w:t>e</w:t>
      </w:r>
      <w:r w:rsidRPr="005D2196">
        <w:t>viQ</w:t>
      </w:r>
      <w:proofErr w:type="spellEnd"/>
      <w:r w:rsidRPr="005D2196">
        <w:t xml:space="preserve"> guidelines ID 397 v.7).</w:t>
      </w:r>
    </w:p>
    <w:p w14:paraId="7EA30EA0" w14:textId="15CCD46A" w:rsidR="00FC6753" w:rsidRPr="005D2196" w:rsidRDefault="00FC6753" w:rsidP="005D2196">
      <w:r w:rsidRPr="005D2196">
        <w:t xml:space="preserve">The </w:t>
      </w:r>
      <w:r w:rsidR="008A0EB9">
        <w:t>National Comprehensive Cancer Network (</w:t>
      </w:r>
      <w:r w:rsidRPr="005D2196">
        <w:t>NCCN</w:t>
      </w:r>
      <w:r w:rsidR="008A0EB9">
        <w:t>)</w:t>
      </w:r>
      <w:r w:rsidRPr="005D2196">
        <w:t xml:space="preserve"> hereditary renal cell carcinomas guidelines (NCCN HRCC 2021 v1) recommended the following for </w:t>
      </w:r>
      <w:r w:rsidR="00CC5C4A" w:rsidRPr="005D2196">
        <w:t>patients</w:t>
      </w:r>
      <w:r w:rsidRPr="005D2196">
        <w:t xml:space="preserve"> with confirmed VHL related RCC:</w:t>
      </w:r>
    </w:p>
    <w:p w14:paraId="656A5B36" w14:textId="207AD1A0" w:rsidR="00FC6753" w:rsidRPr="00135F3D" w:rsidRDefault="00FC6753" w:rsidP="00135F3D">
      <w:pPr>
        <w:pStyle w:val="ListParagraph"/>
      </w:pPr>
      <w:r w:rsidRPr="00135F3D">
        <w:t xml:space="preserve">Management of localised renal masses </w:t>
      </w:r>
      <w:r w:rsidR="00647919" w:rsidRPr="00135F3D">
        <w:t>typically guided under the 3</w:t>
      </w:r>
      <w:r w:rsidR="00B33C65" w:rsidRPr="00135F3D">
        <w:t xml:space="preserve"> cm</w:t>
      </w:r>
      <w:r w:rsidR="00647919" w:rsidRPr="00135F3D">
        <w:t xml:space="preserve"> rule (</w:t>
      </w:r>
      <w:proofErr w:type="spellStart"/>
      <w:r w:rsidR="00647919" w:rsidRPr="00135F3D">
        <w:t>Shuch</w:t>
      </w:r>
      <w:proofErr w:type="spellEnd"/>
      <w:r w:rsidR="00647919" w:rsidRPr="00135F3D">
        <w:t xml:space="preserve"> 2012)</w:t>
      </w:r>
      <w:r w:rsidR="002D4E6A" w:rsidRPr="00135F3D">
        <w:t>.</w:t>
      </w:r>
    </w:p>
    <w:p w14:paraId="64287CE9" w14:textId="44975B32" w:rsidR="00647919" w:rsidRPr="00135F3D" w:rsidRDefault="00647919" w:rsidP="00135F3D">
      <w:pPr>
        <w:pStyle w:val="ListParagraph"/>
      </w:pPr>
      <w:r w:rsidRPr="00135F3D">
        <w:t xml:space="preserve">The idea is to intervene at a time point of maximal benefit to the patient to limit the chance of development of </w:t>
      </w:r>
      <w:r w:rsidR="00CC5C4A" w:rsidRPr="00135F3D">
        <w:t>metastatic</w:t>
      </w:r>
      <w:r w:rsidRPr="00135F3D">
        <w:t xml:space="preserve"> disease but also to consider the recurrent and multiple resections many of these </w:t>
      </w:r>
      <w:r w:rsidR="00CC5C4A" w:rsidRPr="00135F3D">
        <w:t>patients</w:t>
      </w:r>
      <w:r w:rsidRPr="00135F3D">
        <w:t xml:space="preserve"> may have over the course of their lifetime with subsequent development of chronic and progressive renal failure</w:t>
      </w:r>
      <w:r w:rsidR="002D4E6A" w:rsidRPr="00135F3D">
        <w:t>.</w:t>
      </w:r>
    </w:p>
    <w:p w14:paraId="4699D41E" w14:textId="7D92649A" w:rsidR="00647919" w:rsidRPr="00135F3D" w:rsidRDefault="00647919" w:rsidP="00135F3D">
      <w:pPr>
        <w:pStyle w:val="ListParagraph"/>
      </w:pPr>
      <w:r w:rsidRPr="00135F3D">
        <w:t xml:space="preserve">Patient should undergo partial nephrectomy if at all possible and consider referral to </w:t>
      </w:r>
      <w:r w:rsidR="00CC5C4A" w:rsidRPr="00135F3D">
        <w:t>centres</w:t>
      </w:r>
      <w:r w:rsidRPr="00135F3D">
        <w:t xml:space="preserve"> with surgical expertise in complex partial </w:t>
      </w:r>
      <w:r w:rsidR="00CC5C4A" w:rsidRPr="00135F3D">
        <w:t>nephrectomies</w:t>
      </w:r>
      <w:r w:rsidRPr="00135F3D">
        <w:t xml:space="preserve"> and management of VHL patients</w:t>
      </w:r>
      <w:r w:rsidR="002D4E6A" w:rsidRPr="00135F3D">
        <w:t>.</w:t>
      </w:r>
    </w:p>
    <w:p w14:paraId="2A1FFB42" w14:textId="742A672C" w:rsidR="00647919" w:rsidRPr="00135F3D" w:rsidRDefault="00647919" w:rsidP="00135F3D">
      <w:pPr>
        <w:pStyle w:val="ListParagraph"/>
      </w:pPr>
      <w:r w:rsidRPr="00135F3D">
        <w:t>Ablative treatment options may be considered for those with significant medical or surgical risk to undergo the operation</w:t>
      </w:r>
      <w:r w:rsidR="002D4E6A" w:rsidRPr="00135F3D">
        <w:t>.</w:t>
      </w:r>
    </w:p>
    <w:p w14:paraId="683B9527" w14:textId="5EFB0DC0" w:rsidR="006E6B78" w:rsidRPr="005D2196" w:rsidRDefault="00647919" w:rsidP="005D2196">
      <w:r w:rsidRPr="005D2196">
        <w:t>In further discussion, the applicant noted that availability and utility of pharmacological options in VHL patients is a complex and evolving issue</w:t>
      </w:r>
      <w:r w:rsidR="006E6B78" w:rsidRPr="005D2196">
        <w:t>. The NCCN guidelines noted that pazopanib was associated with a greater than 50% objective response rate in renal lesions in a 31</w:t>
      </w:r>
      <w:r w:rsidR="00050008" w:rsidRPr="005D2196">
        <w:t xml:space="preserve"> </w:t>
      </w:r>
      <w:r w:rsidR="006E6B78" w:rsidRPr="005D2196">
        <w:t xml:space="preserve">patient phase II study. </w:t>
      </w:r>
      <w:r w:rsidR="00A012B9" w:rsidRPr="005D2196">
        <w:t>Pazopanib is currently</w:t>
      </w:r>
      <w:r w:rsidR="00985CEE" w:rsidRPr="005D2196">
        <w:t xml:space="preserve"> only</w:t>
      </w:r>
      <w:r w:rsidR="00A012B9" w:rsidRPr="005D2196">
        <w:t xml:space="preserve"> PBS reimbursed for the treatment of stage IV renal clear cell carcinoma.</w:t>
      </w:r>
    </w:p>
    <w:p w14:paraId="4A25B62E" w14:textId="582198C5" w:rsidR="00FC6753" w:rsidRPr="005D2196" w:rsidRDefault="006E6B78" w:rsidP="005D2196">
      <w:proofErr w:type="spellStart"/>
      <w:r w:rsidRPr="005D2196">
        <w:t>Plon</w:t>
      </w:r>
      <w:proofErr w:type="spellEnd"/>
      <w:r w:rsidRPr="005D2196">
        <w:t xml:space="preserve"> (202</w:t>
      </w:r>
      <w:r w:rsidR="00C45943" w:rsidRPr="005D2196">
        <w:t>1</w:t>
      </w:r>
      <w:r w:rsidRPr="005D2196">
        <w:t xml:space="preserve">) recommended that for patients who do not have bilateral nephrectomy or who </w:t>
      </w:r>
      <w:r w:rsidR="00C00097" w:rsidRPr="005D2196">
        <w:t xml:space="preserve">have </w:t>
      </w:r>
      <w:r w:rsidRPr="005D2196">
        <w:t>end stage kidney disease, tumour size and growth must be assessed</w:t>
      </w:r>
      <w:r w:rsidR="00050008" w:rsidRPr="005D2196">
        <w:t>:</w:t>
      </w:r>
    </w:p>
    <w:p w14:paraId="01B3B11A" w14:textId="22C8B281" w:rsidR="00050008" w:rsidRPr="00DA79F1" w:rsidRDefault="00050008" w:rsidP="00AA4DCC">
      <w:pPr>
        <w:pStyle w:val="ListParagraph"/>
        <w:numPr>
          <w:ilvl w:val="0"/>
          <w:numId w:val="13"/>
        </w:numPr>
      </w:pPr>
      <w:r w:rsidRPr="00DA79F1">
        <w:t>Patients with tumour of less than 3</w:t>
      </w:r>
      <w:r w:rsidR="00B33C65">
        <w:t xml:space="preserve"> </w:t>
      </w:r>
      <w:r w:rsidRPr="00DA79F1">
        <w:t xml:space="preserve">cm diameter may continue surveillance or be treated with </w:t>
      </w:r>
      <w:proofErr w:type="spellStart"/>
      <w:r w:rsidRPr="00DA79F1">
        <w:t>belzutifan</w:t>
      </w:r>
      <w:proofErr w:type="spellEnd"/>
      <w:r w:rsidRPr="00DA79F1">
        <w:t>, depending on growth of tumour and patient preference for more aggressive therapy</w:t>
      </w:r>
      <w:r w:rsidR="002D4E6A">
        <w:t>.</w:t>
      </w:r>
    </w:p>
    <w:p w14:paraId="298F226F" w14:textId="7DE68149" w:rsidR="00050008" w:rsidRPr="00DA79F1" w:rsidRDefault="00050008" w:rsidP="00AA4DCC">
      <w:pPr>
        <w:pStyle w:val="ListParagraph"/>
        <w:numPr>
          <w:ilvl w:val="0"/>
          <w:numId w:val="13"/>
        </w:numPr>
      </w:pPr>
      <w:r w:rsidRPr="00DA79F1">
        <w:t>Patients with tumour size of 3</w:t>
      </w:r>
      <w:r w:rsidR="00B33C65">
        <w:t xml:space="preserve"> </w:t>
      </w:r>
      <w:r w:rsidRPr="00DA79F1">
        <w:t xml:space="preserve">cm </w:t>
      </w:r>
      <w:r w:rsidR="00EC0A06" w:rsidRPr="00DA79F1">
        <w:t>or</w:t>
      </w:r>
      <w:r w:rsidRPr="00DA79F1">
        <w:t xml:space="preserve"> more who are eligible for nephron sparing interventions, </w:t>
      </w:r>
      <w:r w:rsidR="00B33C65">
        <w:t>m</w:t>
      </w:r>
      <w:r w:rsidRPr="00DA79F1">
        <w:t xml:space="preserve">ay require partial nephrectomy (preferred), or </w:t>
      </w:r>
      <w:r w:rsidR="00EC0A06" w:rsidRPr="00DA79F1">
        <w:t>non-surgical</w:t>
      </w:r>
      <w:r w:rsidRPr="00DA79F1">
        <w:t xml:space="preserve"> options including cryotherapy, and radiofrequency ablation</w:t>
      </w:r>
      <w:r w:rsidR="002D4E6A">
        <w:t>.</w:t>
      </w:r>
    </w:p>
    <w:p w14:paraId="0CD673D9" w14:textId="6C5A1FF8" w:rsidR="00050008" w:rsidRPr="00DA79F1" w:rsidRDefault="00050008" w:rsidP="00AA4DCC">
      <w:pPr>
        <w:pStyle w:val="ListParagraph"/>
        <w:numPr>
          <w:ilvl w:val="0"/>
          <w:numId w:val="13"/>
        </w:numPr>
      </w:pPr>
      <w:r w:rsidRPr="00DA79F1">
        <w:t xml:space="preserve">Patients not eligible for nephron-sparing interventions may be treated with </w:t>
      </w:r>
      <w:proofErr w:type="spellStart"/>
      <w:r w:rsidRPr="00DA79F1">
        <w:t>belzutifan</w:t>
      </w:r>
      <w:proofErr w:type="spellEnd"/>
      <w:r w:rsidR="002D4E6A">
        <w:t>.</w:t>
      </w:r>
    </w:p>
    <w:p w14:paraId="1DBB5198" w14:textId="015DE6F4" w:rsidR="004C3AFC" w:rsidRPr="00FE0460" w:rsidRDefault="00FE0460" w:rsidP="005D2196">
      <w:r>
        <w:rPr>
          <w:rFonts w:asciiTheme="minorHAnsi" w:hAnsiTheme="minorHAnsi" w:cstheme="minorHAnsi"/>
          <w:i/>
          <w:iCs w:val="0"/>
        </w:rPr>
        <w:lastRenderedPageBreak/>
        <w:t xml:space="preserve">PASC noted that </w:t>
      </w:r>
      <w:proofErr w:type="spellStart"/>
      <w:r>
        <w:rPr>
          <w:rFonts w:asciiTheme="minorHAnsi" w:hAnsiTheme="minorHAnsi" w:cstheme="minorHAnsi"/>
          <w:i/>
          <w:iCs w:val="0"/>
        </w:rPr>
        <w:t>b</w:t>
      </w:r>
      <w:r w:rsidRPr="0071038D">
        <w:rPr>
          <w:rFonts w:asciiTheme="minorHAnsi" w:hAnsiTheme="minorHAnsi" w:cstheme="minorHAnsi"/>
          <w:i/>
          <w:iCs w:val="0"/>
        </w:rPr>
        <w:t>elzutifan</w:t>
      </w:r>
      <w:proofErr w:type="spellEnd"/>
      <w:r w:rsidRPr="0071038D">
        <w:rPr>
          <w:rFonts w:asciiTheme="minorHAnsi" w:hAnsiTheme="minorHAnsi" w:cstheme="minorHAnsi"/>
          <w:i/>
          <w:iCs w:val="0"/>
        </w:rPr>
        <w:t xml:space="preserve"> (HIF-2α inhibitor) </w:t>
      </w:r>
      <w:r>
        <w:rPr>
          <w:rFonts w:asciiTheme="minorHAnsi" w:hAnsiTheme="minorHAnsi" w:cstheme="minorHAnsi"/>
          <w:i/>
          <w:iCs w:val="0"/>
        </w:rPr>
        <w:t>received</w:t>
      </w:r>
      <w:r w:rsidRPr="0071038D">
        <w:rPr>
          <w:rFonts w:asciiTheme="minorHAnsi" w:hAnsiTheme="minorHAnsi" w:cstheme="minorHAnsi"/>
          <w:i/>
          <w:iCs w:val="0"/>
        </w:rPr>
        <w:t xml:space="preserve"> TGA orphan drug designation </w:t>
      </w:r>
      <w:r>
        <w:rPr>
          <w:rFonts w:asciiTheme="minorHAnsi" w:hAnsiTheme="minorHAnsi" w:cstheme="minorHAnsi"/>
          <w:i/>
          <w:iCs w:val="0"/>
        </w:rPr>
        <w:t xml:space="preserve">in </w:t>
      </w:r>
      <w:r w:rsidRPr="0071038D">
        <w:rPr>
          <w:rFonts w:asciiTheme="minorHAnsi" w:hAnsiTheme="minorHAnsi" w:cstheme="minorHAnsi"/>
          <w:i/>
          <w:iCs w:val="0"/>
        </w:rPr>
        <w:t>Feb</w:t>
      </w:r>
      <w:r>
        <w:rPr>
          <w:rFonts w:asciiTheme="minorHAnsi" w:hAnsiTheme="minorHAnsi" w:cstheme="minorHAnsi"/>
          <w:i/>
          <w:iCs w:val="0"/>
        </w:rPr>
        <w:t>ruary</w:t>
      </w:r>
      <w:r w:rsidRPr="0071038D">
        <w:rPr>
          <w:rFonts w:asciiTheme="minorHAnsi" w:hAnsiTheme="minorHAnsi" w:cstheme="minorHAnsi"/>
          <w:i/>
          <w:iCs w:val="0"/>
        </w:rPr>
        <w:t xml:space="preserve"> 2022</w:t>
      </w:r>
      <w:r>
        <w:rPr>
          <w:rFonts w:asciiTheme="minorHAnsi" w:hAnsiTheme="minorHAnsi" w:cstheme="minorHAnsi"/>
          <w:i/>
          <w:iCs w:val="0"/>
        </w:rPr>
        <w:t xml:space="preserve">. </w:t>
      </w:r>
      <w:r>
        <w:rPr>
          <w:rFonts w:asciiTheme="minorHAnsi" w:hAnsiTheme="minorHAnsi" w:cstheme="minorHAnsi"/>
        </w:rPr>
        <w:t>However, it is not PBS listed.</w:t>
      </w:r>
    </w:p>
    <w:p w14:paraId="4ED744A8" w14:textId="1108D61A" w:rsidR="00F930DC" w:rsidRPr="00135F3D" w:rsidRDefault="00F930DC" w:rsidP="00135F3D">
      <w:pPr>
        <w:pStyle w:val="Heading5"/>
      </w:pPr>
      <w:proofErr w:type="spellStart"/>
      <w:r w:rsidRPr="00135F3D">
        <w:t>Birt</w:t>
      </w:r>
      <w:proofErr w:type="spellEnd"/>
      <w:r w:rsidRPr="00135F3D">
        <w:t>-Hogg-</w:t>
      </w:r>
      <w:proofErr w:type="spellStart"/>
      <w:r w:rsidRPr="00135F3D">
        <w:t>Dubé</w:t>
      </w:r>
      <w:proofErr w:type="spellEnd"/>
      <w:r w:rsidRPr="00135F3D">
        <w:t xml:space="preserve"> syndrome:</w:t>
      </w:r>
    </w:p>
    <w:p w14:paraId="40F45E23" w14:textId="24790983" w:rsidR="00CB22FB" w:rsidRPr="005D2196" w:rsidRDefault="00F930DC" w:rsidP="005D2196">
      <w:proofErr w:type="spellStart"/>
      <w:r w:rsidRPr="005D2196">
        <w:t>Birt</w:t>
      </w:r>
      <w:proofErr w:type="spellEnd"/>
      <w:r w:rsidRPr="005D2196">
        <w:t>-Hogg-</w:t>
      </w:r>
      <w:proofErr w:type="spellStart"/>
      <w:r w:rsidRPr="005D2196">
        <w:t>Dubé</w:t>
      </w:r>
      <w:proofErr w:type="spellEnd"/>
      <w:r w:rsidRPr="005D2196">
        <w:t xml:space="preserve"> syndrome (BHD) is an autosomal dominant condition</w:t>
      </w:r>
      <w:r w:rsidR="003B19DE" w:rsidRPr="005D2196">
        <w:t xml:space="preserve"> caused by a pathogenic variant in the folliculin (</w:t>
      </w:r>
      <w:r w:rsidR="003B19DE" w:rsidRPr="00CC7D3E">
        <w:rPr>
          <w:i/>
        </w:rPr>
        <w:t>FLCN</w:t>
      </w:r>
      <w:r w:rsidR="003B19DE" w:rsidRPr="005D2196">
        <w:t xml:space="preserve">) gene. </w:t>
      </w:r>
      <w:r w:rsidR="00272200" w:rsidRPr="005D2196">
        <w:t xml:space="preserve">Patients with BHD </w:t>
      </w:r>
      <w:r w:rsidR="003B19DE" w:rsidRPr="005D2196">
        <w:t>may develop</w:t>
      </w:r>
      <w:r w:rsidRPr="005D2196">
        <w:t xml:space="preserve"> benign skin lesions, renal tumours and lung cysts leading to </w:t>
      </w:r>
      <w:proofErr w:type="spellStart"/>
      <w:r w:rsidRPr="005D2196">
        <w:t>pneumothoraces</w:t>
      </w:r>
      <w:proofErr w:type="spellEnd"/>
      <w:r w:rsidRPr="005D2196">
        <w:t>.</w:t>
      </w:r>
      <w:r w:rsidR="00C05BD4" w:rsidRPr="005D2196">
        <w:t xml:space="preserve"> </w:t>
      </w:r>
      <w:r w:rsidR="00CB22FB" w:rsidRPr="005D2196">
        <w:t>The incidence of BHD syndrome is unknown.</w:t>
      </w:r>
      <w:r w:rsidR="00272200" w:rsidRPr="005D2196">
        <w:t xml:space="preserve"> </w:t>
      </w:r>
      <w:r w:rsidR="00CB22FB" w:rsidRPr="005D2196">
        <w:t>Approximately 200 families have been identified worldwide (</w:t>
      </w:r>
      <w:proofErr w:type="spellStart"/>
      <w:r w:rsidR="00CB22FB" w:rsidRPr="005D2196">
        <w:t>Menko</w:t>
      </w:r>
      <w:proofErr w:type="spellEnd"/>
      <w:r w:rsidR="00CB22FB" w:rsidRPr="005D2196">
        <w:t xml:space="preserve"> 2009).</w:t>
      </w:r>
    </w:p>
    <w:p w14:paraId="44B7412C" w14:textId="1CE79794" w:rsidR="004732DA" w:rsidRPr="005D2196" w:rsidRDefault="003B19DE" w:rsidP="005D2196">
      <w:r w:rsidRPr="005D2196">
        <w:t xml:space="preserve">According to </w:t>
      </w:r>
      <w:proofErr w:type="spellStart"/>
      <w:r w:rsidR="00B52757" w:rsidRPr="005D2196">
        <w:t>evi</w:t>
      </w:r>
      <w:r w:rsidRPr="005D2196">
        <w:t>Q</w:t>
      </w:r>
      <w:proofErr w:type="spellEnd"/>
      <w:r w:rsidRPr="005D2196">
        <w:t xml:space="preserve"> risk management guidelines, p</w:t>
      </w:r>
      <w:r w:rsidR="00F930DC" w:rsidRPr="005D2196">
        <w:t>eople with BHD have a 19% chance of developing kidney cancer over their lifetime</w:t>
      </w:r>
      <w:r w:rsidR="00272200" w:rsidRPr="005D2196">
        <w:t xml:space="preserve"> (</w:t>
      </w:r>
      <w:proofErr w:type="spellStart"/>
      <w:r w:rsidR="00B52757" w:rsidRPr="005D2196">
        <w:t>evi</w:t>
      </w:r>
      <w:r w:rsidR="00272200" w:rsidRPr="005D2196">
        <w:t>Q</w:t>
      </w:r>
      <w:proofErr w:type="spellEnd"/>
      <w:r w:rsidR="002109E0" w:rsidRPr="005D2196">
        <w:t xml:space="preserve"> ID 161 v.6</w:t>
      </w:r>
      <w:r w:rsidRPr="005D2196">
        <w:footnoteReference w:id="2"/>
      </w:r>
      <w:r w:rsidR="002109E0" w:rsidRPr="005D2196">
        <w:t>; Sattler 2018</w:t>
      </w:r>
      <w:r w:rsidR="00272200" w:rsidRPr="005D2196">
        <w:t>)</w:t>
      </w:r>
      <w:r w:rsidR="00F930DC" w:rsidRPr="005D2196">
        <w:t>.</w:t>
      </w:r>
    </w:p>
    <w:p w14:paraId="4814027C" w14:textId="17C5EA5D" w:rsidR="00C5307B" w:rsidRPr="00DA79F1" w:rsidRDefault="00C5307B" w:rsidP="00135F3D">
      <w:pPr>
        <w:pStyle w:val="Heading5"/>
        <w:rPr>
          <w:rStyle w:val="CommentReference"/>
          <w:sz w:val="22"/>
          <w:szCs w:val="22"/>
        </w:rPr>
      </w:pPr>
      <w:r w:rsidRPr="00DA79F1">
        <w:rPr>
          <w:rStyle w:val="CommentReference"/>
          <w:sz w:val="24"/>
          <w:szCs w:val="24"/>
        </w:rPr>
        <w:t xml:space="preserve">Hereditary papillary renal carcinoma </w:t>
      </w:r>
      <w:r w:rsidR="00122CD1" w:rsidRPr="00DA79F1">
        <w:rPr>
          <w:rStyle w:val="CommentReference"/>
          <w:sz w:val="22"/>
          <w:szCs w:val="22"/>
        </w:rPr>
        <w:t>(</w:t>
      </w:r>
      <w:r w:rsidR="00590D15" w:rsidRPr="00DA79F1">
        <w:rPr>
          <w:rStyle w:val="CommentReference"/>
          <w:sz w:val="22"/>
          <w:szCs w:val="22"/>
        </w:rPr>
        <w:t xml:space="preserve">HPRC) - </w:t>
      </w:r>
      <w:r w:rsidR="00487680" w:rsidRPr="00DA79F1">
        <w:rPr>
          <w:rStyle w:val="CommentReference"/>
          <w:sz w:val="22"/>
          <w:szCs w:val="22"/>
        </w:rPr>
        <w:t>Type 1 Papillary renal carcinoma</w:t>
      </w:r>
    </w:p>
    <w:p w14:paraId="2AAE6ECF" w14:textId="7181EA6B" w:rsidR="00C5307B" w:rsidRPr="005D2196" w:rsidRDefault="00303C92" w:rsidP="005D2196">
      <w:r w:rsidRPr="005D2196">
        <w:t xml:space="preserve">Individuals with hereditary papillary renal carcinoma (HPRC) syndrome are at risk for the development of type 1 papillary renal cell carcinomas. </w:t>
      </w:r>
      <w:r w:rsidR="00122CD1" w:rsidRPr="005D2196">
        <w:t xml:space="preserve">Affected individuals in HPRC kindreds were found to be at risk for the development of bilateral, multifocal type 1 papillary renal carcinoma. Genetic studies in HPRC kindreds led to the identification of the </w:t>
      </w:r>
      <w:r w:rsidR="00A610C2" w:rsidRPr="00FB0DA5">
        <w:rPr>
          <w:i/>
        </w:rPr>
        <w:t>C-MET</w:t>
      </w:r>
      <w:r w:rsidR="00122CD1" w:rsidRPr="00FB0DA5">
        <w:rPr>
          <w:i/>
        </w:rPr>
        <w:t xml:space="preserve"> </w:t>
      </w:r>
      <w:r w:rsidR="00122CD1" w:rsidRPr="005D2196">
        <w:t>gene on chromosome 7 as the gene for HPRC (Line</w:t>
      </w:r>
      <w:r w:rsidR="00EC00A5" w:rsidRPr="005D2196">
        <w:t>h</w:t>
      </w:r>
      <w:r w:rsidR="00122CD1" w:rsidRPr="005D2196">
        <w:t>an 200</w:t>
      </w:r>
      <w:r w:rsidR="00EC00A5" w:rsidRPr="005D2196">
        <w:t>9</w:t>
      </w:r>
      <w:r w:rsidR="00122CD1" w:rsidRPr="005D2196">
        <w:t>)</w:t>
      </w:r>
      <w:r w:rsidR="00B33C65" w:rsidRPr="005D2196">
        <w:t>.</w:t>
      </w:r>
    </w:p>
    <w:p w14:paraId="7BD67740" w14:textId="64772ABC" w:rsidR="00406C47" w:rsidRPr="005D2196" w:rsidRDefault="00406C47" w:rsidP="005D2196">
      <w:r w:rsidRPr="005D2196">
        <w:t>HPRC is considered to be rare. The number of people and families who have HPRC is unknown. However, there are approximately 30 families in published medical reports (Cancer.Net, 2020, HPRC).</w:t>
      </w:r>
    </w:p>
    <w:p w14:paraId="15E1A344" w14:textId="045B08DD" w:rsidR="00C5307B" w:rsidRPr="00DA79F1" w:rsidRDefault="00C5307B" w:rsidP="00135F3D">
      <w:pPr>
        <w:pStyle w:val="Heading5"/>
        <w:rPr>
          <w:rStyle w:val="CommentReference"/>
          <w:sz w:val="22"/>
          <w:szCs w:val="22"/>
        </w:rPr>
      </w:pPr>
      <w:r w:rsidRPr="00DA79F1">
        <w:rPr>
          <w:rStyle w:val="CommentReference"/>
          <w:sz w:val="24"/>
          <w:szCs w:val="24"/>
        </w:rPr>
        <w:t xml:space="preserve">Hereditary </w:t>
      </w:r>
      <w:proofErr w:type="spellStart"/>
      <w:r w:rsidRPr="00DA79F1">
        <w:rPr>
          <w:rStyle w:val="CommentReference"/>
          <w:sz w:val="24"/>
          <w:szCs w:val="24"/>
        </w:rPr>
        <w:t>leiomyomatosis</w:t>
      </w:r>
      <w:proofErr w:type="spellEnd"/>
      <w:r w:rsidRPr="00DA79F1">
        <w:rPr>
          <w:rStyle w:val="CommentReference"/>
          <w:sz w:val="24"/>
          <w:szCs w:val="24"/>
        </w:rPr>
        <w:t xml:space="preserve"> and renal cell carcinoma</w:t>
      </w:r>
      <w:r w:rsidR="00590D15" w:rsidRPr="00DA79F1">
        <w:rPr>
          <w:rStyle w:val="CommentReference"/>
          <w:sz w:val="24"/>
          <w:szCs w:val="24"/>
        </w:rPr>
        <w:t xml:space="preserve"> (HLRCC) -</w:t>
      </w:r>
      <w:r w:rsidR="00487680" w:rsidRPr="00DA79F1">
        <w:rPr>
          <w:rStyle w:val="CommentReference"/>
          <w:sz w:val="22"/>
          <w:szCs w:val="22"/>
        </w:rPr>
        <w:t xml:space="preserve"> Type 2 Papillary re</w:t>
      </w:r>
      <w:r w:rsidR="004C204F" w:rsidRPr="00DA79F1">
        <w:rPr>
          <w:rStyle w:val="CommentReference"/>
          <w:sz w:val="22"/>
          <w:szCs w:val="22"/>
        </w:rPr>
        <w:t>n</w:t>
      </w:r>
      <w:r w:rsidR="00487680" w:rsidRPr="00DA79F1">
        <w:rPr>
          <w:rStyle w:val="CommentReference"/>
          <w:sz w:val="22"/>
          <w:szCs w:val="22"/>
        </w:rPr>
        <w:t xml:space="preserve">al </w:t>
      </w:r>
      <w:r w:rsidR="004C204F" w:rsidRPr="00DA79F1">
        <w:rPr>
          <w:rStyle w:val="CommentReference"/>
          <w:sz w:val="22"/>
          <w:szCs w:val="22"/>
        </w:rPr>
        <w:t>c</w:t>
      </w:r>
      <w:r w:rsidR="00487680" w:rsidRPr="00DA79F1">
        <w:rPr>
          <w:rStyle w:val="CommentReference"/>
          <w:sz w:val="22"/>
          <w:szCs w:val="22"/>
        </w:rPr>
        <w:t>arcinoma</w:t>
      </w:r>
    </w:p>
    <w:p w14:paraId="58D57738" w14:textId="53EA8F71" w:rsidR="00C5307B" w:rsidRPr="005D2196" w:rsidRDefault="00122CD1" w:rsidP="005D2196">
      <w:r w:rsidRPr="005D2196">
        <w:t xml:space="preserve">Hereditary </w:t>
      </w:r>
      <w:proofErr w:type="spellStart"/>
      <w:r w:rsidRPr="005D2196">
        <w:t>leiomyomatosis</w:t>
      </w:r>
      <w:proofErr w:type="spellEnd"/>
      <w:r w:rsidRPr="005D2196">
        <w:t xml:space="preserve"> RCC (HLRCC) is a hereditary cancer syndrome in which affected individuals are at risk for the development of cutaneous and uterine leiomyoma and an aggressive form of type 2 papillary renal carcinoma. The gene for HLRCC has been found to be the Krebs cycle enzyme fumarate hydratase (</w:t>
      </w:r>
      <w:r w:rsidRPr="00FB0DA5">
        <w:rPr>
          <w:i/>
          <w:iCs w:val="0"/>
        </w:rPr>
        <w:t>FH</w:t>
      </w:r>
      <w:r w:rsidRPr="005D2196">
        <w:t>).</w:t>
      </w:r>
    </w:p>
    <w:p w14:paraId="09516904" w14:textId="2A930F10" w:rsidR="00122CD1" w:rsidRPr="005D2196" w:rsidRDefault="00122CD1" w:rsidP="005D2196">
      <w:r w:rsidRPr="005D2196">
        <w:t>The type 2 papillary kidney cancer found in HLRCC patients is a particularly aggressive form of renal carcinoma, i</w:t>
      </w:r>
      <w:r w:rsidR="003D10C3" w:rsidRPr="005D2196">
        <w:t>.</w:t>
      </w:r>
      <w:r w:rsidRPr="005D2196">
        <w:t>e</w:t>
      </w:r>
      <w:r w:rsidR="003D10C3" w:rsidRPr="005D2196">
        <w:t>.</w:t>
      </w:r>
      <w:r w:rsidRPr="005D2196">
        <w:t xml:space="preserve"> it can metastasi</w:t>
      </w:r>
      <w:r w:rsidR="00406C47" w:rsidRPr="005D2196">
        <w:t>s</w:t>
      </w:r>
      <w:r w:rsidRPr="005D2196">
        <w:t>e early and is often fatal.</w:t>
      </w:r>
    </w:p>
    <w:p w14:paraId="3ADC588E" w14:textId="641A42B8" w:rsidR="00C5307B" w:rsidRPr="005D2196" w:rsidRDefault="00406C47" w:rsidP="005D2196">
      <w:r w:rsidRPr="005D2196">
        <w:t>HLRCC is a rare condition that has been reported in approximately 300 families worldwide. Researchers suggest that it may be underdiagnosed</w:t>
      </w:r>
      <w:r w:rsidR="003D10C3" w:rsidRPr="005D2196">
        <w:t xml:space="preserve"> </w:t>
      </w:r>
      <w:r w:rsidRPr="005D2196">
        <w:t>(</w:t>
      </w:r>
      <w:proofErr w:type="spellStart"/>
      <w:r w:rsidRPr="005D2196">
        <w:t>Medlineplus</w:t>
      </w:r>
      <w:proofErr w:type="spellEnd"/>
      <w:r w:rsidRPr="005D2196">
        <w:t>, HLRCC)</w:t>
      </w:r>
      <w:r w:rsidR="00B33C65" w:rsidRPr="005D2196">
        <w:t>.</w:t>
      </w:r>
    </w:p>
    <w:p w14:paraId="11386EC0" w14:textId="5D09CBAB" w:rsidR="00C5307B" w:rsidRPr="00DA79F1" w:rsidRDefault="00C5307B" w:rsidP="00135F3D">
      <w:pPr>
        <w:pStyle w:val="Heading5"/>
      </w:pPr>
      <w:r w:rsidRPr="00CC7D3E">
        <w:rPr>
          <w:rStyle w:val="CommentReference"/>
          <w:i/>
          <w:sz w:val="24"/>
        </w:rPr>
        <w:t>BAP1</w:t>
      </w:r>
      <w:r w:rsidRPr="00DA79F1">
        <w:rPr>
          <w:rStyle w:val="CommentReference"/>
          <w:sz w:val="24"/>
          <w:szCs w:val="24"/>
        </w:rPr>
        <w:t xml:space="preserve"> tumour pre-disposition syndrome</w:t>
      </w:r>
    </w:p>
    <w:p w14:paraId="4BC0BD4C" w14:textId="2776AF4D" w:rsidR="006750EC" w:rsidRPr="005D2196" w:rsidRDefault="002C271A" w:rsidP="005D2196">
      <w:r w:rsidRPr="00FB0DA5">
        <w:rPr>
          <w:i/>
          <w:iCs w:val="0"/>
        </w:rPr>
        <w:t>BAP1</w:t>
      </w:r>
      <w:r w:rsidRPr="005D2196">
        <w:t xml:space="preserve"> </w:t>
      </w:r>
      <w:r w:rsidR="00CC5C4A" w:rsidRPr="005D2196">
        <w:t>tumour</w:t>
      </w:r>
      <w:r w:rsidRPr="005D2196">
        <w:t xml:space="preserve"> predisposition syndrome (</w:t>
      </w:r>
      <w:r w:rsidRPr="00FB0DA5">
        <w:rPr>
          <w:i/>
          <w:iCs w:val="0"/>
        </w:rPr>
        <w:t>BAP1-</w:t>
      </w:r>
      <w:r w:rsidRPr="00CC7D3E">
        <w:t>TPDS</w:t>
      </w:r>
      <w:r w:rsidRPr="005D2196">
        <w:t xml:space="preserve">) is associated with an increased risk for a specific skin lesion, </w:t>
      </w:r>
      <w:r w:rsidRPr="00CC7D3E">
        <w:rPr>
          <w:i/>
        </w:rPr>
        <w:t>BAP1</w:t>
      </w:r>
      <w:r w:rsidRPr="005D2196">
        <w:t xml:space="preserve">-inactivated melanocytic </w:t>
      </w:r>
      <w:r w:rsidR="00CC5C4A" w:rsidRPr="005D2196">
        <w:t>tumours</w:t>
      </w:r>
      <w:r w:rsidRPr="005D2196">
        <w:t xml:space="preserve"> (BIMT; formerly called atypical Spitz </w:t>
      </w:r>
      <w:r w:rsidR="00CC5C4A" w:rsidRPr="005D2196">
        <w:t>tumours</w:t>
      </w:r>
      <w:r w:rsidRPr="005D2196">
        <w:t>), and the following cancers, in descending order of frequency: uveal (eye) melanoma (UM), malignant mesothelioma (</w:t>
      </w:r>
      <w:proofErr w:type="spellStart"/>
      <w:r w:rsidRPr="005D2196">
        <w:t>MMe</w:t>
      </w:r>
      <w:proofErr w:type="spellEnd"/>
      <w:r w:rsidRPr="005D2196">
        <w:t xml:space="preserve">), cutaneous melanoma (CM), renal cell carcinoma (RCC), and basal cell carcinoma (BCC) </w:t>
      </w:r>
      <w:r w:rsidR="00F60059" w:rsidRPr="005D2196">
        <w:t>(</w:t>
      </w:r>
      <w:proofErr w:type="spellStart"/>
      <w:r w:rsidR="00F60059" w:rsidRPr="005D2196">
        <w:t>Pilarksi</w:t>
      </w:r>
      <w:proofErr w:type="spellEnd"/>
      <w:r w:rsidR="00F60059" w:rsidRPr="005D2196">
        <w:t xml:space="preserve"> 2016)</w:t>
      </w:r>
      <w:r w:rsidR="00B33C65" w:rsidRPr="005D2196">
        <w:t>.</w:t>
      </w:r>
      <w:r w:rsidR="00F60059" w:rsidRPr="005D2196">
        <w:t xml:space="preserve"> </w:t>
      </w:r>
      <w:r w:rsidRPr="005D2196">
        <w:t xml:space="preserve">Hepatocellular carcinoma, cholangiocarcinoma, and meningioma may also be associated with </w:t>
      </w:r>
      <w:r w:rsidRPr="00E70DE3">
        <w:rPr>
          <w:i/>
          <w:iCs w:val="0"/>
        </w:rPr>
        <w:t>BAP1</w:t>
      </w:r>
      <w:r w:rsidRPr="005D2196">
        <w:t>-</w:t>
      </w:r>
      <w:r w:rsidRPr="005D2196">
        <w:lastRenderedPageBreak/>
        <w:t>TPDS. Affected individuals can have more than one type of primary cancer</w:t>
      </w:r>
      <w:r w:rsidR="00F60059" w:rsidRPr="005D2196">
        <w:t xml:space="preserve"> (</w:t>
      </w:r>
      <w:proofErr w:type="spellStart"/>
      <w:r w:rsidR="00F60059" w:rsidRPr="005D2196">
        <w:t>Pilarksi</w:t>
      </w:r>
      <w:proofErr w:type="spellEnd"/>
      <w:r w:rsidR="00F60059" w:rsidRPr="005D2196">
        <w:t xml:space="preserve"> 2016)</w:t>
      </w:r>
      <w:r w:rsidRPr="005D2196">
        <w:t xml:space="preserve">. In general, the median age of onset of these </w:t>
      </w:r>
      <w:r w:rsidR="00CC5C4A" w:rsidRPr="005D2196">
        <w:t>tumours</w:t>
      </w:r>
      <w:r w:rsidRPr="005D2196">
        <w:t xml:space="preserve"> is younger than in the general population.</w:t>
      </w:r>
    </w:p>
    <w:p w14:paraId="5FE90987" w14:textId="0EFA259E" w:rsidR="00C5307B" w:rsidRPr="005D2196" w:rsidRDefault="002C271A" w:rsidP="005D2196">
      <w:r w:rsidRPr="005D2196">
        <w:t xml:space="preserve">Due to the limited number of families reported to date, the penetrance, natural history, and frequencies of </w:t>
      </w:r>
      <w:r w:rsidRPr="00FB0DA5">
        <w:rPr>
          <w:i/>
          <w:iCs w:val="0"/>
        </w:rPr>
        <w:t>BAP1</w:t>
      </w:r>
      <w:r w:rsidRPr="005D2196">
        <w:t xml:space="preserve">-associated </w:t>
      </w:r>
      <w:r w:rsidR="00CC5C4A" w:rsidRPr="005D2196">
        <w:t>tumours</w:t>
      </w:r>
      <w:r w:rsidRPr="005D2196">
        <w:t xml:space="preserve"> are yet to be determined (</w:t>
      </w:r>
      <w:proofErr w:type="spellStart"/>
      <w:r w:rsidRPr="005D2196">
        <w:t>Pilar</w:t>
      </w:r>
      <w:r w:rsidR="00A55E53">
        <w:t>s</w:t>
      </w:r>
      <w:r w:rsidRPr="005D2196">
        <w:t>ki</w:t>
      </w:r>
      <w:proofErr w:type="spellEnd"/>
      <w:r w:rsidRPr="005D2196">
        <w:t xml:space="preserve"> 2016)</w:t>
      </w:r>
      <w:r w:rsidR="00F60059" w:rsidRPr="005D2196">
        <w:t>.</w:t>
      </w:r>
    </w:p>
    <w:p w14:paraId="153CA6D2" w14:textId="637F3544" w:rsidR="00F60059" w:rsidRPr="005D2196" w:rsidRDefault="00F60059" w:rsidP="005D2196">
      <w:r w:rsidRPr="005D2196">
        <w:t xml:space="preserve">Heterozygous </w:t>
      </w:r>
      <w:r w:rsidRPr="00FB0DA5">
        <w:rPr>
          <w:i/>
          <w:iCs w:val="0"/>
        </w:rPr>
        <w:t>BAP1</w:t>
      </w:r>
      <w:r w:rsidRPr="005D2196">
        <w:t xml:space="preserve"> germline pathogenic variants are specifically associated with an increased risk for RCC, in particular those with clear cell morphology </w:t>
      </w:r>
      <w:r w:rsidR="006750EC" w:rsidRPr="005D2196">
        <w:t>(</w:t>
      </w:r>
      <w:r w:rsidRPr="005D2196">
        <w:t>Haas &amp; Nathanson 2014</w:t>
      </w:r>
      <w:r w:rsidR="001D7DDE" w:rsidRPr="005D2196">
        <w:t xml:space="preserve"> cited in </w:t>
      </w:r>
      <w:proofErr w:type="spellStart"/>
      <w:r w:rsidR="001D7DDE" w:rsidRPr="005D2196">
        <w:t>Pilarski</w:t>
      </w:r>
      <w:proofErr w:type="spellEnd"/>
      <w:r w:rsidR="001D7DDE" w:rsidRPr="005D2196">
        <w:t xml:space="preserve"> 2016</w:t>
      </w:r>
      <w:r w:rsidR="006750EC" w:rsidRPr="005D2196">
        <w:t>)</w:t>
      </w:r>
      <w:r w:rsidRPr="005D2196">
        <w:t xml:space="preserve">. Median age of RCC diagnosis appears to be younger in persons with </w:t>
      </w:r>
      <w:r w:rsidRPr="00FB0DA5">
        <w:rPr>
          <w:i/>
          <w:iCs w:val="0"/>
        </w:rPr>
        <w:t>BAP1</w:t>
      </w:r>
      <w:r w:rsidRPr="005D2196">
        <w:t>-TPDS than in the general population (47-50 v</w:t>
      </w:r>
      <w:r w:rsidR="00497025" w:rsidRPr="005D2196">
        <w:t>ersu</w:t>
      </w:r>
      <w:r w:rsidRPr="005D2196">
        <w:t xml:space="preserve">s 64 years), and length of survival is decreased in persons with </w:t>
      </w:r>
      <w:r w:rsidRPr="00FB0DA5">
        <w:rPr>
          <w:i/>
          <w:iCs w:val="0"/>
        </w:rPr>
        <w:t>BAP1</w:t>
      </w:r>
      <w:r w:rsidRPr="005D2196">
        <w:t xml:space="preserve">-related RCC </w:t>
      </w:r>
      <w:r w:rsidR="006750EC" w:rsidRPr="005D2196">
        <w:t>(</w:t>
      </w:r>
      <w:r w:rsidRPr="005D2196">
        <w:t>Rai 2016</w:t>
      </w:r>
      <w:r w:rsidR="006750EC" w:rsidRPr="005D2196">
        <w:t xml:space="preserve"> cited in </w:t>
      </w:r>
      <w:proofErr w:type="spellStart"/>
      <w:r w:rsidR="006750EC" w:rsidRPr="005D2196">
        <w:t>Pilarski</w:t>
      </w:r>
      <w:proofErr w:type="spellEnd"/>
      <w:r w:rsidR="006750EC" w:rsidRPr="005D2196">
        <w:t xml:space="preserve"> 2016</w:t>
      </w:r>
      <w:r w:rsidR="00B33C65" w:rsidRPr="005D2196">
        <w:t>)</w:t>
      </w:r>
      <w:r w:rsidRPr="005D2196">
        <w:t xml:space="preserve">. Histology of these </w:t>
      </w:r>
      <w:r w:rsidR="00CC5C4A" w:rsidRPr="005D2196">
        <w:t>tumours</w:t>
      </w:r>
      <w:r w:rsidRPr="005D2196">
        <w:t xml:space="preserve"> is distinct from </w:t>
      </w:r>
      <w:r w:rsidR="00CC5C4A" w:rsidRPr="005D2196">
        <w:t>tumours</w:t>
      </w:r>
      <w:r w:rsidRPr="005D2196">
        <w:t xml:space="preserve"> not associated with pathogenic variants in </w:t>
      </w:r>
      <w:r w:rsidRPr="00FB0DA5">
        <w:rPr>
          <w:i/>
          <w:iCs w:val="0"/>
        </w:rPr>
        <w:t>BAP1</w:t>
      </w:r>
      <w:r w:rsidRPr="005D2196">
        <w:t xml:space="preserve">, with higher grade at diagnosis and lack of somatic </w:t>
      </w:r>
      <w:r w:rsidRPr="00FB0DA5">
        <w:rPr>
          <w:i/>
          <w:iCs w:val="0"/>
        </w:rPr>
        <w:t>PBRM1</w:t>
      </w:r>
      <w:r w:rsidRPr="005D2196">
        <w:t xml:space="preserve"> pathogenic variants (which are common in RCC not associated with pathogenic variants in </w:t>
      </w:r>
      <w:r w:rsidRPr="00FB0DA5">
        <w:rPr>
          <w:i/>
          <w:iCs w:val="0"/>
        </w:rPr>
        <w:t>BAP1)</w:t>
      </w:r>
      <w:r w:rsidRPr="005D2196">
        <w:t xml:space="preserve"> </w:t>
      </w:r>
      <w:r w:rsidR="006750EC" w:rsidRPr="005D2196">
        <w:t>(</w:t>
      </w:r>
      <w:r w:rsidRPr="005D2196">
        <w:t>Peña-</w:t>
      </w:r>
      <w:proofErr w:type="spellStart"/>
      <w:r w:rsidRPr="005D2196">
        <w:t>Llopis</w:t>
      </w:r>
      <w:proofErr w:type="spellEnd"/>
      <w:r w:rsidRPr="005D2196">
        <w:t xml:space="preserve"> 2012</w:t>
      </w:r>
      <w:r w:rsidR="006750EC" w:rsidRPr="005D2196">
        <w:t xml:space="preserve"> cited in </w:t>
      </w:r>
      <w:proofErr w:type="spellStart"/>
      <w:r w:rsidR="006750EC" w:rsidRPr="005D2196">
        <w:t>Pilarski</w:t>
      </w:r>
      <w:proofErr w:type="spellEnd"/>
      <w:r w:rsidR="006750EC" w:rsidRPr="005D2196">
        <w:t xml:space="preserve"> 2016)</w:t>
      </w:r>
      <w:r w:rsidRPr="005D2196">
        <w:t>.</w:t>
      </w:r>
    </w:p>
    <w:p w14:paraId="7FF88929" w14:textId="3106EA80" w:rsidR="00C5307B" w:rsidRPr="00DA79F1" w:rsidRDefault="00406C47" w:rsidP="00135F3D">
      <w:pPr>
        <w:pStyle w:val="Heading5"/>
        <w:rPr>
          <w:rStyle w:val="CommentReference"/>
          <w:sz w:val="24"/>
          <w:szCs w:val="24"/>
        </w:rPr>
      </w:pPr>
      <w:r w:rsidRPr="00DA79F1">
        <w:rPr>
          <w:rStyle w:val="CommentReference"/>
          <w:sz w:val="24"/>
          <w:szCs w:val="24"/>
        </w:rPr>
        <w:t>Paragangliomas</w:t>
      </w:r>
      <w:r w:rsidR="003A2751">
        <w:rPr>
          <w:rStyle w:val="CommentReference"/>
          <w:sz w:val="24"/>
          <w:szCs w:val="24"/>
        </w:rPr>
        <w:t xml:space="preserve"> &amp; phaeoc</w:t>
      </w:r>
      <w:r w:rsidR="007C2015">
        <w:rPr>
          <w:rStyle w:val="CommentReference"/>
          <w:sz w:val="24"/>
          <w:szCs w:val="24"/>
        </w:rPr>
        <w:t>hromocytomas</w:t>
      </w:r>
      <w:r w:rsidRPr="00DA79F1">
        <w:rPr>
          <w:rStyle w:val="CommentReference"/>
          <w:sz w:val="24"/>
          <w:szCs w:val="24"/>
        </w:rPr>
        <w:t xml:space="preserve"> </w:t>
      </w:r>
    </w:p>
    <w:p w14:paraId="4530FC01" w14:textId="7DD2B839" w:rsidR="00B20BA7" w:rsidRDefault="006C24D7" w:rsidP="005D2196">
      <w:r w:rsidRPr="005D2196">
        <w:t xml:space="preserve">Paragangliomas </w:t>
      </w:r>
      <w:r w:rsidR="00B20BA7">
        <w:t>and ph</w:t>
      </w:r>
      <w:r w:rsidR="003A2751">
        <w:t>a</w:t>
      </w:r>
      <w:r w:rsidR="00B20BA7">
        <w:t xml:space="preserve">eochromocytomas </w:t>
      </w:r>
      <w:r w:rsidRPr="005D2196">
        <w:t>are</w:t>
      </w:r>
      <w:r w:rsidR="00AD4C09">
        <w:t xml:space="preserve"> not renal tumours but are</w:t>
      </w:r>
      <w:r w:rsidRPr="005D2196">
        <w:t xml:space="preserve"> rare neuroendocrine </w:t>
      </w:r>
      <w:r w:rsidR="00CC5C4A" w:rsidRPr="005D2196">
        <w:t>tumours</w:t>
      </w:r>
      <w:r w:rsidR="00B20BA7">
        <w:t>. However, the syndromes described below are associated with an increased risk of renal tumours as well as paragangliomas or pheochromocytomas.</w:t>
      </w:r>
    </w:p>
    <w:p w14:paraId="4BBF2E02" w14:textId="2D81D758" w:rsidR="006C24D7" w:rsidRPr="005D2196" w:rsidRDefault="00B20BA7" w:rsidP="005D2196">
      <w:proofErr w:type="spellStart"/>
      <w:r>
        <w:t>Ph</w:t>
      </w:r>
      <w:r w:rsidR="007C2015">
        <w:t>a</w:t>
      </w:r>
      <w:r>
        <w:t>eochromcytomas</w:t>
      </w:r>
      <w:proofErr w:type="spellEnd"/>
      <w:r>
        <w:t xml:space="preserve"> are tumours of the adrenal medulla, whereas paragangliomas</w:t>
      </w:r>
      <w:r w:rsidRPr="005D2196">
        <w:t xml:space="preserve"> </w:t>
      </w:r>
      <w:r w:rsidR="006C24D7" w:rsidRPr="005D2196">
        <w:t>arise from the extra-adrenal autonomic paraganglia, small organs consisting mainly of neuroendocrine cells that are derived from the embryonic neural crest and</w:t>
      </w:r>
      <w:r>
        <w:t>, like ph</w:t>
      </w:r>
      <w:r w:rsidR="007C2015">
        <w:t>a</w:t>
      </w:r>
      <w:r>
        <w:t>eochromocytomas,</w:t>
      </w:r>
      <w:r w:rsidR="006C24D7" w:rsidRPr="005D2196">
        <w:t xml:space="preserve"> have the ability to secrete catecholamines (Young 2022). The majority of paragangliomas </w:t>
      </w:r>
      <w:r w:rsidR="001D7DDE" w:rsidRPr="005D2196">
        <w:t>arise</w:t>
      </w:r>
      <w:r w:rsidR="006C24D7" w:rsidRPr="005D2196">
        <w:t xml:space="preserve"> within the skull base and neck region</w:t>
      </w:r>
      <w:r w:rsidR="001D7DDE" w:rsidRPr="005D2196">
        <w:t>.</w:t>
      </w:r>
    </w:p>
    <w:p w14:paraId="7331CC97" w14:textId="11B25442" w:rsidR="003C0629" w:rsidRPr="005D2196" w:rsidRDefault="006C24D7" w:rsidP="005D2196">
      <w:r w:rsidRPr="005D2196">
        <w:t xml:space="preserve">The molecular pathogenesis of both sporadic and hereditary </w:t>
      </w:r>
      <w:r w:rsidR="00FD004D">
        <w:t>ph</w:t>
      </w:r>
      <w:r w:rsidR="007C2015">
        <w:t>a</w:t>
      </w:r>
      <w:r w:rsidR="00FD004D">
        <w:t xml:space="preserve">eochromocytoma and </w:t>
      </w:r>
      <w:r w:rsidRPr="005D2196">
        <w:t xml:space="preserve">paraganglioma is incompletely understood. </w:t>
      </w:r>
      <w:r w:rsidR="003C0629" w:rsidRPr="005D2196">
        <w:t>T</w:t>
      </w:r>
      <w:r w:rsidRPr="005D2196">
        <w:t>he majority of hereditary paragangliomas, particularly those arising in the skull base and neck, have been linked to pathogenic variants in the genes encoding different subunits of the succinate dehydrogenase (SDH) enzyme complex</w:t>
      </w:r>
      <w:r w:rsidR="003C0629" w:rsidRPr="005D2196">
        <w:t xml:space="preserve"> (Young 2022)</w:t>
      </w:r>
      <w:r w:rsidRPr="005D2196">
        <w:t xml:space="preserve">. </w:t>
      </w:r>
    </w:p>
    <w:p w14:paraId="1F265DBD" w14:textId="01572293" w:rsidR="003C0629" w:rsidRPr="005D2196" w:rsidRDefault="006C24D7" w:rsidP="005D2196">
      <w:r w:rsidRPr="005D2196">
        <w:t>In addition, susceptibility to ph</w:t>
      </w:r>
      <w:r w:rsidR="007C2015">
        <w:t>a</w:t>
      </w:r>
      <w:r w:rsidRPr="005D2196">
        <w:t>eochromocytomas and paragangliomas is an established component of four genetic syndromes: multiple endocrine neoplasia types 2A and 2B (</w:t>
      </w:r>
      <w:r w:rsidRPr="001765B9">
        <w:t>MEN2</w:t>
      </w:r>
      <w:r w:rsidRPr="005D2196">
        <w:t>), neurofibromatosis type 1 (</w:t>
      </w:r>
      <w:r w:rsidRPr="001765B9">
        <w:t>NF1</w:t>
      </w:r>
      <w:r w:rsidRPr="005D2196">
        <w:t>), von Hippel Lindau (</w:t>
      </w:r>
      <w:r w:rsidRPr="001765B9">
        <w:t>VHL</w:t>
      </w:r>
      <w:r w:rsidRPr="005D2196">
        <w:t>), and the Carney-</w:t>
      </w:r>
      <w:proofErr w:type="spellStart"/>
      <w:r w:rsidRPr="005D2196">
        <w:t>Stratakis</w:t>
      </w:r>
      <w:proofErr w:type="spellEnd"/>
      <w:r w:rsidRPr="005D2196">
        <w:t xml:space="preserve"> dyad.</w:t>
      </w:r>
    </w:p>
    <w:p w14:paraId="0FA920F3" w14:textId="610F206A" w:rsidR="006C24D7" w:rsidRPr="005D2196" w:rsidRDefault="006C24D7" w:rsidP="005D2196">
      <w:r w:rsidRPr="005D2196">
        <w:t xml:space="preserve">Most cases of hereditary paraganglioma are accounted for by pathogenic variants in </w:t>
      </w:r>
      <w:r w:rsidRPr="005D2196">
        <w:rPr>
          <w:i/>
        </w:rPr>
        <w:t>SDHD</w:t>
      </w:r>
      <w:r w:rsidRPr="005D2196">
        <w:t xml:space="preserve">, </w:t>
      </w:r>
      <w:r w:rsidRPr="005D2196">
        <w:rPr>
          <w:i/>
        </w:rPr>
        <w:t>SDHB</w:t>
      </w:r>
      <w:r w:rsidRPr="005D2196">
        <w:t xml:space="preserve">, and </w:t>
      </w:r>
      <w:r w:rsidRPr="005D2196">
        <w:rPr>
          <w:i/>
        </w:rPr>
        <w:t>SDHC</w:t>
      </w:r>
      <w:r w:rsidRPr="005D2196">
        <w:t xml:space="preserve">, </w:t>
      </w:r>
      <w:r w:rsidRPr="005D2196">
        <w:rPr>
          <w:i/>
        </w:rPr>
        <w:t>VHL</w:t>
      </w:r>
      <w:r w:rsidRPr="005D2196">
        <w:t xml:space="preserve">, and </w:t>
      </w:r>
      <w:r w:rsidRPr="005D2196">
        <w:rPr>
          <w:i/>
        </w:rPr>
        <w:t>NF1</w:t>
      </w:r>
      <w:r w:rsidRPr="005D2196">
        <w:t xml:space="preserve"> (Neumann cited in Young 2022)</w:t>
      </w:r>
      <w:r w:rsidR="007C0CF1" w:rsidRPr="005D2196">
        <w:t>.</w:t>
      </w:r>
    </w:p>
    <w:p w14:paraId="42106ACE" w14:textId="09059BAC" w:rsidR="006C24D7" w:rsidRPr="00DA79F1" w:rsidRDefault="006C24D7" w:rsidP="005D2196">
      <w:r w:rsidRPr="006C24D7">
        <w:t>Paraganglioma syndrome 4 (PGL4) is associated with pathogenic variants in</w:t>
      </w:r>
      <w:r w:rsidRPr="006C24D7">
        <w:rPr>
          <w:i/>
        </w:rPr>
        <w:t xml:space="preserve"> SDHB</w:t>
      </w:r>
      <w:r w:rsidRPr="006C24D7">
        <w:t xml:space="preserve"> at gene locus 1p36.1-35 and is the second most</w:t>
      </w:r>
      <w:r w:rsidRPr="006C24D7">
        <w:rPr>
          <w:i/>
        </w:rPr>
        <w:t xml:space="preserve"> </w:t>
      </w:r>
      <w:r w:rsidRPr="006C24D7">
        <w:t xml:space="preserve">common type of familial paraganglioma. </w:t>
      </w:r>
      <w:r w:rsidRPr="006C24D7">
        <w:rPr>
          <w:i/>
        </w:rPr>
        <w:t>SDHB</w:t>
      </w:r>
      <w:r w:rsidRPr="006C24D7">
        <w:t xml:space="preserve"> pathogenic variants are also associated with renal cell carcinoma</w:t>
      </w:r>
      <w:r w:rsidR="003C0629" w:rsidRPr="00DA79F1">
        <w:t xml:space="preserve"> (Young 2022).</w:t>
      </w:r>
    </w:p>
    <w:p w14:paraId="1DAD02AC" w14:textId="06D61688" w:rsidR="006C24D7" w:rsidRPr="00DA79F1" w:rsidRDefault="00406C47" w:rsidP="005D2196">
      <w:r w:rsidRPr="00DA79F1">
        <w:t>Hereditary paraganglioma-ph</w:t>
      </w:r>
      <w:r w:rsidR="007C2015">
        <w:t>a</w:t>
      </w:r>
      <w:r w:rsidRPr="00DA79F1">
        <w:t xml:space="preserve">eochromocytoma </w:t>
      </w:r>
      <w:r w:rsidR="003C0629" w:rsidRPr="00DA79F1">
        <w:t xml:space="preserve">syndrome (HPPS) </w:t>
      </w:r>
      <w:r w:rsidRPr="00DA79F1">
        <w:t>occurs in approximately 1 in 1 million people (</w:t>
      </w:r>
      <w:proofErr w:type="spellStart"/>
      <w:r w:rsidRPr="00DA79F1">
        <w:t>Medlineplus</w:t>
      </w:r>
      <w:proofErr w:type="spellEnd"/>
      <w:r w:rsidRPr="00DA79F1">
        <w:t xml:space="preserve"> HPPS)</w:t>
      </w:r>
      <w:r w:rsidR="007C0CF1">
        <w:t>.</w:t>
      </w:r>
    </w:p>
    <w:p w14:paraId="51ADC99B" w14:textId="6DFA6FB7" w:rsidR="00C5307B" w:rsidRPr="00DA79F1" w:rsidRDefault="00C5307B" w:rsidP="00135F3D">
      <w:pPr>
        <w:pStyle w:val="Heading5"/>
      </w:pPr>
      <w:r w:rsidRPr="00DA79F1">
        <w:t>Cowden syndrome</w:t>
      </w:r>
    </w:p>
    <w:p w14:paraId="44DC743B" w14:textId="0E79CB33" w:rsidR="00CD6022" w:rsidRPr="00DA79F1" w:rsidRDefault="00644725" w:rsidP="002267DC">
      <w:pPr>
        <w:autoSpaceDE w:val="0"/>
        <w:autoSpaceDN w:val="0"/>
        <w:adjustRightInd w:val="0"/>
        <w:spacing w:after="0" w:line="240" w:lineRule="auto"/>
      </w:pPr>
      <w:r w:rsidRPr="00DA79F1">
        <w:t xml:space="preserve">Cowden syndrome (CS) is an autosomal dominant hereditary cancer syndrome </w:t>
      </w:r>
      <w:r w:rsidR="00836D51">
        <w:t>associated with</w:t>
      </w:r>
      <w:r w:rsidR="00836D51" w:rsidRPr="00DA79F1">
        <w:t xml:space="preserve"> </w:t>
      </w:r>
      <w:r w:rsidRPr="00DA79F1">
        <w:t xml:space="preserve">increased risk </w:t>
      </w:r>
      <w:r w:rsidR="00836D51">
        <w:t>of</w:t>
      </w:r>
      <w:r w:rsidR="00836D51" w:rsidRPr="00DA79F1">
        <w:t xml:space="preserve"> </w:t>
      </w:r>
      <w:r w:rsidRPr="00DA79F1">
        <w:t>breast, thyroid, renal, uterine, and other cancers as well as benign neoplas</w:t>
      </w:r>
      <w:r w:rsidR="00FD004D">
        <w:t>ms</w:t>
      </w:r>
      <w:r w:rsidRPr="00DA79F1">
        <w:t xml:space="preserve"> and neurodevelopmental concerns (</w:t>
      </w:r>
      <w:proofErr w:type="spellStart"/>
      <w:r w:rsidRPr="00DA79F1">
        <w:t>Mester</w:t>
      </w:r>
      <w:proofErr w:type="spellEnd"/>
      <w:r w:rsidRPr="00DA79F1">
        <w:t xml:space="preserve"> &amp; </w:t>
      </w:r>
      <w:proofErr w:type="spellStart"/>
      <w:r w:rsidRPr="00DA79F1">
        <w:t>Eng</w:t>
      </w:r>
      <w:proofErr w:type="spellEnd"/>
      <w:r w:rsidRPr="00DA79F1">
        <w:t xml:space="preserve"> 2015)</w:t>
      </w:r>
      <w:r w:rsidR="00CD6022" w:rsidRPr="00DA79F1">
        <w:t>.</w:t>
      </w:r>
      <w:r w:rsidR="003C0629" w:rsidRPr="00DA79F1">
        <w:t xml:space="preserve"> </w:t>
      </w:r>
      <w:r w:rsidR="00CD6022" w:rsidRPr="00DA79F1">
        <w:t xml:space="preserve">CS is </w:t>
      </w:r>
      <w:r w:rsidR="00FD004D">
        <w:t xml:space="preserve">the most common of the </w:t>
      </w:r>
      <w:r w:rsidR="00FD004D" w:rsidRPr="002267DC">
        <w:rPr>
          <w:rFonts w:asciiTheme="minorHAnsi" w:eastAsiaTheme="minorHAnsi" w:hAnsiTheme="minorHAnsi" w:cstheme="minorHAnsi"/>
          <w:i/>
        </w:rPr>
        <w:t>PTEN</w:t>
      </w:r>
      <w:r w:rsidR="00FD004D" w:rsidRPr="002267DC">
        <w:rPr>
          <w:rFonts w:asciiTheme="minorHAnsi" w:eastAsiaTheme="minorHAnsi" w:hAnsiTheme="minorHAnsi" w:cstheme="minorHAnsi"/>
          <w:iCs w:val="0"/>
        </w:rPr>
        <w:t xml:space="preserve"> (</w:t>
      </w:r>
      <w:r w:rsidR="00FD004D" w:rsidRPr="002267DC">
        <w:rPr>
          <w:rFonts w:asciiTheme="minorHAnsi" w:hAnsiTheme="minorHAnsi" w:cstheme="minorHAnsi"/>
        </w:rPr>
        <w:t xml:space="preserve">phosphatase &amp; </w:t>
      </w:r>
      <w:proofErr w:type="spellStart"/>
      <w:r w:rsidR="00FD004D" w:rsidRPr="002267DC">
        <w:rPr>
          <w:rFonts w:asciiTheme="minorHAnsi" w:hAnsiTheme="minorHAnsi" w:cstheme="minorHAnsi"/>
        </w:rPr>
        <w:lastRenderedPageBreak/>
        <w:t>tensin</w:t>
      </w:r>
      <w:proofErr w:type="spellEnd"/>
      <w:r w:rsidR="00FD004D" w:rsidRPr="002267DC">
        <w:rPr>
          <w:rFonts w:asciiTheme="minorHAnsi" w:hAnsiTheme="minorHAnsi" w:cstheme="minorHAnsi"/>
        </w:rPr>
        <w:t xml:space="preserve"> homologue gene)</w:t>
      </w:r>
      <w:r w:rsidR="00FD004D" w:rsidRPr="002267DC">
        <w:rPr>
          <w:rFonts w:asciiTheme="minorHAnsi" w:eastAsiaTheme="minorHAnsi" w:hAnsiTheme="minorHAnsi" w:cstheme="minorHAnsi"/>
          <w:iCs w:val="0"/>
        </w:rPr>
        <w:t xml:space="preserve"> hamartoma tumour syndrome</w:t>
      </w:r>
      <w:r w:rsidR="00FD004D">
        <w:rPr>
          <w:rFonts w:asciiTheme="minorHAnsi" w:eastAsiaTheme="minorHAnsi" w:hAnsiTheme="minorHAnsi" w:cstheme="minorHAnsi"/>
          <w:iCs w:val="0"/>
        </w:rPr>
        <w:t>s</w:t>
      </w:r>
      <w:r w:rsidR="00FD004D" w:rsidRPr="002267DC">
        <w:rPr>
          <w:rFonts w:asciiTheme="minorHAnsi" w:eastAsiaTheme="minorHAnsi" w:hAnsiTheme="minorHAnsi" w:cstheme="minorHAnsi"/>
          <w:iCs w:val="0"/>
        </w:rPr>
        <w:t xml:space="preserve"> (which include </w:t>
      </w:r>
      <w:proofErr w:type="spellStart"/>
      <w:r w:rsidR="00FD004D" w:rsidRPr="002267DC">
        <w:rPr>
          <w:rFonts w:asciiTheme="minorHAnsi" w:eastAsiaTheme="minorHAnsi" w:hAnsiTheme="minorHAnsi" w:cstheme="minorHAnsi"/>
          <w:iCs w:val="0"/>
        </w:rPr>
        <w:t>Bannayan</w:t>
      </w:r>
      <w:proofErr w:type="spellEnd"/>
      <w:r w:rsidR="00FD004D" w:rsidRPr="002267DC">
        <w:rPr>
          <w:rFonts w:asciiTheme="minorHAnsi" w:eastAsiaTheme="minorHAnsi" w:hAnsiTheme="minorHAnsi" w:cstheme="minorHAnsi"/>
          <w:iCs w:val="0"/>
        </w:rPr>
        <w:t>-Riley-</w:t>
      </w:r>
      <w:proofErr w:type="spellStart"/>
      <w:r w:rsidR="00FD004D" w:rsidRPr="002267DC">
        <w:rPr>
          <w:rFonts w:asciiTheme="minorHAnsi" w:eastAsiaTheme="minorHAnsi" w:hAnsiTheme="minorHAnsi" w:cstheme="minorHAnsi"/>
          <w:iCs w:val="0"/>
        </w:rPr>
        <w:t>Ruvalcaba</w:t>
      </w:r>
      <w:proofErr w:type="spellEnd"/>
      <w:r w:rsidR="00FD004D" w:rsidRPr="002267DC">
        <w:rPr>
          <w:rFonts w:asciiTheme="minorHAnsi" w:eastAsiaTheme="minorHAnsi" w:hAnsiTheme="minorHAnsi" w:cstheme="minorHAnsi"/>
          <w:iCs w:val="0"/>
        </w:rPr>
        <w:t xml:space="preserve"> and Proteus-like syndromes)</w:t>
      </w:r>
      <w:r w:rsidR="00CD6022" w:rsidRPr="00DA79F1">
        <w:t>.</w:t>
      </w:r>
    </w:p>
    <w:p w14:paraId="77434A8D" w14:textId="03CD9107" w:rsidR="00AC5741" w:rsidRPr="00DA79F1" w:rsidRDefault="00AC5741" w:rsidP="00CC7D3E">
      <w:pPr>
        <w:keepNext/>
      </w:pPr>
      <w:r w:rsidRPr="00DA79F1">
        <w:fldChar w:fldCharType="begin"/>
      </w:r>
      <w:r w:rsidRPr="00DA79F1">
        <w:instrText xml:space="preserve"> REF _Ref97045230 \h  \* MERGEFORMAT </w:instrText>
      </w:r>
      <w:r w:rsidRPr="00DA79F1">
        <w:fldChar w:fldCharType="separate"/>
      </w:r>
      <w:r w:rsidR="0069673F" w:rsidRPr="0069673F">
        <w:t>Table 8</w:t>
      </w:r>
      <w:r w:rsidRPr="00DA79F1">
        <w:fldChar w:fldCharType="end"/>
      </w:r>
      <w:r w:rsidRPr="00DA79F1">
        <w:t xml:space="preserve"> presents the lifetime risk of cancer/tumour in </w:t>
      </w:r>
      <w:r w:rsidR="00CC5C4A" w:rsidRPr="00DA79F1">
        <w:t>Cowden</w:t>
      </w:r>
      <w:r w:rsidRPr="00DA79F1">
        <w:t xml:space="preserve"> syndrome patients estimated in the </w:t>
      </w:r>
      <w:proofErr w:type="spellStart"/>
      <w:r w:rsidR="0040668D">
        <w:t>evi</w:t>
      </w:r>
      <w:r w:rsidRPr="00DA79F1">
        <w:t>Q</w:t>
      </w:r>
      <w:proofErr w:type="spellEnd"/>
      <w:r w:rsidRPr="00DA79F1">
        <w:t xml:space="preserve"> risk management guidelines.</w:t>
      </w:r>
    </w:p>
    <w:p w14:paraId="2176D5D8" w14:textId="6F7C78DE" w:rsidR="005221B8" w:rsidRPr="00FB0DA5" w:rsidRDefault="000C022D" w:rsidP="00CC7D3E">
      <w:pPr>
        <w:keepNext/>
        <w:spacing w:after="0" w:line="240" w:lineRule="auto"/>
        <w:rPr>
          <w:rFonts w:ascii="Arial Narrow" w:hAnsi="Arial Narrow"/>
          <w:b/>
          <w:bCs/>
          <w:sz w:val="20"/>
          <w:szCs w:val="20"/>
        </w:rPr>
      </w:pPr>
      <w:bookmarkStart w:id="10" w:name="_Ref97045230"/>
      <w:r w:rsidRPr="00FB0DA5">
        <w:rPr>
          <w:rFonts w:ascii="Arial Narrow" w:hAnsi="Arial Narrow"/>
          <w:b/>
          <w:bCs/>
          <w:color w:val="000000" w:themeColor="text1"/>
          <w:sz w:val="20"/>
          <w:szCs w:val="20"/>
        </w:rPr>
        <w:t>Table </w:t>
      </w:r>
      <w:r w:rsidRPr="00FB0DA5">
        <w:rPr>
          <w:rFonts w:ascii="Arial Narrow" w:hAnsi="Arial Narrow"/>
          <w:b/>
          <w:bCs/>
          <w:color w:val="000000" w:themeColor="text1"/>
          <w:sz w:val="20"/>
          <w:szCs w:val="20"/>
        </w:rPr>
        <w:fldChar w:fldCharType="begin"/>
      </w:r>
      <w:r w:rsidRPr="00FB0DA5">
        <w:rPr>
          <w:rFonts w:ascii="Arial Narrow" w:hAnsi="Arial Narrow"/>
          <w:b/>
          <w:bCs/>
          <w:color w:val="000000" w:themeColor="text1"/>
          <w:sz w:val="20"/>
          <w:szCs w:val="20"/>
        </w:rPr>
        <w:instrText xml:space="preserve"> SEQ Table \* ARABIC </w:instrText>
      </w:r>
      <w:r w:rsidRPr="00FB0DA5">
        <w:rPr>
          <w:rFonts w:ascii="Arial Narrow" w:hAnsi="Arial Narrow"/>
          <w:b/>
          <w:bCs/>
          <w:color w:val="000000" w:themeColor="text1"/>
          <w:sz w:val="20"/>
          <w:szCs w:val="20"/>
        </w:rPr>
        <w:fldChar w:fldCharType="separate"/>
      </w:r>
      <w:r w:rsidR="0069673F">
        <w:rPr>
          <w:rFonts w:ascii="Arial Narrow" w:hAnsi="Arial Narrow"/>
          <w:b/>
          <w:bCs/>
          <w:noProof/>
          <w:color w:val="000000" w:themeColor="text1"/>
          <w:sz w:val="20"/>
          <w:szCs w:val="20"/>
        </w:rPr>
        <w:t>8</w:t>
      </w:r>
      <w:r w:rsidRPr="00FB0DA5">
        <w:rPr>
          <w:rFonts w:ascii="Arial Narrow" w:hAnsi="Arial Narrow"/>
          <w:b/>
          <w:bCs/>
          <w:color w:val="000000" w:themeColor="text1"/>
          <w:sz w:val="20"/>
          <w:szCs w:val="20"/>
        </w:rPr>
        <w:fldChar w:fldCharType="end"/>
      </w:r>
      <w:bookmarkEnd w:id="10"/>
      <w:r w:rsidR="002E6C8D" w:rsidRPr="00FB0DA5">
        <w:rPr>
          <w:rFonts w:ascii="Arial Narrow" w:hAnsi="Arial Narrow"/>
          <w:b/>
          <w:bCs/>
          <w:color w:val="000000" w:themeColor="text1"/>
          <w:sz w:val="20"/>
          <w:szCs w:val="20"/>
        </w:rPr>
        <w:tab/>
      </w:r>
      <w:r w:rsidR="005221B8" w:rsidRPr="00FB0DA5">
        <w:rPr>
          <w:rFonts w:ascii="Arial Narrow" w:hAnsi="Arial Narrow"/>
          <w:b/>
          <w:bCs/>
          <w:sz w:val="20"/>
          <w:szCs w:val="20"/>
        </w:rPr>
        <w:t>Lifetime risk of cancer/tumour</w:t>
      </w:r>
      <w:r w:rsidR="00150B5F" w:rsidRPr="00FB0DA5">
        <w:rPr>
          <w:rFonts w:ascii="Arial Narrow" w:hAnsi="Arial Narrow"/>
          <w:b/>
          <w:bCs/>
          <w:sz w:val="20"/>
          <w:szCs w:val="20"/>
        </w:rPr>
        <w:t xml:space="preserve"> in PTEN/ Cowden syndrome patients</w:t>
      </w:r>
      <w:r w:rsidR="005221B8" w:rsidRPr="00FB0DA5">
        <w:rPr>
          <w:rFonts w:ascii="Arial Narrow" w:hAnsi="Arial Narrow"/>
          <w:b/>
          <w:bCs/>
          <w:sz w:val="20"/>
          <w:szCs w:val="20"/>
        </w:rPr>
        <w:t xml:space="preserve"> from </w:t>
      </w:r>
      <w:proofErr w:type="spellStart"/>
      <w:r w:rsidR="0040668D" w:rsidRPr="00FB0DA5">
        <w:rPr>
          <w:rFonts w:ascii="Arial Narrow" w:hAnsi="Arial Narrow"/>
          <w:b/>
          <w:bCs/>
          <w:sz w:val="20"/>
          <w:szCs w:val="20"/>
        </w:rPr>
        <w:t>evi</w:t>
      </w:r>
      <w:r w:rsidR="005221B8" w:rsidRPr="00FB0DA5">
        <w:rPr>
          <w:rFonts w:ascii="Arial Narrow" w:hAnsi="Arial Narrow"/>
          <w:b/>
          <w:bCs/>
          <w:sz w:val="20"/>
          <w:szCs w:val="20"/>
        </w:rPr>
        <w:t>Q</w:t>
      </w:r>
      <w:proofErr w:type="spellEnd"/>
      <w:r w:rsidR="00150B5F" w:rsidRPr="00FB0DA5">
        <w:rPr>
          <w:rFonts w:ascii="Arial Narrow" w:hAnsi="Arial Narrow"/>
          <w:b/>
          <w:bCs/>
          <w:sz w:val="20"/>
          <w:szCs w:val="20"/>
        </w:rPr>
        <w:t xml:space="preserve"> Guidelines </w:t>
      </w:r>
    </w:p>
    <w:tbl>
      <w:tblPr>
        <w:tblStyle w:val="TableGrid"/>
        <w:tblW w:w="5003" w:type="pct"/>
        <w:tblInd w:w="-5" w:type="dxa"/>
        <w:tblLook w:val="04A0" w:firstRow="1" w:lastRow="0" w:firstColumn="1" w:lastColumn="0" w:noHBand="0" w:noVBand="1"/>
      </w:tblPr>
      <w:tblGrid>
        <w:gridCol w:w="2410"/>
        <w:gridCol w:w="4112"/>
        <w:gridCol w:w="3055"/>
      </w:tblGrid>
      <w:tr w:rsidR="005221B8" w:rsidRPr="00FB0DA5" w14:paraId="52B09D9C" w14:textId="77777777" w:rsidTr="007C0CF1">
        <w:tc>
          <w:tcPr>
            <w:tcW w:w="1258" w:type="pct"/>
            <w:hideMark/>
          </w:tcPr>
          <w:p w14:paraId="3E136BB2" w14:textId="77777777" w:rsidR="005221B8" w:rsidRPr="00FB0DA5" w:rsidRDefault="005221B8" w:rsidP="00CC7D3E">
            <w:pPr>
              <w:keepNext/>
              <w:spacing w:after="0" w:line="240" w:lineRule="auto"/>
              <w:rPr>
                <w:rFonts w:ascii="Arial Narrow" w:hAnsi="Arial Narrow"/>
                <w:b/>
                <w:bCs/>
                <w:sz w:val="20"/>
                <w:szCs w:val="20"/>
              </w:rPr>
            </w:pPr>
            <w:r w:rsidRPr="00FB0DA5">
              <w:rPr>
                <w:rFonts w:ascii="Arial Narrow" w:hAnsi="Arial Narrow"/>
                <w:b/>
                <w:bCs/>
                <w:sz w:val="20"/>
                <w:szCs w:val="20"/>
              </w:rPr>
              <w:t>Cancer/tumour type</w:t>
            </w:r>
          </w:p>
        </w:tc>
        <w:tc>
          <w:tcPr>
            <w:tcW w:w="2147" w:type="pct"/>
            <w:hideMark/>
          </w:tcPr>
          <w:p w14:paraId="0A175356" w14:textId="0C2ACAE6" w:rsidR="005221B8" w:rsidRPr="00FB0DA5" w:rsidRDefault="005221B8" w:rsidP="00CC7D3E">
            <w:pPr>
              <w:keepNext/>
              <w:spacing w:after="0" w:line="240" w:lineRule="auto"/>
              <w:rPr>
                <w:rFonts w:ascii="Arial Narrow" w:hAnsi="Arial Narrow"/>
                <w:b/>
                <w:bCs/>
                <w:sz w:val="20"/>
                <w:szCs w:val="20"/>
              </w:rPr>
            </w:pPr>
            <w:r w:rsidRPr="00FB0DA5">
              <w:rPr>
                <w:rStyle w:val="Strong"/>
                <w:rFonts w:ascii="Arial Narrow" w:hAnsi="Arial Narrow"/>
                <w:sz w:val="20"/>
                <w:szCs w:val="20"/>
              </w:rPr>
              <w:t xml:space="preserve">Risk for Cowden syndrome to age 70 </w:t>
            </w:r>
            <w:proofErr w:type="spellStart"/>
            <w:r w:rsidRPr="00FB0DA5">
              <w:rPr>
                <w:rStyle w:val="Strong"/>
                <w:rFonts w:ascii="Arial Narrow" w:hAnsi="Arial Narrow"/>
                <w:sz w:val="20"/>
                <w:szCs w:val="20"/>
              </w:rPr>
              <w:t>years</w:t>
            </w:r>
            <w:r w:rsidR="00D6402A" w:rsidRPr="00FB0DA5">
              <w:rPr>
                <w:rStyle w:val="Strong"/>
                <w:rFonts w:ascii="Arial Narrow" w:hAnsi="Arial Narrow"/>
                <w:sz w:val="20"/>
                <w:szCs w:val="20"/>
                <w:vertAlign w:val="superscript"/>
              </w:rPr>
              <w:t>a</w:t>
            </w:r>
            <w:proofErr w:type="spellEnd"/>
          </w:p>
        </w:tc>
        <w:tc>
          <w:tcPr>
            <w:tcW w:w="1595" w:type="pct"/>
            <w:hideMark/>
          </w:tcPr>
          <w:p w14:paraId="3BE4C6EF" w14:textId="77995467" w:rsidR="005221B8" w:rsidRPr="00FB0DA5" w:rsidRDefault="005221B8" w:rsidP="00CC7D3E">
            <w:pPr>
              <w:keepNext/>
              <w:spacing w:after="0" w:line="240" w:lineRule="auto"/>
              <w:rPr>
                <w:rFonts w:ascii="Arial Narrow" w:hAnsi="Arial Narrow"/>
                <w:b/>
                <w:bCs/>
                <w:sz w:val="20"/>
                <w:szCs w:val="20"/>
              </w:rPr>
            </w:pPr>
            <w:r w:rsidRPr="00FB0DA5">
              <w:rPr>
                <w:rFonts w:ascii="Arial Narrow" w:hAnsi="Arial Narrow"/>
                <w:b/>
                <w:bCs/>
                <w:sz w:val="20"/>
                <w:szCs w:val="20"/>
              </w:rPr>
              <w:t xml:space="preserve">General population to age 70 </w:t>
            </w:r>
            <w:proofErr w:type="spellStart"/>
            <w:r w:rsidRPr="00FB0DA5">
              <w:rPr>
                <w:rFonts w:ascii="Arial Narrow" w:hAnsi="Arial Narrow"/>
                <w:b/>
                <w:bCs/>
                <w:sz w:val="20"/>
                <w:szCs w:val="20"/>
              </w:rPr>
              <w:t>years</w:t>
            </w:r>
            <w:r w:rsidR="00150B5F" w:rsidRPr="00FB0DA5">
              <w:rPr>
                <w:rFonts w:ascii="Arial Narrow" w:hAnsi="Arial Narrow"/>
                <w:b/>
                <w:bCs/>
                <w:sz w:val="20"/>
                <w:szCs w:val="20"/>
                <w:vertAlign w:val="superscript"/>
              </w:rPr>
              <w:t>b</w:t>
            </w:r>
            <w:proofErr w:type="spellEnd"/>
          </w:p>
        </w:tc>
      </w:tr>
      <w:tr w:rsidR="005221B8" w:rsidRPr="00FB0DA5" w14:paraId="3FA4DDD7" w14:textId="77777777" w:rsidTr="007C0CF1">
        <w:tc>
          <w:tcPr>
            <w:tcW w:w="1258" w:type="pct"/>
            <w:hideMark/>
          </w:tcPr>
          <w:p w14:paraId="5C9B3AE5" w14:textId="77777777" w:rsidR="005221B8" w:rsidRPr="00FB0DA5" w:rsidRDefault="005221B8" w:rsidP="00CC7D3E">
            <w:pPr>
              <w:keepNext/>
              <w:spacing w:after="0" w:line="240" w:lineRule="auto"/>
              <w:rPr>
                <w:rFonts w:ascii="Arial Narrow" w:hAnsi="Arial Narrow"/>
                <w:sz w:val="20"/>
                <w:szCs w:val="20"/>
              </w:rPr>
            </w:pPr>
            <w:r w:rsidRPr="00FB0DA5">
              <w:rPr>
                <w:rFonts w:ascii="Arial Narrow" w:hAnsi="Arial Narrow"/>
                <w:sz w:val="20"/>
                <w:szCs w:val="20"/>
              </w:rPr>
              <w:t>Breast (female)</w:t>
            </w:r>
          </w:p>
        </w:tc>
        <w:tc>
          <w:tcPr>
            <w:tcW w:w="2147" w:type="pct"/>
            <w:hideMark/>
          </w:tcPr>
          <w:p w14:paraId="4A2F3922" w14:textId="2A13AF89" w:rsidR="005221B8" w:rsidRPr="00FB0DA5" w:rsidRDefault="005221B8" w:rsidP="00CC7D3E">
            <w:pPr>
              <w:keepNext/>
              <w:spacing w:after="0" w:line="240" w:lineRule="auto"/>
              <w:rPr>
                <w:rFonts w:ascii="Arial Narrow" w:hAnsi="Arial Narrow"/>
                <w:sz w:val="20"/>
                <w:szCs w:val="20"/>
              </w:rPr>
            </w:pPr>
            <w:r w:rsidRPr="00FB0DA5">
              <w:rPr>
                <w:rFonts w:ascii="Arial Narrow" w:hAnsi="Arial Narrow"/>
                <w:sz w:val="20"/>
                <w:szCs w:val="20"/>
              </w:rPr>
              <w:t>High (uncertain but greater than 30% lifetime risk)</w:t>
            </w:r>
            <w:r w:rsidR="00D6402A" w:rsidRPr="00FB0DA5">
              <w:rPr>
                <w:rFonts w:ascii="Arial Narrow" w:hAnsi="Arial Narrow"/>
                <w:sz w:val="20"/>
                <w:szCs w:val="20"/>
              </w:rPr>
              <w:t xml:space="preserve"> </w:t>
            </w:r>
          </w:p>
        </w:tc>
        <w:tc>
          <w:tcPr>
            <w:tcW w:w="1595" w:type="pct"/>
            <w:hideMark/>
          </w:tcPr>
          <w:p w14:paraId="10AFB44E" w14:textId="77777777" w:rsidR="005221B8" w:rsidRPr="00FB0DA5" w:rsidRDefault="005221B8" w:rsidP="00CC7D3E">
            <w:pPr>
              <w:keepNext/>
              <w:spacing w:after="0" w:line="240" w:lineRule="auto"/>
              <w:rPr>
                <w:rFonts w:ascii="Arial Narrow" w:hAnsi="Arial Narrow"/>
                <w:sz w:val="20"/>
                <w:szCs w:val="20"/>
              </w:rPr>
            </w:pPr>
            <w:r w:rsidRPr="00FB0DA5">
              <w:rPr>
                <w:rFonts w:ascii="Arial Narrow" w:hAnsi="Arial Narrow"/>
                <w:sz w:val="20"/>
                <w:szCs w:val="20"/>
              </w:rPr>
              <w:t>8%</w:t>
            </w:r>
          </w:p>
        </w:tc>
      </w:tr>
      <w:tr w:rsidR="005221B8" w:rsidRPr="00FB0DA5" w14:paraId="60F775FE" w14:textId="77777777" w:rsidTr="007C0CF1">
        <w:tc>
          <w:tcPr>
            <w:tcW w:w="1258" w:type="pct"/>
            <w:hideMark/>
          </w:tcPr>
          <w:p w14:paraId="32DF6237" w14:textId="77777777" w:rsidR="005221B8" w:rsidRPr="00FB0DA5" w:rsidRDefault="005221B8" w:rsidP="00CC7D3E">
            <w:pPr>
              <w:keepNext/>
              <w:spacing w:after="0" w:line="240" w:lineRule="auto"/>
              <w:rPr>
                <w:rFonts w:ascii="Arial Narrow" w:hAnsi="Arial Narrow"/>
                <w:sz w:val="20"/>
                <w:szCs w:val="20"/>
              </w:rPr>
            </w:pPr>
            <w:r w:rsidRPr="00FB0DA5">
              <w:rPr>
                <w:rFonts w:ascii="Arial Narrow" w:hAnsi="Arial Narrow"/>
                <w:sz w:val="20"/>
                <w:szCs w:val="20"/>
              </w:rPr>
              <w:t>Thyroid (mostly follicular sometimes papillary)</w:t>
            </w:r>
          </w:p>
        </w:tc>
        <w:tc>
          <w:tcPr>
            <w:tcW w:w="2147" w:type="pct"/>
            <w:hideMark/>
          </w:tcPr>
          <w:p w14:paraId="3EC79B0B" w14:textId="5041D909" w:rsidR="005221B8" w:rsidRPr="00FB0DA5" w:rsidRDefault="005221B8" w:rsidP="00CC7D3E">
            <w:pPr>
              <w:keepNext/>
              <w:spacing w:after="0" w:line="240" w:lineRule="auto"/>
              <w:rPr>
                <w:rFonts w:ascii="Arial Narrow" w:hAnsi="Arial Narrow"/>
                <w:sz w:val="20"/>
                <w:szCs w:val="20"/>
              </w:rPr>
            </w:pPr>
            <w:r w:rsidRPr="00FB0DA5">
              <w:rPr>
                <w:rFonts w:ascii="Arial Narrow" w:hAnsi="Arial Narrow"/>
                <w:sz w:val="20"/>
                <w:szCs w:val="20"/>
              </w:rPr>
              <w:t>Increased (may be greater than 10%)</w:t>
            </w:r>
            <w:hyperlink r:id="rId10" w:anchor="reference-2a7e3b2c-71ba-452b-8607-7734e093a798" w:history="1">
              <w:r w:rsidRPr="00FB0DA5">
                <w:rPr>
                  <w:rStyle w:val="Hyperlink"/>
                  <w:rFonts w:ascii="Arial Narrow" w:eastAsiaTheme="majorEastAsia" w:hAnsi="Arial Narrow"/>
                  <w:sz w:val="20"/>
                  <w:szCs w:val="20"/>
                  <w:vertAlign w:val="superscript"/>
                </w:rPr>
                <w:t>1</w:t>
              </w:r>
            </w:hyperlink>
          </w:p>
        </w:tc>
        <w:tc>
          <w:tcPr>
            <w:tcW w:w="1595" w:type="pct"/>
            <w:hideMark/>
          </w:tcPr>
          <w:p w14:paraId="0A93BE48" w14:textId="77777777" w:rsidR="005221B8" w:rsidRPr="00FB0DA5" w:rsidRDefault="005221B8" w:rsidP="00CC7D3E">
            <w:pPr>
              <w:keepNext/>
              <w:spacing w:after="0" w:line="240" w:lineRule="auto"/>
              <w:rPr>
                <w:rFonts w:ascii="Arial Narrow" w:hAnsi="Arial Narrow"/>
                <w:sz w:val="20"/>
                <w:szCs w:val="20"/>
              </w:rPr>
            </w:pPr>
            <w:r w:rsidRPr="00FB0DA5">
              <w:rPr>
                <w:rFonts w:ascii="Arial Narrow" w:hAnsi="Arial Narrow"/>
                <w:sz w:val="20"/>
                <w:szCs w:val="20"/>
              </w:rPr>
              <w:t>0.87% (all types)</w:t>
            </w:r>
          </w:p>
        </w:tc>
      </w:tr>
      <w:tr w:rsidR="005221B8" w:rsidRPr="00FB0DA5" w14:paraId="1F43D6CD" w14:textId="77777777" w:rsidTr="007C0CF1">
        <w:tc>
          <w:tcPr>
            <w:tcW w:w="1258" w:type="pct"/>
            <w:hideMark/>
          </w:tcPr>
          <w:p w14:paraId="10768710" w14:textId="77777777" w:rsidR="005221B8" w:rsidRPr="00FB0DA5" w:rsidRDefault="005221B8" w:rsidP="00CC7D3E">
            <w:pPr>
              <w:keepNext/>
              <w:spacing w:after="0" w:line="240" w:lineRule="auto"/>
              <w:rPr>
                <w:rFonts w:ascii="Arial Narrow" w:hAnsi="Arial Narrow"/>
                <w:sz w:val="20"/>
                <w:szCs w:val="20"/>
              </w:rPr>
            </w:pPr>
            <w:r w:rsidRPr="00FB0DA5">
              <w:rPr>
                <w:rFonts w:ascii="Arial Narrow" w:hAnsi="Arial Narrow"/>
                <w:sz w:val="20"/>
                <w:szCs w:val="20"/>
              </w:rPr>
              <w:t>Endometrial</w:t>
            </w:r>
          </w:p>
        </w:tc>
        <w:tc>
          <w:tcPr>
            <w:tcW w:w="2147" w:type="pct"/>
            <w:hideMark/>
          </w:tcPr>
          <w:p w14:paraId="2E2838F8" w14:textId="093005F0" w:rsidR="005221B8" w:rsidRPr="00FB0DA5" w:rsidRDefault="005221B8" w:rsidP="00CC7D3E">
            <w:pPr>
              <w:keepNext/>
              <w:spacing w:after="0" w:line="240" w:lineRule="auto"/>
              <w:rPr>
                <w:rFonts w:ascii="Arial Narrow" w:hAnsi="Arial Narrow"/>
                <w:sz w:val="20"/>
                <w:szCs w:val="20"/>
              </w:rPr>
            </w:pPr>
            <w:r w:rsidRPr="00FB0DA5">
              <w:rPr>
                <w:rFonts w:ascii="Arial Narrow" w:hAnsi="Arial Narrow"/>
                <w:sz w:val="20"/>
                <w:szCs w:val="20"/>
              </w:rPr>
              <w:t>Increased (may be greater than 10%)</w:t>
            </w:r>
          </w:p>
        </w:tc>
        <w:tc>
          <w:tcPr>
            <w:tcW w:w="1595" w:type="pct"/>
            <w:hideMark/>
          </w:tcPr>
          <w:p w14:paraId="581E58DC" w14:textId="77777777" w:rsidR="005221B8" w:rsidRPr="00FB0DA5" w:rsidRDefault="005221B8" w:rsidP="00CC7D3E">
            <w:pPr>
              <w:keepNext/>
              <w:spacing w:after="0" w:line="240" w:lineRule="auto"/>
              <w:rPr>
                <w:rFonts w:ascii="Arial Narrow" w:hAnsi="Arial Narrow"/>
                <w:sz w:val="20"/>
                <w:szCs w:val="20"/>
              </w:rPr>
            </w:pPr>
            <w:r w:rsidRPr="00FB0DA5">
              <w:rPr>
                <w:rFonts w:ascii="Arial Narrow" w:hAnsi="Arial Narrow"/>
                <w:sz w:val="20"/>
                <w:szCs w:val="20"/>
              </w:rPr>
              <w:t>1.3% (uterine)</w:t>
            </w:r>
          </w:p>
        </w:tc>
      </w:tr>
      <w:tr w:rsidR="005221B8" w:rsidRPr="00FB0DA5" w14:paraId="500BDE1A" w14:textId="77777777" w:rsidTr="007C0CF1">
        <w:tc>
          <w:tcPr>
            <w:tcW w:w="1258" w:type="pct"/>
            <w:hideMark/>
          </w:tcPr>
          <w:p w14:paraId="08943903" w14:textId="77777777" w:rsidR="005221B8" w:rsidRPr="00FB0DA5" w:rsidRDefault="005221B8" w:rsidP="00CC7D3E">
            <w:pPr>
              <w:keepNext/>
              <w:spacing w:after="0" w:line="240" w:lineRule="auto"/>
              <w:rPr>
                <w:rFonts w:ascii="Arial Narrow" w:hAnsi="Arial Narrow"/>
                <w:sz w:val="20"/>
                <w:szCs w:val="20"/>
              </w:rPr>
            </w:pPr>
            <w:r w:rsidRPr="00FB0DA5">
              <w:rPr>
                <w:rFonts w:ascii="Arial Narrow" w:hAnsi="Arial Narrow"/>
                <w:sz w:val="20"/>
                <w:szCs w:val="20"/>
              </w:rPr>
              <w:t>Renal</w:t>
            </w:r>
          </w:p>
        </w:tc>
        <w:tc>
          <w:tcPr>
            <w:tcW w:w="2147" w:type="pct"/>
            <w:hideMark/>
          </w:tcPr>
          <w:p w14:paraId="395BE6F5" w14:textId="103A72A5" w:rsidR="005221B8" w:rsidRPr="00FB0DA5" w:rsidRDefault="005221B8" w:rsidP="00CC7D3E">
            <w:pPr>
              <w:keepNext/>
              <w:spacing w:after="0" w:line="240" w:lineRule="auto"/>
              <w:rPr>
                <w:rFonts w:ascii="Arial Narrow" w:hAnsi="Arial Narrow"/>
                <w:sz w:val="20"/>
                <w:szCs w:val="20"/>
              </w:rPr>
            </w:pPr>
            <w:r w:rsidRPr="00FB0DA5">
              <w:rPr>
                <w:rFonts w:ascii="Arial Narrow" w:hAnsi="Arial Narrow"/>
                <w:sz w:val="20"/>
                <w:szCs w:val="20"/>
              </w:rPr>
              <w:t>Increased (may be at least 10%)</w:t>
            </w:r>
          </w:p>
        </w:tc>
        <w:tc>
          <w:tcPr>
            <w:tcW w:w="1595" w:type="pct"/>
            <w:hideMark/>
          </w:tcPr>
          <w:p w14:paraId="15B807B1" w14:textId="77777777" w:rsidR="005221B8" w:rsidRPr="00FB0DA5" w:rsidRDefault="005221B8" w:rsidP="00CC7D3E">
            <w:pPr>
              <w:keepNext/>
              <w:spacing w:after="0" w:line="240" w:lineRule="auto"/>
              <w:rPr>
                <w:rFonts w:ascii="Arial Narrow" w:hAnsi="Arial Narrow"/>
                <w:sz w:val="20"/>
                <w:szCs w:val="20"/>
              </w:rPr>
            </w:pPr>
            <w:r w:rsidRPr="00FB0DA5">
              <w:rPr>
                <w:rFonts w:ascii="Arial Narrow" w:hAnsi="Arial Narrow"/>
                <w:sz w:val="20"/>
                <w:szCs w:val="20"/>
              </w:rPr>
              <w:t>0.82%</w:t>
            </w:r>
          </w:p>
        </w:tc>
      </w:tr>
      <w:tr w:rsidR="005221B8" w:rsidRPr="00FB0DA5" w14:paraId="1ADB40C2" w14:textId="77777777" w:rsidTr="007C0CF1">
        <w:tc>
          <w:tcPr>
            <w:tcW w:w="1258" w:type="pct"/>
            <w:hideMark/>
          </w:tcPr>
          <w:p w14:paraId="72546C40" w14:textId="77777777" w:rsidR="005221B8" w:rsidRPr="00FB0DA5" w:rsidRDefault="005221B8" w:rsidP="00CC7D3E">
            <w:pPr>
              <w:keepNext/>
              <w:spacing w:after="0" w:line="240" w:lineRule="auto"/>
              <w:rPr>
                <w:rFonts w:ascii="Arial Narrow" w:hAnsi="Arial Narrow"/>
                <w:sz w:val="20"/>
                <w:szCs w:val="20"/>
              </w:rPr>
            </w:pPr>
            <w:r w:rsidRPr="00FB0DA5">
              <w:rPr>
                <w:rFonts w:ascii="Arial Narrow" w:hAnsi="Arial Narrow"/>
                <w:sz w:val="20"/>
                <w:szCs w:val="20"/>
              </w:rPr>
              <w:t>Melanoma</w:t>
            </w:r>
          </w:p>
        </w:tc>
        <w:tc>
          <w:tcPr>
            <w:tcW w:w="2147" w:type="pct"/>
            <w:hideMark/>
          </w:tcPr>
          <w:p w14:paraId="2BC9C72A" w14:textId="6515CBDB" w:rsidR="005221B8" w:rsidRPr="00FB0DA5" w:rsidRDefault="005221B8" w:rsidP="00CC7D3E">
            <w:pPr>
              <w:keepNext/>
              <w:spacing w:after="0" w:line="240" w:lineRule="auto"/>
              <w:rPr>
                <w:rFonts w:ascii="Arial Narrow" w:hAnsi="Arial Narrow"/>
                <w:sz w:val="20"/>
                <w:szCs w:val="20"/>
              </w:rPr>
            </w:pPr>
            <w:r w:rsidRPr="00FB0DA5">
              <w:rPr>
                <w:rFonts w:ascii="Arial Narrow" w:hAnsi="Arial Narrow"/>
                <w:sz w:val="20"/>
                <w:szCs w:val="20"/>
              </w:rPr>
              <w:t>Unknown but possibly increased</w:t>
            </w:r>
          </w:p>
        </w:tc>
        <w:tc>
          <w:tcPr>
            <w:tcW w:w="1595" w:type="pct"/>
            <w:hideMark/>
          </w:tcPr>
          <w:p w14:paraId="76EA7018" w14:textId="77777777" w:rsidR="005221B8" w:rsidRPr="00FB0DA5" w:rsidRDefault="005221B8" w:rsidP="00CC7D3E">
            <w:pPr>
              <w:keepNext/>
              <w:spacing w:after="0" w:line="240" w:lineRule="auto"/>
              <w:rPr>
                <w:rFonts w:ascii="Arial Narrow" w:hAnsi="Arial Narrow"/>
                <w:sz w:val="20"/>
                <w:szCs w:val="20"/>
              </w:rPr>
            </w:pPr>
            <w:r w:rsidRPr="00FB0DA5">
              <w:rPr>
                <w:rFonts w:ascii="Arial Narrow" w:hAnsi="Arial Narrow"/>
                <w:sz w:val="20"/>
                <w:szCs w:val="20"/>
              </w:rPr>
              <w:t>3%</w:t>
            </w:r>
          </w:p>
        </w:tc>
      </w:tr>
      <w:tr w:rsidR="005221B8" w:rsidRPr="00FB0DA5" w14:paraId="2F4EB88E" w14:textId="77777777" w:rsidTr="007C0CF1">
        <w:tc>
          <w:tcPr>
            <w:tcW w:w="1258" w:type="pct"/>
            <w:hideMark/>
          </w:tcPr>
          <w:p w14:paraId="685005A7" w14:textId="77777777" w:rsidR="005221B8" w:rsidRPr="00FB0DA5" w:rsidRDefault="005221B8" w:rsidP="00CC7D3E">
            <w:pPr>
              <w:keepNext/>
              <w:spacing w:after="0" w:line="240" w:lineRule="auto"/>
              <w:rPr>
                <w:rFonts w:ascii="Arial Narrow" w:hAnsi="Arial Narrow"/>
                <w:sz w:val="20"/>
                <w:szCs w:val="20"/>
              </w:rPr>
            </w:pPr>
            <w:r w:rsidRPr="00FB0DA5">
              <w:rPr>
                <w:rFonts w:ascii="Arial Narrow" w:hAnsi="Arial Narrow"/>
                <w:sz w:val="20"/>
                <w:szCs w:val="20"/>
              </w:rPr>
              <w:t>Colorectal</w:t>
            </w:r>
          </w:p>
        </w:tc>
        <w:tc>
          <w:tcPr>
            <w:tcW w:w="2147" w:type="pct"/>
            <w:hideMark/>
          </w:tcPr>
          <w:p w14:paraId="60F5B3D4" w14:textId="2D4CCE81" w:rsidR="005221B8" w:rsidRPr="00FB0DA5" w:rsidRDefault="005221B8" w:rsidP="00CC7D3E">
            <w:pPr>
              <w:keepNext/>
              <w:spacing w:after="0" w:line="240" w:lineRule="auto"/>
              <w:rPr>
                <w:rFonts w:ascii="Arial Narrow" w:hAnsi="Arial Narrow"/>
                <w:sz w:val="20"/>
                <w:szCs w:val="20"/>
              </w:rPr>
            </w:pPr>
            <w:r w:rsidRPr="00FB0DA5">
              <w:rPr>
                <w:rFonts w:ascii="Arial Narrow" w:hAnsi="Arial Narrow"/>
                <w:sz w:val="20"/>
                <w:szCs w:val="20"/>
              </w:rPr>
              <w:t>Unknown but possibly increased</w:t>
            </w:r>
          </w:p>
        </w:tc>
        <w:tc>
          <w:tcPr>
            <w:tcW w:w="1595" w:type="pct"/>
            <w:hideMark/>
          </w:tcPr>
          <w:p w14:paraId="4D00B5E4" w14:textId="77777777" w:rsidR="005221B8" w:rsidRPr="00FB0DA5" w:rsidRDefault="005221B8" w:rsidP="00CC7D3E">
            <w:pPr>
              <w:keepNext/>
              <w:spacing w:after="0" w:line="240" w:lineRule="auto"/>
              <w:rPr>
                <w:rFonts w:ascii="Arial Narrow" w:hAnsi="Arial Narrow"/>
                <w:sz w:val="20"/>
                <w:szCs w:val="20"/>
              </w:rPr>
            </w:pPr>
            <w:r w:rsidRPr="00FB0DA5">
              <w:rPr>
                <w:rFonts w:ascii="Arial Narrow" w:hAnsi="Arial Narrow"/>
                <w:sz w:val="20"/>
                <w:szCs w:val="20"/>
              </w:rPr>
              <w:t>2.5%</w:t>
            </w:r>
          </w:p>
        </w:tc>
      </w:tr>
    </w:tbl>
    <w:p w14:paraId="1D78CF60" w14:textId="551BED3A" w:rsidR="007D3B35" w:rsidRPr="00EF16EB" w:rsidRDefault="007D3B35" w:rsidP="00CC7D3E">
      <w:pPr>
        <w:keepNext/>
        <w:spacing w:after="0" w:line="240" w:lineRule="auto"/>
        <w:rPr>
          <w:rFonts w:ascii="Arial Narrow" w:hAnsi="Arial Narrow"/>
          <w:sz w:val="18"/>
          <w:szCs w:val="18"/>
        </w:rPr>
      </w:pPr>
      <w:r w:rsidRPr="00EF16EB">
        <w:rPr>
          <w:rFonts w:ascii="Arial Narrow" w:hAnsi="Arial Narrow"/>
          <w:sz w:val="18"/>
          <w:szCs w:val="18"/>
        </w:rPr>
        <w:t xml:space="preserve">Source: </w:t>
      </w:r>
      <w:proofErr w:type="spellStart"/>
      <w:r w:rsidR="00B52757" w:rsidRPr="00EF16EB">
        <w:rPr>
          <w:rFonts w:ascii="Arial Narrow" w:hAnsi="Arial Narrow"/>
          <w:sz w:val="18"/>
          <w:szCs w:val="18"/>
        </w:rPr>
        <w:t>evi</w:t>
      </w:r>
      <w:r w:rsidR="00150B5F" w:rsidRPr="00EF16EB">
        <w:rPr>
          <w:rFonts w:ascii="Arial Narrow" w:hAnsi="Arial Narrow"/>
          <w:sz w:val="18"/>
          <w:szCs w:val="18"/>
        </w:rPr>
        <w:t>Q</w:t>
      </w:r>
      <w:proofErr w:type="spellEnd"/>
      <w:r w:rsidR="00150B5F" w:rsidRPr="00EF16EB">
        <w:rPr>
          <w:rFonts w:ascii="Arial Narrow" w:hAnsi="Arial Narrow"/>
          <w:sz w:val="18"/>
          <w:szCs w:val="18"/>
        </w:rPr>
        <w:t xml:space="preserve"> Risk management guidelines</w:t>
      </w:r>
      <w:r w:rsidR="00150B5F" w:rsidRPr="00EF16EB">
        <w:rPr>
          <w:rStyle w:val="Strong"/>
          <w:rFonts w:ascii="Arial Narrow" w:hAnsi="Arial Narrow"/>
          <w:b w:val="0"/>
          <w:bCs w:val="0"/>
          <w:sz w:val="18"/>
          <w:szCs w:val="18"/>
        </w:rPr>
        <w:t xml:space="preserve"> ,</w:t>
      </w:r>
      <w:r w:rsidRPr="00EF16EB">
        <w:rPr>
          <w:rStyle w:val="Strong"/>
          <w:rFonts w:ascii="Arial Narrow" w:hAnsi="Arial Narrow"/>
          <w:b w:val="0"/>
          <w:bCs w:val="0"/>
          <w:sz w:val="18"/>
          <w:szCs w:val="18"/>
        </w:rPr>
        <w:t>ID: 546</w:t>
      </w:r>
      <w:r w:rsidRPr="00EF16EB">
        <w:rPr>
          <w:rFonts w:ascii="Arial Narrow" w:hAnsi="Arial Narrow"/>
          <w:sz w:val="18"/>
          <w:szCs w:val="18"/>
        </w:rPr>
        <w:t xml:space="preserve"> v.9</w:t>
      </w:r>
      <w:r w:rsidR="00150B5F" w:rsidRPr="00EF16EB">
        <w:rPr>
          <w:rFonts w:ascii="Arial Narrow" w:hAnsi="Arial Narrow"/>
          <w:sz w:val="18"/>
          <w:szCs w:val="18"/>
        </w:rPr>
        <w:t xml:space="preserve"> o</w:t>
      </w:r>
    </w:p>
    <w:p w14:paraId="54D78E64" w14:textId="5047F006" w:rsidR="00D6402A" w:rsidRPr="00EF16EB" w:rsidRDefault="00D6402A" w:rsidP="00CC7D3E">
      <w:pPr>
        <w:keepNext/>
        <w:tabs>
          <w:tab w:val="left" w:pos="426"/>
        </w:tabs>
        <w:spacing w:after="0" w:line="240" w:lineRule="auto"/>
        <w:rPr>
          <w:rFonts w:ascii="Arial Narrow" w:hAnsi="Arial Narrow"/>
          <w:sz w:val="18"/>
          <w:szCs w:val="18"/>
        </w:rPr>
      </w:pPr>
      <w:r w:rsidRPr="00EF16EB">
        <w:rPr>
          <w:rFonts w:ascii="Arial Narrow" w:hAnsi="Arial Narrow"/>
          <w:sz w:val="18"/>
          <w:szCs w:val="18"/>
          <w:vertAlign w:val="superscript"/>
        </w:rPr>
        <w:t>a</w:t>
      </w:r>
      <w:r w:rsidRPr="00EF16EB">
        <w:rPr>
          <w:rFonts w:ascii="Arial Narrow" w:hAnsi="Arial Narrow"/>
          <w:sz w:val="18"/>
          <w:szCs w:val="18"/>
        </w:rPr>
        <w:tab/>
        <w:t xml:space="preserve">(Tan 2012; </w:t>
      </w:r>
      <w:proofErr w:type="spellStart"/>
      <w:r w:rsidRPr="00EF16EB">
        <w:rPr>
          <w:rFonts w:ascii="Arial Narrow" w:hAnsi="Arial Narrow"/>
          <w:sz w:val="18"/>
          <w:szCs w:val="18"/>
        </w:rPr>
        <w:t>Bubien</w:t>
      </w:r>
      <w:proofErr w:type="spellEnd"/>
      <w:r w:rsidRPr="00EF16EB">
        <w:rPr>
          <w:rFonts w:ascii="Arial Narrow" w:hAnsi="Arial Narrow"/>
          <w:sz w:val="18"/>
          <w:szCs w:val="18"/>
        </w:rPr>
        <w:t xml:space="preserve"> 2013; </w:t>
      </w:r>
      <w:proofErr w:type="spellStart"/>
      <w:r w:rsidRPr="00EF16EB">
        <w:rPr>
          <w:rFonts w:ascii="Arial Narrow" w:hAnsi="Arial Narrow"/>
          <w:sz w:val="18"/>
          <w:szCs w:val="18"/>
        </w:rPr>
        <w:t>Nieuwenhuis</w:t>
      </w:r>
      <w:proofErr w:type="spellEnd"/>
      <w:r w:rsidRPr="00EF16EB">
        <w:rPr>
          <w:rFonts w:ascii="Arial Narrow" w:hAnsi="Arial Narrow"/>
          <w:sz w:val="18"/>
          <w:szCs w:val="18"/>
        </w:rPr>
        <w:t xml:space="preserve"> 2013; Hendricks 2021)</w:t>
      </w:r>
    </w:p>
    <w:p w14:paraId="72CFF2B7" w14:textId="22035FB1" w:rsidR="00150B5F" w:rsidRPr="00EF16EB" w:rsidRDefault="00150B5F" w:rsidP="00CC7D3E">
      <w:pPr>
        <w:keepNext/>
        <w:tabs>
          <w:tab w:val="left" w:pos="426"/>
        </w:tabs>
        <w:spacing w:after="0" w:line="240" w:lineRule="auto"/>
        <w:rPr>
          <w:rFonts w:ascii="Arial Narrow" w:hAnsi="Arial Narrow"/>
          <w:sz w:val="18"/>
          <w:szCs w:val="18"/>
        </w:rPr>
      </w:pPr>
      <w:r w:rsidRPr="00EF16EB">
        <w:rPr>
          <w:rFonts w:ascii="Arial Narrow" w:hAnsi="Arial Narrow"/>
          <w:sz w:val="18"/>
          <w:szCs w:val="18"/>
          <w:vertAlign w:val="superscript"/>
        </w:rPr>
        <w:t>b</w:t>
      </w:r>
      <w:r w:rsidRPr="00EF16EB">
        <w:rPr>
          <w:rFonts w:ascii="Arial Narrow" w:hAnsi="Arial Narrow"/>
          <w:sz w:val="18"/>
          <w:szCs w:val="18"/>
        </w:rPr>
        <w:tab/>
        <w:t>Australian Institute of Health and Welfare (AIHW) 2021 Cancer Data in Australia; Canberra: AIHW. https://www.aihw.gov.au/reports/cancer/cancer-data-in-australia/contents/cancer-risk-data-visualisation opens in a new tab or window&gt;. (2017 data)</w:t>
      </w:r>
    </w:p>
    <w:p w14:paraId="67970D4A" w14:textId="05FF9F15" w:rsidR="00150B5F" w:rsidRPr="00EF16EB" w:rsidRDefault="00150B5F" w:rsidP="00CC7D3E">
      <w:pPr>
        <w:keepNext/>
        <w:spacing w:line="240" w:lineRule="auto"/>
        <w:rPr>
          <w:rFonts w:ascii="Arial Narrow" w:hAnsi="Arial Narrow"/>
          <w:sz w:val="18"/>
          <w:szCs w:val="18"/>
        </w:rPr>
      </w:pPr>
      <w:r w:rsidRPr="00EF16EB">
        <w:rPr>
          <w:rFonts w:ascii="Arial Narrow" w:hAnsi="Arial Narrow"/>
          <w:sz w:val="18"/>
          <w:szCs w:val="18"/>
        </w:rPr>
        <w:t xml:space="preserve">Note: </w:t>
      </w:r>
      <w:r w:rsidR="00653966" w:rsidRPr="00EF16EB">
        <w:rPr>
          <w:rFonts w:ascii="Arial Narrow" w:hAnsi="Arial Narrow"/>
          <w:sz w:val="18"/>
          <w:szCs w:val="18"/>
        </w:rPr>
        <w:t>t</w:t>
      </w:r>
      <w:r w:rsidRPr="00EF16EB">
        <w:rPr>
          <w:rFonts w:ascii="Arial Narrow" w:hAnsi="Arial Narrow"/>
          <w:sz w:val="18"/>
          <w:szCs w:val="18"/>
        </w:rPr>
        <w:t>he published data on cancer risk has significant ascertainment bias</w:t>
      </w:r>
    </w:p>
    <w:p w14:paraId="76E74C9F" w14:textId="33737960" w:rsidR="001765B9" w:rsidRDefault="001765B9" w:rsidP="005D2196">
      <w:r>
        <w:rPr>
          <w:rFonts w:asciiTheme="minorHAnsi" w:hAnsiTheme="minorHAnsi" w:cstheme="minorHAnsi"/>
          <w:i/>
        </w:rPr>
        <w:t>PASC noted that all the nominated syndromes were autosomal dominant, with patients diagnosed genetically</w:t>
      </w:r>
      <w:r w:rsidR="00D27845">
        <w:rPr>
          <w:rFonts w:asciiTheme="minorHAnsi" w:hAnsiTheme="minorHAnsi" w:cstheme="minorHAnsi"/>
          <w:i/>
        </w:rPr>
        <w:t>,</w:t>
      </w:r>
      <w:r>
        <w:rPr>
          <w:rFonts w:asciiTheme="minorHAnsi" w:hAnsiTheme="minorHAnsi" w:cstheme="minorHAnsi"/>
          <w:i/>
        </w:rPr>
        <w:t xml:space="preserve"> following development of tumours at an early age</w:t>
      </w:r>
      <w:r w:rsidR="00D27845">
        <w:rPr>
          <w:rFonts w:asciiTheme="minorHAnsi" w:hAnsiTheme="minorHAnsi" w:cstheme="minorHAnsi"/>
          <w:i/>
        </w:rPr>
        <w:t>, or in patients having a family history of renal tumours or the genetic syndrome. However,</w:t>
      </w:r>
      <w:r>
        <w:rPr>
          <w:rFonts w:asciiTheme="minorHAnsi" w:hAnsiTheme="minorHAnsi" w:cstheme="minorHAnsi"/>
          <w:i/>
        </w:rPr>
        <w:t xml:space="preserve"> PASC stated the syndromes were associated with variable penetrance and could arise due to </w:t>
      </w:r>
      <w:r>
        <w:rPr>
          <w:rFonts w:asciiTheme="minorHAnsi" w:hAnsiTheme="minorHAnsi" w:cstheme="minorHAnsi"/>
          <w:iCs w:val="0"/>
        </w:rPr>
        <w:t xml:space="preserve">de novo </w:t>
      </w:r>
      <w:r>
        <w:rPr>
          <w:rFonts w:asciiTheme="minorHAnsi" w:hAnsiTheme="minorHAnsi" w:cstheme="minorHAnsi"/>
          <w:i/>
        </w:rPr>
        <w:t>variants and as a result, ‘family history’ was not a reliable indicator</w:t>
      </w:r>
      <w:r w:rsidR="000C4E3B">
        <w:rPr>
          <w:rFonts w:asciiTheme="minorHAnsi" w:hAnsiTheme="minorHAnsi" w:cstheme="minorHAnsi"/>
          <w:i/>
        </w:rPr>
        <w:t xml:space="preserve"> of risk</w:t>
      </w:r>
      <w:r>
        <w:rPr>
          <w:rFonts w:asciiTheme="minorHAnsi" w:hAnsiTheme="minorHAnsi" w:cstheme="minorHAnsi"/>
          <w:i/>
        </w:rPr>
        <w:t>.</w:t>
      </w:r>
    </w:p>
    <w:p w14:paraId="3C34426D" w14:textId="3C6E46DF" w:rsidR="00C45943" w:rsidRPr="00DA79F1" w:rsidRDefault="00F822F2" w:rsidP="005D2196">
      <w:pPr>
        <w:rPr>
          <w:rFonts w:ascii="Times New Roman" w:hAnsi="Times New Roman"/>
          <w:sz w:val="24"/>
        </w:rPr>
      </w:pPr>
      <w:r>
        <w:t xml:space="preserve">Table 9 </w:t>
      </w:r>
      <w:r w:rsidR="00C45943" w:rsidRPr="00DA79F1">
        <w:t xml:space="preserve">presents the </w:t>
      </w:r>
      <w:proofErr w:type="spellStart"/>
      <w:r w:rsidR="002E6C8D">
        <w:t>evi</w:t>
      </w:r>
      <w:r w:rsidR="00C45943" w:rsidRPr="00DA79F1">
        <w:t>Q</w:t>
      </w:r>
      <w:proofErr w:type="spellEnd"/>
      <w:r w:rsidR="00C45943" w:rsidRPr="00DA79F1">
        <w:t xml:space="preserve"> kidney-related surgical and surveillance recommendations for rare cancers</w:t>
      </w:r>
      <w:r w:rsidR="00A012B9">
        <w:t xml:space="preserve"> arising from heritable pre-disposition syndromes</w:t>
      </w:r>
      <w:r w:rsidR="00C45943" w:rsidRPr="00DA79F1">
        <w:t>.</w:t>
      </w:r>
    </w:p>
    <w:p w14:paraId="62B850BE" w14:textId="3D890289" w:rsidR="00C45943" w:rsidRPr="00FB0DA5" w:rsidRDefault="00C45943" w:rsidP="00CC7D3E">
      <w:pPr>
        <w:keepNext/>
        <w:spacing w:after="0" w:line="240" w:lineRule="auto"/>
        <w:ind w:left="709" w:hanging="709"/>
        <w:rPr>
          <w:rFonts w:ascii="Arial Narrow" w:hAnsi="Arial Narrow"/>
          <w:b/>
          <w:bCs/>
          <w:sz w:val="20"/>
          <w:szCs w:val="20"/>
        </w:rPr>
      </w:pPr>
      <w:bookmarkStart w:id="11" w:name="_Ref97629670"/>
      <w:r w:rsidRPr="00FB0DA5">
        <w:rPr>
          <w:rFonts w:ascii="Arial Narrow" w:hAnsi="Arial Narrow"/>
          <w:b/>
          <w:bCs/>
          <w:color w:val="000000" w:themeColor="text1"/>
          <w:sz w:val="20"/>
          <w:szCs w:val="20"/>
        </w:rPr>
        <w:lastRenderedPageBreak/>
        <w:t>Table </w:t>
      </w:r>
      <w:r w:rsidRPr="00FB0DA5">
        <w:rPr>
          <w:rFonts w:ascii="Arial Narrow" w:hAnsi="Arial Narrow"/>
          <w:b/>
          <w:bCs/>
          <w:color w:val="000000" w:themeColor="text1"/>
          <w:sz w:val="20"/>
          <w:szCs w:val="20"/>
        </w:rPr>
        <w:fldChar w:fldCharType="begin"/>
      </w:r>
      <w:r w:rsidRPr="00FB0DA5">
        <w:rPr>
          <w:rFonts w:ascii="Arial Narrow" w:hAnsi="Arial Narrow"/>
          <w:b/>
          <w:bCs/>
          <w:color w:val="000000" w:themeColor="text1"/>
          <w:sz w:val="20"/>
          <w:szCs w:val="20"/>
        </w:rPr>
        <w:instrText xml:space="preserve"> SEQ Table \* ARABIC </w:instrText>
      </w:r>
      <w:r w:rsidRPr="00FB0DA5">
        <w:rPr>
          <w:rFonts w:ascii="Arial Narrow" w:hAnsi="Arial Narrow"/>
          <w:b/>
          <w:bCs/>
          <w:color w:val="000000" w:themeColor="text1"/>
          <w:sz w:val="20"/>
          <w:szCs w:val="20"/>
        </w:rPr>
        <w:fldChar w:fldCharType="separate"/>
      </w:r>
      <w:r w:rsidR="0069673F">
        <w:rPr>
          <w:rFonts w:ascii="Arial Narrow" w:hAnsi="Arial Narrow"/>
          <w:b/>
          <w:bCs/>
          <w:noProof/>
          <w:color w:val="000000" w:themeColor="text1"/>
          <w:sz w:val="20"/>
          <w:szCs w:val="20"/>
        </w:rPr>
        <w:t>9</w:t>
      </w:r>
      <w:r w:rsidRPr="00FB0DA5">
        <w:rPr>
          <w:rFonts w:ascii="Arial Narrow" w:hAnsi="Arial Narrow"/>
          <w:b/>
          <w:bCs/>
          <w:color w:val="000000" w:themeColor="text1"/>
          <w:sz w:val="20"/>
          <w:szCs w:val="20"/>
        </w:rPr>
        <w:fldChar w:fldCharType="end"/>
      </w:r>
      <w:bookmarkEnd w:id="11"/>
      <w:r w:rsidR="00FB0DA5">
        <w:rPr>
          <w:rFonts w:ascii="Arial Narrow" w:hAnsi="Arial Narrow"/>
          <w:b/>
          <w:bCs/>
          <w:color w:val="000000" w:themeColor="text1"/>
          <w:sz w:val="20"/>
          <w:szCs w:val="20"/>
        </w:rPr>
        <w:tab/>
      </w:r>
      <w:proofErr w:type="spellStart"/>
      <w:r w:rsidR="002E6C8D" w:rsidRPr="00FB0DA5">
        <w:rPr>
          <w:rFonts w:ascii="Arial Narrow" w:hAnsi="Arial Narrow"/>
          <w:b/>
          <w:bCs/>
          <w:sz w:val="20"/>
          <w:szCs w:val="20"/>
        </w:rPr>
        <w:t>evi</w:t>
      </w:r>
      <w:r w:rsidRPr="00FB0DA5">
        <w:rPr>
          <w:rFonts w:ascii="Arial Narrow" w:hAnsi="Arial Narrow"/>
          <w:b/>
          <w:bCs/>
          <w:sz w:val="20"/>
          <w:szCs w:val="20"/>
        </w:rPr>
        <w:t>Q</w:t>
      </w:r>
      <w:proofErr w:type="spellEnd"/>
      <w:r w:rsidRPr="00FB0DA5">
        <w:rPr>
          <w:rFonts w:ascii="Arial Narrow" w:hAnsi="Arial Narrow"/>
          <w:b/>
          <w:bCs/>
          <w:sz w:val="20"/>
          <w:szCs w:val="20"/>
        </w:rPr>
        <w:t xml:space="preserve"> Guidelines surgical and surveillance recommendations for rare genetic cancers associated with renal cancer</w:t>
      </w:r>
    </w:p>
    <w:tbl>
      <w:tblPr>
        <w:tblStyle w:val="TableGrid"/>
        <w:tblW w:w="0" w:type="auto"/>
        <w:tblInd w:w="0" w:type="dxa"/>
        <w:tblCellMar>
          <w:left w:w="29" w:type="dxa"/>
          <w:right w:w="29" w:type="dxa"/>
        </w:tblCellMar>
        <w:tblLook w:val="04A0" w:firstRow="1" w:lastRow="0" w:firstColumn="1" w:lastColumn="0" w:noHBand="0" w:noVBand="1"/>
      </w:tblPr>
      <w:tblGrid>
        <w:gridCol w:w="1456"/>
        <w:gridCol w:w="1059"/>
        <w:gridCol w:w="7056"/>
      </w:tblGrid>
      <w:tr w:rsidR="00FB0DA5" w:rsidRPr="00FB0DA5" w14:paraId="0D1643D6" w14:textId="77777777" w:rsidTr="007C0CF1">
        <w:tc>
          <w:tcPr>
            <w:tcW w:w="1456" w:type="dxa"/>
          </w:tcPr>
          <w:p w14:paraId="53FE8375" w14:textId="77777777" w:rsidR="00C45943" w:rsidRPr="00FB0DA5" w:rsidRDefault="00C45943" w:rsidP="00CC7D3E">
            <w:pPr>
              <w:keepNext/>
              <w:spacing w:after="0" w:line="240" w:lineRule="auto"/>
              <w:jc w:val="center"/>
              <w:rPr>
                <w:rFonts w:ascii="Arial Narrow" w:hAnsi="Arial Narrow"/>
                <w:b/>
                <w:bCs/>
                <w:sz w:val="20"/>
                <w:szCs w:val="20"/>
              </w:rPr>
            </w:pPr>
            <w:r w:rsidRPr="00FB0DA5">
              <w:rPr>
                <w:rFonts w:ascii="Arial Narrow" w:hAnsi="Arial Narrow"/>
                <w:b/>
                <w:bCs/>
                <w:sz w:val="20"/>
                <w:szCs w:val="20"/>
              </w:rPr>
              <w:t>Cancer syndrome Gene (and renal cancer type)</w:t>
            </w:r>
          </w:p>
        </w:tc>
        <w:tc>
          <w:tcPr>
            <w:tcW w:w="8115" w:type="dxa"/>
            <w:gridSpan w:val="2"/>
            <w:vAlign w:val="center"/>
          </w:tcPr>
          <w:p w14:paraId="6605F1B3" w14:textId="77777777" w:rsidR="00C45943" w:rsidRPr="00FB0DA5" w:rsidRDefault="00C45943" w:rsidP="00CC7D3E">
            <w:pPr>
              <w:keepNext/>
              <w:spacing w:after="0" w:line="240" w:lineRule="auto"/>
              <w:jc w:val="center"/>
              <w:rPr>
                <w:rFonts w:ascii="Arial Narrow" w:hAnsi="Arial Narrow"/>
                <w:b/>
                <w:bCs/>
                <w:sz w:val="20"/>
                <w:szCs w:val="20"/>
              </w:rPr>
            </w:pPr>
            <w:r w:rsidRPr="00FB0DA5">
              <w:rPr>
                <w:rFonts w:ascii="Arial Narrow" w:hAnsi="Arial Narrow"/>
                <w:b/>
                <w:bCs/>
                <w:sz w:val="20"/>
                <w:szCs w:val="20"/>
              </w:rPr>
              <w:t>Recommendations</w:t>
            </w:r>
          </w:p>
        </w:tc>
      </w:tr>
      <w:tr w:rsidR="00C45943" w:rsidRPr="00FB0DA5" w14:paraId="2D11C305" w14:textId="77777777" w:rsidTr="00B431D4">
        <w:tc>
          <w:tcPr>
            <w:tcW w:w="1456" w:type="dxa"/>
            <w:vMerge w:val="restart"/>
          </w:tcPr>
          <w:p w14:paraId="2A351A1F" w14:textId="77777777" w:rsidR="00C45943" w:rsidRPr="00FB0DA5" w:rsidRDefault="00C45943" w:rsidP="00CC7D3E">
            <w:pPr>
              <w:keepNext/>
              <w:spacing w:after="0" w:line="240" w:lineRule="auto"/>
              <w:rPr>
                <w:rFonts w:ascii="Arial Narrow" w:hAnsi="Arial Narrow"/>
                <w:sz w:val="20"/>
                <w:szCs w:val="20"/>
              </w:rPr>
            </w:pPr>
            <w:r w:rsidRPr="00FB0DA5">
              <w:rPr>
                <w:rFonts w:ascii="Arial Narrow" w:hAnsi="Arial Narrow"/>
                <w:i/>
                <w:sz w:val="20"/>
                <w:szCs w:val="20"/>
              </w:rPr>
              <w:t>VHL</w:t>
            </w:r>
            <w:r w:rsidRPr="00FB0DA5">
              <w:rPr>
                <w:rFonts w:ascii="Arial Narrow" w:hAnsi="Arial Narrow"/>
                <w:sz w:val="20"/>
                <w:szCs w:val="20"/>
              </w:rPr>
              <w:t xml:space="preserve"> (RCC)</w:t>
            </w:r>
          </w:p>
        </w:tc>
        <w:tc>
          <w:tcPr>
            <w:tcW w:w="1059" w:type="dxa"/>
          </w:tcPr>
          <w:p w14:paraId="5237E5A3" w14:textId="77777777" w:rsidR="00C45943" w:rsidRPr="00FB0DA5" w:rsidRDefault="00C45943" w:rsidP="00CC7D3E">
            <w:pPr>
              <w:keepNext/>
              <w:spacing w:after="0" w:line="240" w:lineRule="auto"/>
              <w:rPr>
                <w:rFonts w:ascii="Arial Narrow" w:hAnsi="Arial Narrow"/>
                <w:sz w:val="20"/>
                <w:szCs w:val="20"/>
              </w:rPr>
            </w:pPr>
            <w:r w:rsidRPr="00FB0DA5">
              <w:rPr>
                <w:rFonts w:ascii="Arial Narrow" w:hAnsi="Arial Narrow"/>
                <w:sz w:val="20"/>
                <w:szCs w:val="20"/>
              </w:rPr>
              <w:t>Surgical</w:t>
            </w:r>
          </w:p>
        </w:tc>
        <w:tc>
          <w:tcPr>
            <w:tcW w:w="7056" w:type="dxa"/>
          </w:tcPr>
          <w:p w14:paraId="457177E7" w14:textId="77777777" w:rsidR="00C45943" w:rsidRPr="00FB0DA5" w:rsidRDefault="00C45943" w:rsidP="00CC7D3E">
            <w:pPr>
              <w:pStyle w:val="ListParagraph"/>
              <w:keepNext/>
              <w:numPr>
                <w:ilvl w:val="0"/>
                <w:numId w:val="4"/>
              </w:numPr>
              <w:spacing w:after="0" w:line="240" w:lineRule="auto"/>
              <w:rPr>
                <w:rFonts w:ascii="Arial Narrow" w:hAnsi="Arial Narrow"/>
                <w:sz w:val="20"/>
                <w:szCs w:val="20"/>
              </w:rPr>
            </w:pPr>
            <w:r w:rsidRPr="00FB0DA5">
              <w:rPr>
                <w:rFonts w:ascii="Arial Narrow" w:hAnsi="Arial Narrow"/>
                <w:sz w:val="20"/>
                <w:szCs w:val="20"/>
              </w:rPr>
              <w:t>Multicentric and bilateral RCCs are common. Where possible, the management of renal cell carcinomas should be undertaken in a unit with expertise in nephron-sparing surgery.</w:t>
            </w:r>
          </w:p>
        </w:tc>
      </w:tr>
      <w:tr w:rsidR="00C45943" w:rsidRPr="00FB0DA5" w14:paraId="1249DC3B" w14:textId="77777777" w:rsidTr="00B431D4">
        <w:tc>
          <w:tcPr>
            <w:tcW w:w="1456" w:type="dxa"/>
            <w:vMerge/>
          </w:tcPr>
          <w:p w14:paraId="1D735216" w14:textId="77777777" w:rsidR="00C45943" w:rsidRPr="00FB0DA5" w:rsidRDefault="00C45943" w:rsidP="00CC7D3E">
            <w:pPr>
              <w:keepNext/>
              <w:spacing w:after="0" w:line="240" w:lineRule="auto"/>
              <w:rPr>
                <w:rFonts w:ascii="Arial Narrow" w:hAnsi="Arial Narrow"/>
                <w:sz w:val="20"/>
                <w:szCs w:val="20"/>
              </w:rPr>
            </w:pPr>
          </w:p>
        </w:tc>
        <w:tc>
          <w:tcPr>
            <w:tcW w:w="1059" w:type="dxa"/>
          </w:tcPr>
          <w:p w14:paraId="6C20E377" w14:textId="77777777" w:rsidR="00C45943" w:rsidRPr="00FB0DA5" w:rsidRDefault="00C45943" w:rsidP="00CC7D3E">
            <w:pPr>
              <w:keepNext/>
              <w:spacing w:after="0" w:line="240" w:lineRule="auto"/>
              <w:rPr>
                <w:rFonts w:ascii="Arial Narrow" w:hAnsi="Arial Narrow"/>
                <w:sz w:val="20"/>
                <w:szCs w:val="20"/>
              </w:rPr>
            </w:pPr>
            <w:r w:rsidRPr="00FB0DA5">
              <w:rPr>
                <w:rFonts w:ascii="Arial Narrow" w:hAnsi="Arial Narrow"/>
                <w:sz w:val="20"/>
                <w:szCs w:val="20"/>
              </w:rPr>
              <w:t>Surveillance</w:t>
            </w:r>
          </w:p>
        </w:tc>
        <w:tc>
          <w:tcPr>
            <w:tcW w:w="7056" w:type="dxa"/>
          </w:tcPr>
          <w:p w14:paraId="44C34564" w14:textId="2B68AA6E" w:rsidR="00C45943" w:rsidRPr="00FB0DA5" w:rsidRDefault="00C45943" w:rsidP="00CC7D3E">
            <w:pPr>
              <w:pStyle w:val="ListParagraph"/>
              <w:keepNext/>
              <w:numPr>
                <w:ilvl w:val="0"/>
                <w:numId w:val="4"/>
              </w:numPr>
              <w:spacing w:after="0" w:line="240" w:lineRule="auto"/>
              <w:rPr>
                <w:rFonts w:ascii="Arial Narrow" w:hAnsi="Arial Narrow"/>
                <w:sz w:val="20"/>
                <w:szCs w:val="20"/>
              </w:rPr>
            </w:pPr>
            <w:r w:rsidRPr="00FB0DA5">
              <w:rPr>
                <w:rFonts w:ascii="Arial Narrow" w:hAnsi="Arial Narrow"/>
                <w:sz w:val="20"/>
                <w:szCs w:val="20"/>
              </w:rPr>
              <w:t>Abdominal MRI 2 yearly with abdominal ultrasound in intervening years from age 10</w:t>
            </w:r>
          </w:p>
        </w:tc>
      </w:tr>
      <w:tr w:rsidR="00C45943" w:rsidRPr="00FB0DA5" w14:paraId="51726379" w14:textId="77777777" w:rsidTr="00B431D4">
        <w:tc>
          <w:tcPr>
            <w:tcW w:w="1456" w:type="dxa"/>
            <w:vMerge w:val="restart"/>
          </w:tcPr>
          <w:p w14:paraId="3692812D" w14:textId="77777777" w:rsidR="00C45943" w:rsidRPr="00FB0DA5" w:rsidRDefault="00C45943" w:rsidP="00CC7D3E">
            <w:pPr>
              <w:keepNext/>
              <w:spacing w:after="0" w:line="240" w:lineRule="auto"/>
              <w:rPr>
                <w:rFonts w:ascii="Arial Narrow" w:hAnsi="Arial Narrow"/>
                <w:sz w:val="20"/>
                <w:szCs w:val="20"/>
              </w:rPr>
            </w:pPr>
            <w:r w:rsidRPr="00FB0DA5">
              <w:rPr>
                <w:rFonts w:ascii="Arial Narrow" w:hAnsi="Arial Narrow"/>
                <w:i/>
                <w:sz w:val="20"/>
                <w:szCs w:val="20"/>
              </w:rPr>
              <w:t>FLCN</w:t>
            </w:r>
            <w:r w:rsidRPr="00FB0DA5">
              <w:rPr>
                <w:rFonts w:ascii="Arial Narrow" w:hAnsi="Arial Narrow"/>
                <w:sz w:val="20"/>
                <w:szCs w:val="20"/>
              </w:rPr>
              <w:t xml:space="preserve"> BHD </w:t>
            </w:r>
          </w:p>
          <w:p w14:paraId="2D72689A" w14:textId="461A56CE" w:rsidR="00C45943" w:rsidRPr="00FB0DA5" w:rsidRDefault="00C45943" w:rsidP="00CC7D3E">
            <w:pPr>
              <w:keepNext/>
              <w:spacing w:after="0" w:line="240" w:lineRule="auto"/>
              <w:rPr>
                <w:rFonts w:ascii="Arial Narrow" w:hAnsi="Arial Narrow"/>
                <w:sz w:val="20"/>
                <w:szCs w:val="20"/>
              </w:rPr>
            </w:pPr>
            <w:r w:rsidRPr="00FB0DA5">
              <w:rPr>
                <w:rFonts w:ascii="Arial Narrow" w:hAnsi="Arial Narrow"/>
                <w:sz w:val="20"/>
                <w:szCs w:val="20"/>
              </w:rPr>
              <w:t>(</w:t>
            </w:r>
            <w:r w:rsidR="00EC0A06" w:rsidRPr="00FB0DA5">
              <w:rPr>
                <w:rFonts w:ascii="Arial Narrow" w:hAnsi="Arial Narrow"/>
                <w:sz w:val="20"/>
                <w:szCs w:val="20"/>
              </w:rPr>
              <w:t>Renal</w:t>
            </w:r>
            <w:r w:rsidRPr="00FB0DA5">
              <w:rPr>
                <w:rFonts w:ascii="Arial Narrow" w:hAnsi="Arial Narrow"/>
                <w:sz w:val="20"/>
                <w:szCs w:val="20"/>
              </w:rPr>
              <w:t xml:space="preserve"> cancer)</w:t>
            </w:r>
          </w:p>
        </w:tc>
        <w:tc>
          <w:tcPr>
            <w:tcW w:w="1059" w:type="dxa"/>
          </w:tcPr>
          <w:p w14:paraId="192399D7" w14:textId="77777777" w:rsidR="00C45943" w:rsidRPr="00FB0DA5" w:rsidRDefault="00C45943" w:rsidP="00CC7D3E">
            <w:pPr>
              <w:keepNext/>
              <w:spacing w:after="0" w:line="240" w:lineRule="auto"/>
              <w:rPr>
                <w:rFonts w:ascii="Arial Narrow" w:hAnsi="Arial Narrow"/>
                <w:sz w:val="20"/>
                <w:szCs w:val="20"/>
              </w:rPr>
            </w:pPr>
            <w:r w:rsidRPr="00FB0DA5">
              <w:rPr>
                <w:rFonts w:ascii="Arial Narrow" w:hAnsi="Arial Narrow"/>
                <w:sz w:val="20"/>
                <w:szCs w:val="20"/>
              </w:rPr>
              <w:t>Surgical</w:t>
            </w:r>
          </w:p>
        </w:tc>
        <w:tc>
          <w:tcPr>
            <w:tcW w:w="7056" w:type="dxa"/>
          </w:tcPr>
          <w:p w14:paraId="05D181EF" w14:textId="77777777" w:rsidR="00C45943" w:rsidRPr="00FB0DA5" w:rsidRDefault="00C45943" w:rsidP="00CC7D3E">
            <w:pPr>
              <w:pStyle w:val="ListParagraph"/>
              <w:keepNext/>
              <w:numPr>
                <w:ilvl w:val="0"/>
                <w:numId w:val="4"/>
              </w:numPr>
              <w:spacing w:after="0" w:line="240" w:lineRule="auto"/>
              <w:rPr>
                <w:rFonts w:ascii="Arial Narrow" w:hAnsi="Arial Narrow"/>
                <w:sz w:val="20"/>
                <w:szCs w:val="20"/>
              </w:rPr>
            </w:pPr>
            <w:r w:rsidRPr="00FB0DA5">
              <w:rPr>
                <w:rFonts w:ascii="Arial Narrow" w:hAnsi="Arial Narrow"/>
                <w:sz w:val="20"/>
                <w:szCs w:val="20"/>
              </w:rPr>
              <w:t>Not described</w:t>
            </w:r>
          </w:p>
        </w:tc>
      </w:tr>
      <w:tr w:rsidR="00C45943" w:rsidRPr="00FB0DA5" w14:paraId="6967DD51" w14:textId="77777777" w:rsidTr="00B431D4">
        <w:tc>
          <w:tcPr>
            <w:tcW w:w="1456" w:type="dxa"/>
            <w:vMerge/>
          </w:tcPr>
          <w:p w14:paraId="2C5EF4E5" w14:textId="77777777" w:rsidR="00C45943" w:rsidRPr="00FB0DA5" w:rsidRDefault="00C45943" w:rsidP="00CC7D3E">
            <w:pPr>
              <w:keepNext/>
              <w:spacing w:after="0" w:line="240" w:lineRule="auto"/>
              <w:rPr>
                <w:rFonts w:ascii="Arial Narrow" w:hAnsi="Arial Narrow"/>
                <w:sz w:val="20"/>
                <w:szCs w:val="20"/>
              </w:rPr>
            </w:pPr>
          </w:p>
        </w:tc>
        <w:tc>
          <w:tcPr>
            <w:tcW w:w="1059" w:type="dxa"/>
          </w:tcPr>
          <w:p w14:paraId="51E5CA29" w14:textId="77777777" w:rsidR="00C45943" w:rsidRPr="00FB0DA5" w:rsidRDefault="00C45943" w:rsidP="00CC7D3E">
            <w:pPr>
              <w:keepNext/>
              <w:spacing w:after="0" w:line="240" w:lineRule="auto"/>
              <w:rPr>
                <w:rFonts w:ascii="Arial Narrow" w:hAnsi="Arial Narrow"/>
                <w:sz w:val="20"/>
                <w:szCs w:val="20"/>
              </w:rPr>
            </w:pPr>
            <w:r w:rsidRPr="00FB0DA5">
              <w:rPr>
                <w:rFonts w:ascii="Arial Narrow" w:hAnsi="Arial Narrow"/>
                <w:sz w:val="20"/>
                <w:szCs w:val="20"/>
              </w:rPr>
              <w:t>Surveillance</w:t>
            </w:r>
          </w:p>
        </w:tc>
        <w:tc>
          <w:tcPr>
            <w:tcW w:w="7056" w:type="dxa"/>
          </w:tcPr>
          <w:p w14:paraId="77895FFB" w14:textId="77777777" w:rsidR="00C45943" w:rsidRPr="00FB0DA5" w:rsidRDefault="00C45943" w:rsidP="00CC7D3E">
            <w:pPr>
              <w:pStyle w:val="ListParagraph"/>
              <w:keepNext/>
              <w:numPr>
                <w:ilvl w:val="0"/>
                <w:numId w:val="4"/>
              </w:numPr>
              <w:spacing w:after="0" w:line="240" w:lineRule="auto"/>
              <w:rPr>
                <w:rFonts w:ascii="Arial Narrow" w:hAnsi="Arial Narrow"/>
                <w:sz w:val="20"/>
                <w:szCs w:val="20"/>
              </w:rPr>
            </w:pPr>
            <w:r w:rsidRPr="00FB0DA5">
              <w:rPr>
                <w:rFonts w:ascii="Arial Narrow" w:hAnsi="Arial Narrow"/>
                <w:sz w:val="20"/>
                <w:szCs w:val="20"/>
              </w:rPr>
              <w:t>Baseline abdominal MRI at age 20 years (</w:t>
            </w:r>
            <w:proofErr w:type="spellStart"/>
            <w:r w:rsidRPr="00FB0DA5">
              <w:rPr>
                <w:rFonts w:ascii="Arial Narrow" w:hAnsi="Arial Narrow"/>
                <w:sz w:val="20"/>
                <w:szCs w:val="20"/>
              </w:rPr>
              <w:t>Menko</w:t>
            </w:r>
            <w:proofErr w:type="spellEnd"/>
            <w:r w:rsidRPr="00FB0DA5">
              <w:rPr>
                <w:rFonts w:ascii="Arial Narrow" w:hAnsi="Arial Narrow"/>
                <w:sz w:val="20"/>
                <w:szCs w:val="20"/>
              </w:rPr>
              <w:t xml:space="preserve"> 2009; Schmidt &amp; Lineman 2015; </w:t>
            </w:r>
            <w:proofErr w:type="spellStart"/>
            <w:r w:rsidRPr="00FB0DA5">
              <w:rPr>
                <w:rFonts w:ascii="Arial Narrow" w:hAnsi="Arial Narrow"/>
                <w:sz w:val="20"/>
                <w:szCs w:val="20"/>
              </w:rPr>
              <w:t>Houweling</w:t>
            </w:r>
            <w:proofErr w:type="spellEnd"/>
            <w:r w:rsidRPr="00FB0DA5">
              <w:rPr>
                <w:rFonts w:ascii="Arial Narrow" w:hAnsi="Arial Narrow"/>
                <w:sz w:val="20"/>
                <w:szCs w:val="20"/>
              </w:rPr>
              <w:t xml:space="preserve"> 2011)</w:t>
            </w:r>
          </w:p>
          <w:p w14:paraId="6C341F42" w14:textId="77777777" w:rsidR="00C45943" w:rsidRPr="00FB0DA5" w:rsidRDefault="00C45943" w:rsidP="00CC7D3E">
            <w:pPr>
              <w:pStyle w:val="ListParagraph"/>
              <w:keepNext/>
              <w:numPr>
                <w:ilvl w:val="0"/>
                <w:numId w:val="4"/>
              </w:numPr>
              <w:spacing w:after="0" w:line="240" w:lineRule="auto"/>
              <w:rPr>
                <w:rFonts w:ascii="Arial Narrow" w:hAnsi="Arial Narrow"/>
                <w:sz w:val="20"/>
                <w:szCs w:val="20"/>
              </w:rPr>
            </w:pPr>
            <w:r w:rsidRPr="00FB0DA5">
              <w:rPr>
                <w:rFonts w:ascii="Arial Narrow" w:hAnsi="Arial Narrow"/>
                <w:sz w:val="20"/>
                <w:szCs w:val="20"/>
              </w:rPr>
              <w:t>If no abnormality then 3 yearly MRI or 2 yearly high resolution ultrasound, and continue for life (Lineman 2015)</w:t>
            </w:r>
          </w:p>
          <w:p w14:paraId="26A02994" w14:textId="77777777" w:rsidR="00C45943" w:rsidRPr="00FB0DA5" w:rsidRDefault="00C45943" w:rsidP="00CC7D3E">
            <w:pPr>
              <w:pStyle w:val="ListParagraph"/>
              <w:keepNext/>
              <w:numPr>
                <w:ilvl w:val="0"/>
                <w:numId w:val="4"/>
              </w:numPr>
              <w:spacing w:after="0" w:line="240" w:lineRule="auto"/>
              <w:rPr>
                <w:rFonts w:ascii="Arial Narrow" w:hAnsi="Arial Narrow"/>
                <w:sz w:val="20"/>
                <w:szCs w:val="20"/>
              </w:rPr>
            </w:pPr>
            <w:r w:rsidRPr="00FB0DA5">
              <w:rPr>
                <w:rFonts w:ascii="Arial Narrow" w:hAnsi="Arial Narrow"/>
                <w:sz w:val="20"/>
                <w:szCs w:val="20"/>
              </w:rPr>
              <w:t>The interval for follow up abdominal imaging for renal tumours &lt;3 cm diameter is dependent on location and growth rate of tumours (Lineman 2015)</w:t>
            </w:r>
          </w:p>
        </w:tc>
      </w:tr>
      <w:tr w:rsidR="00C45943" w:rsidRPr="00FB0DA5" w14:paraId="3F308F0D" w14:textId="77777777" w:rsidTr="00B431D4">
        <w:tc>
          <w:tcPr>
            <w:tcW w:w="1456" w:type="dxa"/>
            <w:vMerge w:val="restart"/>
          </w:tcPr>
          <w:p w14:paraId="50A2625D" w14:textId="77777777" w:rsidR="00C45943" w:rsidRPr="00FB0DA5" w:rsidRDefault="00C45943" w:rsidP="00CC7D3E">
            <w:pPr>
              <w:keepNext/>
              <w:spacing w:after="0" w:line="240" w:lineRule="auto"/>
              <w:rPr>
                <w:rFonts w:ascii="Arial Narrow" w:hAnsi="Arial Narrow"/>
                <w:i/>
                <w:iCs w:val="0"/>
                <w:sz w:val="20"/>
                <w:szCs w:val="20"/>
              </w:rPr>
            </w:pPr>
            <w:r w:rsidRPr="00FB0DA5">
              <w:rPr>
                <w:rFonts w:ascii="Arial Narrow" w:hAnsi="Arial Narrow"/>
                <w:i/>
                <w:iCs w:val="0"/>
                <w:sz w:val="20"/>
                <w:szCs w:val="20"/>
              </w:rPr>
              <w:t>SDH</w:t>
            </w:r>
          </w:p>
          <w:p w14:paraId="00A45FE2" w14:textId="1E27F526" w:rsidR="00C45943" w:rsidRPr="00FB0DA5" w:rsidRDefault="00C45943" w:rsidP="00CC7D3E">
            <w:pPr>
              <w:keepNext/>
              <w:spacing w:after="0" w:line="240" w:lineRule="auto"/>
              <w:rPr>
                <w:rFonts w:ascii="Arial Narrow" w:hAnsi="Arial Narrow"/>
                <w:sz w:val="20"/>
                <w:szCs w:val="20"/>
              </w:rPr>
            </w:pPr>
            <w:r w:rsidRPr="00FB0DA5">
              <w:rPr>
                <w:rFonts w:ascii="Arial Narrow" w:hAnsi="Arial Narrow"/>
                <w:sz w:val="20"/>
                <w:szCs w:val="20"/>
              </w:rPr>
              <w:t>(</w:t>
            </w:r>
            <w:r w:rsidR="00EC0A06" w:rsidRPr="00FB0DA5">
              <w:rPr>
                <w:rFonts w:ascii="Arial Narrow" w:hAnsi="Arial Narrow"/>
                <w:sz w:val="20"/>
                <w:szCs w:val="20"/>
              </w:rPr>
              <w:t>Renal</w:t>
            </w:r>
            <w:r w:rsidRPr="00FB0DA5">
              <w:rPr>
                <w:rFonts w:ascii="Arial Narrow" w:hAnsi="Arial Narrow"/>
                <w:sz w:val="20"/>
                <w:szCs w:val="20"/>
              </w:rPr>
              <w:t xml:space="preserve"> cancer)</w:t>
            </w:r>
          </w:p>
        </w:tc>
        <w:tc>
          <w:tcPr>
            <w:tcW w:w="1059" w:type="dxa"/>
          </w:tcPr>
          <w:p w14:paraId="3CFF0943" w14:textId="77777777" w:rsidR="00C45943" w:rsidRPr="00FB0DA5" w:rsidRDefault="00C45943" w:rsidP="00CC7D3E">
            <w:pPr>
              <w:keepNext/>
              <w:spacing w:after="0" w:line="240" w:lineRule="auto"/>
              <w:rPr>
                <w:rFonts w:ascii="Arial Narrow" w:hAnsi="Arial Narrow"/>
                <w:sz w:val="20"/>
                <w:szCs w:val="20"/>
              </w:rPr>
            </w:pPr>
            <w:r w:rsidRPr="00FB0DA5">
              <w:rPr>
                <w:rFonts w:ascii="Arial Narrow" w:hAnsi="Arial Narrow"/>
                <w:sz w:val="20"/>
                <w:szCs w:val="20"/>
              </w:rPr>
              <w:t>Surgical</w:t>
            </w:r>
          </w:p>
        </w:tc>
        <w:tc>
          <w:tcPr>
            <w:tcW w:w="7056" w:type="dxa"/>
          </w:tcPr>
          <w:p w14:paraId="1F1336F8" w14:textId="77777777" w:rsidR="00C45943" w:rsidRPr="00FB0DA5" w:rsidRDefault="00C45943" w:rsidP="00CC7D3E">
            <w:pPr>
              <w:pStyle w:val="ListParagraph"/>
              <w:keepNext/>
              <w:numPr>
                <w:ilvl w:val="0"/>
                <w:numId w:val="6"/>
              </w:numPr>
              <w:spacing w:after="0" w:line="240" w:lineRule="auto"/>
              <w:rPr>
                <w:rFonts w:ascii="Arial Narrow" w:hAnsi="Arial Narrow"/>
                <w:sz w:val="20"/>
                <w:szCs w:val="20"/>
              </w:rPr>
            </w:pPr>
            <w:r w:rsidRPr="00FB0DA5">
              <w:rPr>
                <w:rFonts w:ascii="Arial Narrow" w:hAnsi="Arial Narrow"/>
                <w:sz w:val="20"/>
                <w:szCs w:val="20"/>
              </w:rPr>
              <w:t xml:space="preserve">The care of </w:t>
            </w:r>
            <w:r w:rsidRPr="00FB0DA5">
              <w:rPr>
                <w:rStyle w:val="Strong"/>
                <w:rFonts w:ascii="Arial Narrow" w:hAnsi="Arial Narrow"/>
                <w:b w:val="0"/>
                <w:bCs w:val="0"/>
                <w:sz w:val="20"/>
                <w:szCs w:val="20"/>
              </w:rPr>
              <w:t>affected</w:t>
            </w:r>
            <w:r w:rsidRPr="00FB0DA5">
              <w:rPr>
                <w:rStyle w:val="Strong"/>
                <w:rFonts w:ascii="Arial Narrow" w:hAnsi="Arial Narrow"/>
                <w:sz w:val="20"/>
                <w:szCs w:val="20"/>
              </w:rPr>
              <w:t xml:space="preserve"> </w:t>
            </w:r>
            <w:r w:rsidRPr="00FB0DA5">
              <w:rPr>
                <w:rFonts w:ascii="Arial Narrow" w:hAnsi="Arial Narrow"/>
                <w:sz w:val="20"/>
                <w:szCs w:val="20"/>
              </w:rPr>
              <w:t>individuals should be individualised based on their clinical situation</w:t>
            </w:r>
          </w:p>
        </w:tc>
      </w:tr>
      <w:tr w:rsidR="00C45943" w:rsidRPr="00FB0DA5" w14:paraId="42CBDDF1" w14:textId="77777777" w:rsidTr="00B431D4">
        <w:tc>
          <w:tcPr>
            <w:tcW w:w="1456" w:type="dxa"/>
            <w:vMerge/>
          </w:tcPr>
          <w:p w14:paraId="44ECC016" w14:textId="77777777" w:rsidR="00C45943" w:rsidRPr="00FB0DA5" w:rsidRDefault="00C45943" w:rsidP="00CC7D3E">
            <w:pPr>
              <w:keepNext/>
              <w:spacing w:after="0" w:line="240" w:lineRule="auto"/>
              <w:rPr>
                <w:rFonts w:ascii="Arial Narrow" w:hAnsi="Arial Narrow"/>
                <w:sz w:val="20"/>
                <w:szCs w:val="20"/>
              </w:rPr>
            </w:pPr>
          </w:p>
        </w:tc>
        <w:tc>
          <w:tcPr>
            <w:tcW w:w="1059" w:type="dxa"/>
          </w:tcPr>
          <w:p w14:paraId="4991E814" w14:textId="77777777" w:rsidR="00C45943" w:rsidRPr="00FB0DA5" w:rsidRDefault="00C45943" w:rsidP="00CC7D3E">
            <w:pPr>
              <w:keepNext/>
              <w:spacing w:after="0" w:line="240" w:lineRule="auto"/>
              <w:rPr>
                <w:rFonts w:ascii="Arial Narrow" w:hAnsi="Arial Narrow"/>
                <w:sz w:val="20"/>
                <w:szCs w:val="20"/>
              </w:rPr>
            </w:pPr>
            <w:r w:rsidRPr="00FB0DA5">
              <w:rPr>
                <w:rFonts w:ascii="Arial Narrow" w:hAnsi="Arial Narrow"/>
                <w:sz w:val="20"/>
                <w:szCs w:val="20"/>
              </w:rPr>
              <w:t>Surveillance</w:t>
            </w:r>
          </w:p>
        </w:tc>
        <w:tc>
          <w:tcPr>
            <w:tcW w:w="7056" w:type="dxa"/>
          </w:tcPr>
          <w:p w14:paraId="7D812A2B" w14:textId="77777777" w:rsidR="00C45943" w:rsidRPr="00FB0DA5" w:rsidRDefault="00C45943" w:rsidP="00CC7D3E">
            <w:pPr>
              <w:pStyle w:val="ListParagraph"/>
              <w:keepNext/>
              <w:numPr>
                <w:ilvl w:val="0"/>
                <w:numId w:val="5"/>
              </w:numPr>
              <w:spacing w:after="0" w:line="240" w:lineRule="auto"/>
              <w:rPr>
                <w:rFonts w:ascii="Arial Narrow" w:hAnsi="Arial Narrow"/>
                <w:sz w:val="20"/>
                <w:szCs w:val="20"/>
              </w:rPr>
            </w:pPr>
            <w:r w:rsidRPr="00FB0DA5">
              <w:rPr>
                <w:rFonts w:ascii="Arial Narrow" w:hAnsi="Arial Narrow"/>
                <w:i/>
                <w:sz w:val="20"/>
                <w:szCs w:val="20"/>
              </w:rPr>
              <w:t>SDHA</w:t>
            </w:r>
            <w:r w:rsidRPr="00FB0DA5">
              <w:rPr>
                <w:rFonts w:ascii="Arial Narrow" w:hAnsi="Arial Narrow"/>
                <w:sz w:val="20"/>
                <w:szCs w:val="20"/>
              </w:rPr>
              <w:t>: 5 yearly starting at 18 years</w:t>
            </w:r>
          </w:p>
          <w:p w14:paraId="5F3BAAD5" w14:textId="77777777" w:rsidR="00C45943" w:rsidRPr="00FB0DA5" w:rsidRDefault="00C45943" w:rsidP="00CC7D3E">
            <w:pPr>
              <w:pStyle w:val="ListParagraph"/>
              <w:keepNext/>
              <w:numPr>
                <w:ilvl w:val="0"/>
                <w:numId w:val="5"/>
              </w:numPr>
              <w:spacing w:after="0" w:line="240" w:lineRule="auto"/>
              <w:rPr>
                <w:rFonts w:ascii="Arial Narrow" w:hAnsi="Arial Narrow"/>
                <w:sz w:val="20"/>
                <w:szCs w:val="20"/>
              </w:rPr>
            </w:pPr>
            <w:r w:rsidRPr="00FB0DA5">
              <w:rPr>
                <w:rFonts w:ascii="Arial Narrow" w:hAnsi="Arial Narrow"/>
                <w:i/>
                <w:sz w:val="20"/>
                <w:szCs w:val="20"/>
              </w:rPr>
              <w:t>SDHB</w:t>
            </w:r>
            <w:r w:rsidRPr="00FB0DA5">
              <w:rPr>
                <w:rFonts w:ascii="Arial Narrow" w:hAnsi="Arial Narrow"/>
                <w:sz w:val="20"/>
                <w:szCs w:val="20"/>
              </w:rPr>
              <w:t>: 2 yearly starting at 10 years</w:t>
            </w:r>
          </w:p>
          <w:p w14:paraId="0F1586EC" w14:textId="77777777" w:rsidR="00C45943" w:rsidRPr="00FB0DA5" w:rsidRDefault="00C45943" w:rsidP="00CC7D3E">
            <w:pPr>
              <w:pStyle w:val="ListParagraph"/>
              <w:keepNext/>
              <w:numPr>
                <w:ilvl w:val="0"/>
                <w:numId w:val="5"/>
              </w:numPr>
              <w:spacing w:after="0" w:line="240" w:lineRule="auto"/>
              <w:rPr>
                <w:rFonts w:ascii="Arial Narrow" w:hAnsi="Arial Narrow"/>
                <w:sz w:val="20"/>
                <w:szCs w:val="20"/>
              </w:rPr>
            </w:pPr>
            <w:r w:rsidRPr="00FB0DA5">
              <w:rPr>
                <w:rFonts w:ascii="Arial Narrow" w:hAnsi="Arial Narrow"/>
                <w:i/>
                <w:sz w:val="20"/>
                <w:szCs w:val="20"/>
              </w:rPr>
              <w:t>SDHC</w:t>
            </w:r>
            <w:r w:rsidRPr="00FB0DA5">
              <w:rPr>
                <w:rFonts w:ascii="Arial Narrow" w:hAnsi="Arial Narrow"/>
                <w:sz w:val="20"/>
                <w:szCs w:val="20"/>
              </w:rPr>
              <w:t xml:space="preserve">, </w:t>
            </w:r>
            <w:r w:rsidRPr="00FB0DA5">
              <w:rPr>
                <w:rFonts w:ascii="Arial Narrow" w:hAnsi="Arial Narrow"/>
                <w:i/>
                <w:sz w:val="20"/>
                <w:szCs w:val="20"/>
              </w:rPr>
              <w:t>SDHD SDHAF2</w:t>
            </w:r>
            <w:r w:rsidRPr="00FB0DA5">
              <w:rPr>
                <w:rFonts w:ascii="Arial Narrow" w:hAnsi="Arial Narrow"/>
                <w:sz w:val="20"/>
                <w:szCs w:val="20"/>
              </w:rPr>
              <w:t xml:space="preserve"> (paternally inherited) : 3-5 yearly starting at 18 years</w:t>
            </w:r>
          </w:p>
          <w:p w14:paraId="47E5C188" w14:textId="77777777" w:rsidR="00C45943" w:rsidRPr="00FB0DA5" w:rsidRDefault="00C45943" w:rsidP="00CC7D3E">
            <w:pPr>
              <w:pStyle w:val="ListParagraph"/>
              <w:keepNext/>
              <w:numPr>
                <w:ilvl w:val="0"/>
                <w:numId w:val="5"/>
              </w:numPr>
              <w:spacing w:after="0" w:line="240" w:lineRule="auto"/>
              <w:rPr>
                <w:rFonts w:ascii="Arial Narrow" w:hAnsi="Arial Narrow"/>
                <w:sz w:val="20"/>
                <w:szCs w:val="20"/>
              </w:rPr>
            </w:pPr>
            <w:r w:rsidRPr="00FB0DA5">
              <w:rPr>
                <w:rFonts w:ascii="Arial Narrow" w:hAnsi="Arial Narrow"/>
                <w:sz w:val="20"/>
                <w:szCs w:val="20"/>
              </w:rPr>
              <w:t>These recommendations coincide with MRI of base of skull to coccyx for PGL/PC</w:t>
            </w:r>
          </w:p>
          <w:p w14:paraId="543E6847" w14:textId="77777777" w:rsidR="00C45943" w:rsidRPr="00FB0DA5" w:rsidRDefault="00C45943" w:rsidP="00CC7D3E">
            <w:pPr>
              <w:pStyle w:val="ListParagraph"/>
              <w:keepNext/>
              <w:numPr>
                <w:ilvl w:val="0"/>
                <w:numId w:val="5"/>
              </w:numPr>
              <w:spacing w:after="0" w:line="240" w:lineRule="auto"/>
              <w:rPr>
                <w:rFonts w:ascii="Arial Narrow" w:hAnsi="Arial Narrow"/>
                <w:sz w:val="20"/>
                <w:szCs w:val="20"/>
              </w:rPr>
            </w:pPr>
            <w:r w:rsidRPr="00FB0DA5">
              <w:rPr>
                <w:rFonts w:ascii="Arial Narrow" w:hAnsi="Arial Narrow"/>
                <w:i/>
                <w:sz w:val="20"/>
                <w:szCs w:val="20"/>
              </w:rPr>
              <w:t>SDHA</w:t>
            </w:r>
            <w:r w:rsidRPr="00FB0DA5">
              <w:rPr>
                <w:rFonts w:ascii="Arial Narrow" w:hAnsi="Arial Narrow"/>
                <w:sz w:val="20"/>
                <w:szCs w:val="20"/>
              </w:rPr>
              <w:t xml:space="preserve"> pathogenic variants demonstrate low penetrance. Few individuals with </w:t>
            </w:r>
            <w:r w:rsidRPr="00FB0DA5">
              <w:rPr>
                <w:rFonts w:ascii="Arial Narrow" w:hAnsi="Arial Narrow"/>
                <w:i/>
                <w:sz w:val="20"/>
                <w:szCs w:val="20"/>
              </w:rPr>
              <w:t>SDHAF2</w:t>
            </w:r>
            <w:r w:rsidRPr="00FB0DA5">
              <w:rPr>
                <w:rFonts w:ascii="Arial Narrow" w:hAnsi="Arial Narrow"/>
                <w:sz w:val="20"/>
                <w:szCs w:val="20"/>
              </w:rPr>
              <w:t xml:space="preserve"> pathogenic variants have been reported, and penetrance is unclear. </w:t>
            </w:r>
          </w:p>
          <w:p w14:paraId="79335EE1" w14:textId="77777777" w:rsidR="00C45943" w:rsidRPr="00FB0DA5" w:rsidRDefault="00C45943" w:rsidP="00CC7D3E">
            <w:pPr>
              <w:pStyle w:val="ListParagraph"/>
              <w:keepNext/>
              <w:numPr>
                <w:ilvl w:val="0"/>
                <w:numId w:val="5"/>
              </w:numPr>
              <w:spacing w:after="0" w:line="240" w:lineRule="auto"/>
              <w:rPr>
                <w:rFonts w:ascii="Arial Narrow" w:hAnsi="Arial Narrow"/>
                <w:sz w:val="20"/>
                <w:szCs w:val="20"/>
              </w:rPr>
            </w:pPr>
            <w:r w:rsidRPr="00FB0DA5">
              <w:rPr>
                <w:rFonts w:ascii="Arial Narrow" w:hAnsi="Arial Narrow"/>
                <w:sz w:val="20"/>
                <w:szCs w:val="20"/>
              </w:rPr>
              <w:t xml:space="preserve">Particular care should be taken in formulating follow-up plans for asymptomatic individuals with </w:t>
            </w:r>
            <w:r w:rsidRPr="00FB0DA5">
              <w:rPr>
                <w:rFonts w:ascii="Arial Narrow" w:hAnsi="Arial Narrow"/>
                <w:i/>
                <w:sz w:val="20"/>
                <w:szCs w:val="20"/>
              </w:rPr>
              <w:t>SDHA</w:t>
            </w:r>
            <w:r w:rsidRPr="00FB0DA5">
              <w:rPr>
                <w:rFonts w:ascii="Arial Narrow" w:hAnsi="Arial Narrow"/>
                <w:sz w:val="20"/>
                <w:szCs w:val="20"/>
              </w:rPr>
              <w:t xml:space="preserve"> and </w:t>
            </w:r>
            <w:r w:rsidRPr="00FB0DA5">
              <w:rPr>
                <w:rFonts w:ascii="Arial Narrow" w:hAnsi="Arial Narrow"/>
                <w:i/>
                <w:sz w:val="20"/>
                <w:szCs w:val="20"/>
              </w:rPr>
              <w:t>SDHAF2</w:t>
            </w:r>
            <w:r w:rsidRPr="00FB0DA5">
              <w:rPr>
                <w:rFonts w:ascii="Arial Narrow" w:hAnsi="Arial Narrow"/>
                <w:sz w:val="20"/>
                <w:szCs w:val="20"/>
              </w:rPr>
              <w:t xml:space="preserve"> pathogenic variants to avoid over-surveillance.</w:t>
            </w:r>
          </w:p>
        </w:tc>
      </w:tr>
      <w:tr w:rsidR="00C45943" w:rsidRPr="00FB0DA5" w14:paraId="00FCC7A9" w14:textId="77777777" w:rsidTr="00B431D4">
        <w:tc>
          <w:tcPr>
            <w:tcW w:w="1456" w:type="dxa"/>
            <w:vMerge w:val="restart"/>
          </w:tcPr>
          <w:p w14:paraId="220E384D" w14:textId="77777777" w:rsidR="00C45943" w:rsidRPr="00FB0DA5" w:rsidRDefault="00C45943" w:rsidP="00CC7D3E">
            <w:pPr>
              <w:keepNext/>
              <w:spacing w:after="0" w:line="240" w:lineRule="auto"/>
              <w:rPr>
                <w:rFonts w:ascii="Arial Narrow" w:hAnsi="Arial Narrow"/>
                <w:sz w:val="20"/>
                <w:szCs w:val="20"/>
              </w:rPr>
            </w:pPr>
            <w:r w:rsidRPr="00FB0DA5">
              <w:rPr>
                <w:rFonts w:ascii="Arial Narrow" w:hAnsi="Arial Narrow"/>
                <w:i/>
                <w:iCs w:val="0"/>
                <w:sz w:val="20"/>
                <w:szCs w:val="20"/>
              </w:rPr>
              <w:t>BAP-1</w:t>
            </w:r>
            <w:r w:rsidRPr="00FB0DA5">
              <w:rPr>
                <w:rFonts w:ascii="Arial Narrow" w:hAnsi="Arial Narrow"/>
                <w:sz w:val="20"/>
                <w:szCs w:val="20"/>
              </w:rPr>
              <w:t xml:space="preserve"> (renal cell carcinoma)</w:t>
            </w:r>
          </w:p>
        </w:tc>
        <w:tc>
          <w:tcPr>
            <w:tcW w:w="1059" w:type="dxa"/>
          </w:tcPr>
          <w:p w14:paraId="16929BF8" w14:textId="77777777" w:rsidR="00C45943" w:rsidRPr="00FB0DA5" w:rsidRDefault="00C45943" w:rsidP="00CC7D3E">
            <w:pPr>
              <w:keepNext/>
              <w:spacing w:after="0" w:line="240" w:lineRule="auto"/>
              <w:rPr>
                <w:rFonts w:ascii="Arial Narrow" w:hAnsi="Arial Narrow"/>
                <w:sz w:val="20"/>
                <w:szCs w:val="20"/>
              </w:rPr>
            </w:pPr>
            <w:r w:rsidRPr="00FB0DA5">
              <w:rPr>
                <w:rFonts w:ascii="Arial Narrow" w:hAnsi="Arial Narrow"/>
                <w:sz w:val="20"/>
                <w:szCs w:val="20"/>
              </w:rPr>
              <w:t>Surgical</w:t>
            </w:r>
          </w:p>
        </w:tc>
        <w:tc>
          <w:tcPr>
            <w:tcW w:w="7056" w:type="dxa"/>
          </w:tcPr>
          <w:p w14:paraId="11764333" w14:textId="77777777" w:rsidR="00C45943" w:rsidRPr="00FB0DA5" w:rsidRDefault="00C45943" w:rsidP="00CC7D3E">
            <w:pPr>
              <w:pStyle w:val="ListParagraph"/>
              <w:keepNext/>
              <w:numPr>
                <w:ilvl w:val="0"/>
                <w:numId w:val="9"/>
              </w:numPr>
              <w:spacing w:after="0" w:line="240" w:lineRule="auto"/>
              <w:rPr>
                <w:rFonts w:ascii="Arial Narrow" w:hAnsi="Arial Narrow"/>
                <w:sz w:val="20"/>
                <w:szCs w:val="20"/>
              </w:rPr>
            </w:pPr>
            <w:r w:rsidRPr="00FB0DA5">
              <w:rPr>
                <w:rFonts w:ascii="Arial Narrow" w:hAnsi="Arial Narrow"/>
                <w:sz w:val="20"/>
                <w:szCs w:val="20"/>
              </w:rPr>
              <w:t>None described</w:t>
            </w:r>
          </w:p>
        </w:tc>
      </w:tr>
      <w:tr w:rsidR="00C45943" w:rsidRPr="00FB0DA5" w14:paraId="18180A13" w14:textId="77777777" w:rsidTr="00B431D4">
        <w:tc>
          <w:tcPr>
            <w:tcW w:w="1456" w:type="dxa"/>
            <w:vMerge/>
          </w:tcPr>
          <w:p w14:paraId="7C84407C" w14:textId="77777777" w:rsidR="00C45943" w:rsidRPr="00FB0DA5" w:rsidRDefault="00C45943" w:rsidP="00CC7D3E">
            <w:pPr>
              <w:keepNext/>
              <w:spacing w:after="0" w:line="240" w:lineRule="auto"/>
              <w:rPr>
                <w:rFonts w:ascii="Arial Narrow" w:hAnsi="Arial Narrow"/>
                <w:sz w:val="20"/>
                <w:szCs w:val="20"/>
              </w:rPr>
            </w:pPr>
          </w:p>
        </w:tc>
        <w:tc>
          <w:tcPr>
            <w:tcW w:w="1059" w:type="dxa"/>
          </w:tcPr>
          <w:p w14:paraId="78AAC7AF" w14:textId="77777777" w:rsidR="00C45943" w:rsidRPr="00FB0DA5" w:rsidRDefault="00C45943" w:rsidP="00CC7D3E">
            <w:pPr>
              <w:keepNext/>
              <w:spacing w:after="0" w:line="240" w:lineRule="auto"/>
              <w:rPr>
                <w:rFonts w:ascii="Arial Narrow" w:hAnsi="Arial Narrow"/>
                <w:sz w:val="20"/>
                <w:szCs w:val="20"/>
              </w:rPr>
            </w:pPr>
            <w:r w:rsidRPr="00FB0DA5">
              <w:rPr>
                <w:rFonts w:ascii="Arial Narrow" w:hAnsi="Arial Narrow"/>
                <w:sz w:val="20"/>
                <w:szCs w:val="20"/>
              </w:rPr>
              <w:t>Surveillance</w:t>
            </w:r>
          </w:p>
        </w:tc>
        <w:tc>
          <w:tcPr>
            <w:tcW w:w="7056" w:type="dxa"/>
          </w:tcPr>
          <w:p w14:paraId="4ABB8CDE" w14:textId="77777777" w:rsidR="00C45943" w:rsidRPr="00FB0DA5" w:rsidRDefault="00C45943" w:rsidP="00CC7D3E">
            <w:pPr>
              <w:pStyle w:val="ListParagraph"/>
              <w:keepNext/>
              <w:numPr>
                <w:ilvl w:val="0"/>
                <w:numId w:val="9"/>
              </w:numPr>
              <w:spacing w:after="0" w:line="240" w:lineRule="auto"/>
              <w:rPr>
                <w:rFonts w:ascii="Arial Narrow" w:hAnsi="Arial Narrow"/>
                <w:sz w:val="20"/>
                <w:szCs w:val="20"/>
              </w:rPr>
            </w:pPr>
            <w:r w:rsidRPr="00FB0DA5">
              <w:rPr>
                <w:rFonts w:ascii="Arial Narrow" w:hAnsi="Arial Narrow"/>
                <w:sz w:val="20"/>
                <w:szCs w:val="20"/>
              </w:rPr>
              <w:t>Annual imaging ideally with MRI every 2 years alternating with high resolution renal ultrasound. If MRI not available, consider high resolution renal ultrasound annually</w:t>
            </w:r>
          </w:p>
        </w:tc>
      </w:tr>
      <w:tr w:rsidR="00C45943" w:rsidRPr="00FB0DA5" w14:paraId="44C97EC8" w14:textId="77777777" w:rsidTr="00B431D4">
        <w:tc>
          <w:tcPr>
            <w:tcW w:w="1456" w:type="dxa"/>
            <w:vMerge w:val="restart"/>
          </w:tcPr>
          <w:p w14:paraId="6D47442E" w14:textId="77777777" w:rsidR="00C45943" w:rsidRPr="00FB0DA5" w:rsidRDefault="00C45943" w:rsidP="00CC7D3E">
            <w:pPr>
              <w:keepNext/>
              <w:spacing w:after="0" w:line="240" w:lineRule="auto"/>
              <w:rPr>
                <w:rFonts w:ascii="Arial Narrow" w:hAnsi="Arial Narrow"/>
                <w:i/>
                <w:iCs w:val="0"/>
                <w:sz w:val="20"/>
                <w:szCs w:val="20"/>
              </w:rPr>
            </w:pPr>
            <w:r w:rsidRPr="00FB0DA5">
              <w:rPr>
                <w:rFonts w:ascii="Arial Narrow" w:hAnsi="Arial Narrow"/>
                <w:i/>
                <w:iCs w:val="0"/>
                <w:sz w:val="20"/>
                <w:szCs w:val="20"/>
              </w:rPr>
              <w:t xml:space="preserve">MET </w:t>
            </w:r>
          </w:p>
          <w:p w14:paraId="620F8B46" w14:textId="77777777" w:rsidR="00C45943" w:rsidRPr="00FB0DA5" w:rsidRDefault="00C45943" w:rsidP="00CC7D3E">
            <w:pPr>
              <w:keepNext/>
              <w:spacing w:after="0" w:line="240" w:lineRule="auto"/>
              <w:rPr>
                <w:rFonts w:ascii="Arial Narrow" w:hAnsi="Arial Narrow"/>
                <w:sz w:val="20"/>
                <w:szCs w:val="20"/>
              </w:rPr>
            </w:pPr>
            <w:r w:rsidRPr="00FB0DA5">
              <w:rPr>
                <w:rFonts w:ascii="Arial Narrow" w:hAnsi="Arial Narrow"/>
                <w:sz w:val="20"/>
                <w:szCs w:val="20"/>
              </w:rPr>
              <w:t>(Type 1 papillary renal cell carcinoma)</w:t>
            </w:r>
          </w:p>
        </w:tc>
        <w:tc>
          <w:tcPr>
            <w:tcW w:w="1059" w:type="dxa"/>
          </w:tcPr>
          <w:p w14:paraId="095EF24C" w14:textId="77777777" w:rsidR="00C45943" w:rsidRPr="00FB0DA5" w:rsidRDefault="00C45943" w:rsidP="00CC7D3E">
            <w:pPr>
              <w:keepNext/>
              <w:spacing w:after="0" w:line="240" w:lineRule="auto"/>
              <w:rPr>
                <w:rFonts w:ascii="Arial Narrow" w:hAnsi="Arial Narrow"/>
                <w:sz w:val="20"/>
                <w:szCs w:val="20"/>
              </w:rPr>
            </w:pPr>
            <w:r w:rsidRPr="00FB0DA5">
              <w:rPr>
                <w:rFonts w:ascii="Arial Narrow" w:hAnsi="Arial Narrow"/>
                <w:sz w:val="20"/>
                <w:szCs w:val="20"/>
              </w:rPr>
              <w:t>Surgical</w:t>
            </w:r>
          </w:p>
        </w:tc>
        <w:tc>
          <w:tcPr>
            <w:tcW w:w="7056" w:type="dxa"/>
          </w:tcPr>
          <w:p w14:paraId="1A81F65F" w14:textId="77777777" w:rsidR="00C45943" w:rsidRPr="00FB0DA5" w:rsidRDefault="00C45943" w:rsidP="00CC7D3E">
            <w:pPr>
              <w:pStyle w:val="ListParagraph"/>
              <w:keepNext/>
              <w:numPr>
                <w:ilvl w:val="0"/>
                <w:numId w:val="2"/>
              </w:numPr>
              <w:spacing w:after="0" w:line="240" w:lineRule="auto"/>
              <w:rPr>
                <w:rFonts w:ascii="Arial Narrow" w:hAnsi="Arial Narrow"/>
                <w:sz w:val="20"/>
                <w:szCs w:val="20"/>
              </w:rPr>
            </w:pPr>
            <w:r w:rsidRPr="00FB0DA5">
              <w:rPr>
                <w:rFonts w:ascii="Arial Narrow" w:hAnsi="Arial Narrow"/>
                <w:sz w:val="20"/>
                <w:szCs w:val="20"/>
              </w:rPr>
              <w:t xml:space="preserve">Risk-reducing surgery is not indicated </w:t>
            </w:r>
          </w:p>
          <w:p w14:paraId="06D56D29" w14:textId="77777777" w:rsidR="00C45943" w:rsidRPr="00FB0DA5" w:rsidRDefault="00C45943" w:rsidP="00CC7D3E">
            <w:pPr>
              <w:pStyle w:val="ListParagraph"/>
              <w:keepNext/>
              <w:numPr>
                <w:ilvl w:val="0"/>
                <w:numId w:val="2"/>
              </w:numPr>
              <w:spacing w:after="0" w:line="240" w:lineRule="auto"/>
              <w:rPr>
                <w:rFonts w:ascii="Arial Narrow" w:hAnsi="Arial Narrow"/>
                <w:sz w:val="20"/>
                <w:szCs w:val="20"/>
              </w:rPr>
            </w:pPr>
            <w:r w:rsidRPr="00FB0DA5">
              <w:rPr>
                <w:rFonts w:ascii="Arial Narrow" w:hAnsi="Arial Narrow"/>
                <w:sz w:val="20"/>
                <w:szCs w:val="20"/>
              </w:rPr>
              <w:t>If tumours are detected, consider renal-sparing surgery if appropriate. This will depend on the size, location, growth rate, number of tumours and the patient’s co-morbidities (</w:t>
            </w:r>
            <w:proofErr w:type="spellStart"/>
            <w:r w:rsidRPr="00FB0DA5">
              <w:rPr>
                <w:rFonts w:ascii="Arial Narrow" w:hAnsi="Arial Narrow"/>
                <w:sz w:val="20"/>
                <w:szCs w:val="20"/>
              </w:rPr>
              <w:t>Shuch</w:t>
            </w:r>
            <w:proofErr w:type="spellEnd"/>
            <w:r w:rsidRPr="00FB0DA5">
              <w:rPr>
                <w:rFonts w:ascii="Arial Narrow" w:hAnsi="Arial Narrow"/>
                <w:sz w:val="20"/>
                <w:szCs w:val="20"/>
              </w:rPr>
              <w:t xml:space="preserve"> 2012)</w:t>
            </w:r>
          </w:p>
        </w:tc>
      </w:tr>
      <w:tr w:rsidR="00C45943" w:rsidRPr="00FB0DA5" w14:paraId="58B0B473" w14:textId="77777777" w:rsidTr="00B431D4">
        <w:tc>
          <w:tcPr>
            <w:tcW w:w="1456" w:type="dxa"/>
            <w:vMerge/>
          </w:tcPr>
          <w:p w14:paraId="0111A40A" w14:textId="77777777" w:rsidR="00C45943" w:rsidRPr="00FB0DA5" w:rsidRDefault="00C45943" w:rsidP="00CC7D3E">
            <w:pPr>
              <w:keepNext/>
              <w:spacing w:after="0" w:line="240" w:lineRule="auto"/>
              <w:rPr>
                <w:rFonts w:ascii="Arial Narrow" w:hAnsi="Arial Narrow"/>
                <w:sz w:val="20"/>
                <w:szCs w:val="20"/>
              </w:rPr>
            </w:pPr>
          </w:p>
        </w:tc>
        <w:tc>
          <w:tcPr>
            <w:tcW w:w="1059" w:type="dxa"/>
          </w:tcPr>
          <w:p w14:paraId="1CCEBDE5" w14:textId="77777777" w:rsidR="00C45943" w:rsidRPr="00FB0DA5" w:rsidRDefault="00C45943" w:rsidP="00CC7D3E">
            <w:pPr>
              <w:keepNext/>
              <w:spacing w:after="0" w:line="240" w:lineRule="auto"/>
              <w:rPr>
                <w:rFonts w:ascii="Arial Narrow" w:hAnsi="Arial Narrow"/>
                <w:sz w:val="20"/>
                <w:szCs w:val="20"/>
              </w:rPr>
            </w:pPr>
            <w:r w:rsidRPr="00FB0DA5">
              <w:rPr>
                <w:rFonts w:ascii="Arial Narrow" w:hAnsi="Arial Narrow"/>
                <w:sz w:val="20"/>
                <w:szCs w:val="20"/>
              </w:rPr>
              <w:t>Surveillance</w:t>
            </w:r>
          </w:p>
        </w:tc>
        <w:tc>
          <w:tcPr>
            <w:tcW w:w="7056" w:type="dxa"/>
          </w:tcPr>
          <w:p w14:paraId="4257BEC1" w14:textId="77777777" w:rsidR="00C45943" w:rsidRPr="00FB0DA5" w:rsidRDefault="00C45943" w:rsidP="00CC7D3E">
            <w:pPr>
              <w:pStyle w:val="ListParagraph"/>
              <w:keepNext/>
              <w:numPr>
                <w:ilvl w:val="0"/>
                <w:numId w:val="3"/>
              </w:numPr>
              <w:spacing w:after="0" w:line="240" w:lineRule="auto"/>
              <w:rPr>
                <w:rFonts w:ascii="Arial Narrow" w:hAnsi="Arial Narrow"/>
                <w:sz w:val="20"/>
                <w:szCs w:val="20"/>
              </w:rPr>
            </w:pPr>
            <w:r w:rsidRPr="00FB0DA5">
              <w:rPr>
                <w:rFonts w:ascii="Arial Narrow" w:hAnsi="Arial Narrow"/>
                <w:sz w:val="20"/>
                <w:szCs w:val="20"/>
              </w:rPr>
              <w:t>Baseline abdominal MRI at age 30 years. Consider high resolution ultrasound if MRI not available</w:t>
            </w:r>
          </w:p>
          <w:p w14:paraId="3B3DB8CF" w14:textId="77777777" w:rsidR="00C45943" w:rsidRPr="00FB0DA5" w:rsidRDefault="00C45943" w:rsidP="00CC7D3E">
            <w:pPr>
              <w:pStyle w:val="ListParagraph"/>
              <w:keepNext/>
              <w:numPr>
                <w:ilvl w:val="0"/>
                <w:numId w:val="3"/>
              </w:numPr>
              <w:spacing w:after="0" w:line="240" w:lineRule="auto"/>
              <w:rPr>
                <w:rFonts w:ascii="Arial Narrow" w:hAnsi="Arial Narrow"/>
                <w:sz w:val="20"/>
                <w:szCs w:val="20"/>
              </w:rPr>
            </w:pPr>
            <w:r w:rsidRPr="00FB0DA5">
              <w:rPr>
                <w:rFonts w:ascii="Arial Narrow" w:hAnsi="Arial Narrow"/>
                <w:sz w:val="20"/>
                <w:szCs w:val="20"/>
              </w:rPr>
              <w:t>If no abnormality, then 3 yearly imaging</w:t>
            </w:r>
          </w:p>
          <w:p w14:paraId="49E7B251" w14:textId="77777777" w:rsidR="00C45943" w:rsidRPr="00FB0DA5" w:rsidRDefault="00C45943" w:rsidP="00CC7D3E">
            <w:pPr>
              <w:pStyle w:val="ListParagraph"/>
              <w:keepNext/>
              <w:numPr>
                <w:ilvl w:val="0"/>
                <w:numId w:val="3"/>
              </w:numPr>
              <w:spacing w:after="0" w:line="240" w:lineRule="auto"/>
              <w:rPr>
                <w:rFonts w:ascii="Arial Narrow" w:hAnsi="Arial Narrow"/>
                <w:sz w:val="20"/>
                <w:szCs w:val="20"/>
              </w:rPr>
            </w:pPr>
            <w:r w:rsidRPr="00FB0DA5">
              <w:rPr>
                <w:rFonts w:ascii="Arial Narrow" w:hAnsi="Arial Narrow"/>
                <w:sz w:val="20"/>
                <w:szCs w:val="20"/>
              </w:rPr>
              <w:t>The interval for follow up abdominal imaging for renal tumours &lt;3 cm diameter is dependent on location and growth rate of tumours</w:t>
            </w:r>
          </w:p>
        </w:tc>
      </w:tr>
      <w:tr w:rsidR="00C45943" w:rsidRPr="00FB0DA5" w14:paraId="14ED4A29" w14:textId="77777777" w:rsidTr="00B431D4">
        <w:tc>
          <w:tcPr>
            <w:tcW w:w="1456" w:type="dxa"/>
            <w:vMerge w:val="restart"/>
          </w:tcPr>
          <w:p w14:paraId="0E07969E" w14:textId="77777777" w:rsidR="00C45943" w:rsidRPr="00FB0DA5" w:rsidRDefault="00C45943" w:rsidP="00CC7D3E">
            <w:pPr>
              <w:keepNext/>
              <w:spacing w:after="0" w:line="240" w:lineRule="auto"/>
              <w:rPr>
                <w:rFonts w:ascii="Arial Narrow" w:hAnsi="Arial Narrow"/>
                <w:i/>
                <w:sz w:val="20"/>
                <w:szCs w:val="20"/>
              </w:rPr>
            </w:pPr>
            <w:r w:rsidRPr="00FB0DA5">
              <w:rPr>
                <w:rFonts w:ascii="Arial Narrow" w:hAnsi="Arial Narrow"/>
                <w:sz w:val="20"/>
                <w:szCs w:val="20"/>
              </w:rPr>
              <w:t xml:space="preserve">FH </w:t>
            </w:r>
            <w:r w:rsidRPr="00FB0DA5">
              <w:rPr>
                <w:rFonts w:ascii="Arial Narrow" w:hAnsi="Arial Narrow"/>
                <w:i/>
                <w:sz w:val="20"/>
                <w:szCs w:val="20"/>
              </w:rPr>
              <w:t>(</w:t>
            </w:r>
            <w:r w:rsidRPr="00FB0DA5">
              <w:rPr>
                <w:rStyle w:val="Emphasis"/>
                <w:rFonts w:ascii="Arial Narrow" w:hAnsi="Arial Narrow"/>
                <w:i w:val="0"/>
                <w:iCs/>
                <w:sz w:val="20"/>
                <w:szCs w:val="20"/>
              </w:rPr>
              <w:t>HLRCC-associated RCC)</w:t>
            </w:r>
          </w:p>
        </w:tc>
        <w:tc>
          <w:tcPr>
            <w:tcW w:w="1059" w:type="dxa"/>
          </w:tcPr>
          <w:p w14:paraId="5429E205" w14:textId="77777777" w:rsidR="00C45943" w:rsidRPr="00FB0DA5" w:rsidRDefault="00C45943" w:rsidP="00CC7D3E">
            <w:pPr>
              <w:keepNext/>
              <w:spacing w:after="0" w:line="240" w:lineRule="auto"/>
              <w:rPr>
                <w:rFonts w:ascii="Arial Narrow" w:hAnsi="Arial Narrow"/>
                <w:sz w:val="20"/>
                <w:szCs w:val="20"/>
              </w:rPr>
            </w:pPr>
            <w:r w:rsidRPr="00FB0DA5">
              <w:rPr>
                <w:rStyle w:val="Strong"/>
                <w:rFonts w:ascii="Arial Narrow" w:hAnsi="Arial Narrow"/>
                <w:b w:val="0"/>
                <w:bCs w:val="0"/>
                <w:sz w:val="20"/>
                <w:szCs w:val="20"/>
              </w:rPr>
              <w:t>Surveillance</w:t>
            </w:r>
          </w:p>
        </w:tc>
        <w:tc>
          <w:tcPr>
            <w:tcW w:w="7056" w:type="dxa"/>
          </w:tcPr>
          <w:p w14:paraId="65D0C39D" w14:textId="77777777" w:rsidR="00C45943" w:rsidRPr="00FB0DA5" w:rsidRDefault="00C45943" w:rsidP="00CC7D3E">
            <w:pPr>
              <w:pStyle w:val="ListParagraph"/>
              <w:keepNext/>
              <w:numPr>
                <w:ilvl w:val="0"/>
                <w:numId w:val="8"/>
              </w:numPr>
              <w:spacing w:after="0" w:line="240" w:lineRule="auto"/>
              <w:rPr>
                <w:rFonts w:ascii="Arial Narrow" w:hAnsi="Arial Narrow"/>
                <w:sz w:val="20"/>
                <w:szCs w:val="20"/>
              </w:rPr>
            </w:pPr>
            <w:r w:rsidRPr="00FB0DA5">
              <w:rPr>
                <w:rFonts w:ascii="Arial Narrow" w:hAnsi="Arial Narrow"/>
                <w:sz w:val="20"/>
                <w:szCs w:val="20"/>
              </w:rPr>
              <w:t>Annual abdominal MRI from age 18 years </w:t>
            </w:r>
          </w:p>
        </w:tc>
      </w:tr>
      <w:tr w:rsidR="00C45943" w:rsidRPr="00FB0DA5" w14:paraId="64CA327A" w14:textId="77777777" w:rsidTr="00B431D4">
        <w:tc>
          <w:tcPr>
            <w:tcW w:w="1456" w:type="dxa"/>
            <w:vMerge/>
          </w:tcPr>
          <w:p w14:paraId="6E42BE7D" w14:textId="77777777" w:rsidR="00C45943" w:rsidRPr="00FB0DA5" w:rsidRDefault="00C45943" w:rsidP="00CC7D3E">
            <w:pPr>
              <w:keepNext/>
              <w:spacing w:after="0" w:line="240" w:lineRule="auto"/>
              <w:rPr>
                <w:rFonts w:ascii="Arial Narrow" w:hAnsi="Arial Narrow"/>
                <w:sz w:val="20"/>
                <w:szCs w:val="20"/>
              </w:rPr>
            </w:pPr>
          </w:p>
        </w:tc>
        <w:tc>
          <w:tcPr>
            <w:tcW w:w="1059" w:type="dxa"/>
          </w:tcPr>
          <w:p w14:paraId="1192B913" w14:textId="77777777" w:rsidR="00C45943" w:rsidRPr="00FB0DA5" w:rsidRDefault="00C45943" w:rsidP="00CC7D3E">
            <w:pPr>
              <w:keepNext/>
              <w:spacing w:after="0" w:line="240" w:lineRule="auto"/>
              <w:rPr>
                <w:rFonts w:ascii="Arial Narrow" w:hAnsi="Arial Narrow"/>
                <w:sz w:val="20"/>
                <w:szCs w:val="20"/>
              </w:rPr>
            </w:pPr>
            <w:r w:rsidRPr="00FB0DA5">
              <w:rPr>
                <w:rStyle w:val="Strong"/>
                <w:rFonts w:ascii="Arial Narrow" w:hAnsi="Arial Narrow"/>
                <w:b w:val="0"/>
                <w:bCs w:val="0"/>
                <w:sz w:val="20"/>
                <w:szCs w:val="20"/>
              </w:rPr>
              <w:t>Surgical</w:t>
            </w:r>
          </w:p>
        </w:tc>
        <w:tc>
          <w:tcPr>
            <w:tcW w:w="7056" w:type="dxa"/>
          </w:tcPr>
          <w:p w14:paraId="44D2C486" w14:textId="77777777" w:rsidR="00C45943" w:rsidRPr="00FB0DA5" w:rsidRDefault="00C45943" w:rsidP="00CC7D3E">
            <w:pPr>
              <w:pStyle w:val="ListParagraph"/>
              <w:keepNext/>
              <w:numPr>
                <w:ilvl w:val="0"/>
                <w:numId w:val="8"/>
              </w:numPr>
              <w:spacing w:after="0" w:line="240" w:lineRule="auto"/>
              <w:rPr>
                <w:rFonts w:ascii="Arial Narrow" w:hAnsi="Arial Narrow"/>
                <w:sz w:val="20"/>
                <w:szCs w:val="20"/>
              </w:rPr>
            </w:pPr>
            <w:r w:rsidRPr="00FB0DA5">
              <w:rPr>
                <w:rFonts w:ascii="Arial Narrow" w:hAnsi="Arial Narrow"/>
                <w:sz w:val="20"/>
                <w:szCs w:val="20"/>
              </w:rPr>
              <w:t>Surgical resection (with wide margin, or complete nephrectomy) if cancer is detected (due to aggressive nature and early metastasis)</w:t>
            </w:r>
            <w:hyperlink r:id="rId11" w:anchor="reference-0ce191fe-edad-424d-8818-150e1a35bb0f" w:history="1">
              <w:r w:rsidRPr="00FB0DA5">
                <w:rPr>
                  <w:rStyle w:val="Hyperlink"/>
                  <w:rFonts w:ascii="Arial Narrow" w:eastAsiaTheme="majorEastAsia" w:hAnsi="Arial Narrow"/>
                  <w:sz w:val="20"/>
                  <w:szCs w:val="20"/>
                  <w:vertAlign w:val="superscript"/>
                </w:rPr>
                <w:t>2</w:t>
              </w:r>
            </w:hyperlink>
            <w:r w:rsidRPr="00FB0DA5">
              <w:rPr>
                <w:rFonts w:ascii="Arial Narrow" w:hAnsi="Arial Narrow"/>
                <w:sz w:val="20"/>
                <w:szCs w:val="20"/>
                <w:vertAlign w:val="superscript"/>
              </w:rPr>
              <w:t xml:space="preserve">, </w:t>
            </w:r>
            <w:hyperlink r:id="rId12" w:anchor="reference-9e160c5f-4fe2-4173-b2dc-298dceed853c" w:history="1">
              <w:r w:rsidRPr="00FB0DA5">
                <w:rPr>
                  <w:rStyle w:val="Hyperlink"/>
                  <w:rFonts w:ascii="Arial Narrow" w:eastAsiaTheme="majorEastAsia" w:hAnsi="Arial Narrow"/>
                  <w:sz w:val="20"/>
                  <w:szCs w:val="20"/>
                  <w:vertAlign w:val="superscript"/>
                </w:rPr>
                <w:t>6</w:t>
              </w:r>
            </w:hyperlink>
          </w:p>
        </w:tc>
      </w:tr>
      <w:tr w:rsidR="00C45943" w:rsidRPr="00FB0DA5" w14:paraId="16534135" w14:textId="77777777" w:rsidTr="00B431D4">
        <w:tc>
          <w:tcPr>
            <w:tcW w:w="1456" w:type="dxa"/>
            <w:vMerge w:val="restart"/>
          </w:tcPr>
          <w:p w14:paraId="3BFF5E71" w14:textId="77777777" w:rsidR="00C45943" w:rsidRPr="00FB0DA5" w:rsidRDefault="00C45943" w:rsidP="00CC7D3E">
            <w:pPr>
              <w:keepNext/>
              <w:spacing w:after="0" w:line="240" w:lineRule="auto"/>
              <w:rPr>
                <w:rFonts w:ascii="Arial Narrow" w:hAnsi="Arial Narrow"/>
                <w:i/>
                <w:iCs w:val="0"/>
                <w:sz w:val="20"/>
                <w:szCs w:val="20"/>
              </w:rPr>
            </w:pPr>
            <w:r w:rsidRPr="00FB0DA5">
              <w:rPr>
                <w:rFonts w:ascii="Arial Narrow" w:hAnsi="Arial Narrow"/>
                <w:i/>
                <w:iCs w:val="0"/>
                <w:sz w:val="20"/>
                <w:szCs w:val="20"/>
              </w:rPr>
              <w:t xml:space="preserve">PTEN </w:t>
            </w:r>
          </w:p>
          <w:p w14:paraId="4ED6F303" w14:textId="2900F069" w:rsidR="00C45943" w:rsidRPr="00FB0DA5" w:rsidRDefault="00C45943" w:rsidP="00CC7D3E">
            <w:pPr>
              <w:keepNext/>
              <w:spacing w:after="0" w:line="240" w:lineRule="auto"/>
              <w:rPr>
                <w:rFonts w:ascii="Arial Narrow" w:hAnsi="Arial Narrow"/>
                <w:sz w:val="20"/>
                <w:szCs w:val="20"/>
              </w:rPr>
            </w:pPr>
            <w:r w:rsidRPr="00FB0DA5">
              <w:rPr>
                <w:rFonts w:ascii="Arial Narrow" w:hAnsi="Arial Narrow"/>
                <w:sz w:val="20"/>
                <w:szCs w:val="20"/>
              </w:rPr>
              <w:t>(</w:t>
            </w:r>
            <w:r w:rsidR="00EC0A06" w:rsidRPr="00FB0DA5">
              <w:rPr>
                <w:rFonts w:ascii="Arial Narrow" w:hAnsi="Arial Narrow"/>
                <w:sz w:val="20"/>
                <w:szCs w:val="20"/>
              </w:rPr>
              <w:t>Renal</w:t>
            </w:r>
            <w:r w:rsidRPr="00FB0DA5">
              <w:rPr>
                <w:rFonts w:ascii="Arial Narrow" w:hAnsi="Arial Narrow"/>
                <w:sz w:val="20"/>
                <w:szCs w:val="20"/>
              </w:rPr>
              <w:t xml:space="preserve"> cancer)</w:t>
            </w:r>
          </w:p>
        </w:tc>
        <w:tc>
          <w:tcPr>
            <w:tcW w:w="1059" w:type="dxa"/>
          </w:tcPr>
          <w:p w14:paraId="27358B64" w14:textId="77777777" w:rsidR="00C45943" w:rsidRPr="00FB0DA5" w:rsidRDefault="00C45943" w:rsidP="00CC7D3E">
            <w:pPr>
              <w:keepNext/>
              <w:spacing w:after="0" w:line="240" w:lineRule="auto"/>
              <w:rPr>
                <w:rFonts w:ascii="Arial Narrow" w:hAnsi="Arial Narrow"/>
                <w:sz w:val="20"/>
                <w:szCs w:val="20"/>
              </w:rPr>
            </w:pPr>
            <w:r w:rsidRPr="00FB0DA5">
              <w:rPr>
                <w:rStyle w:val="Strong"/>
                <w:rFonts w:ascii="Arial Narrow" w:hAnsi="Arial Narrow"/>
                <w:b w:val="0"/>
                <w:bCs w:val="0"/>
                <w:sz w:val="20"/>
                <w:szCs w:val="20"/>
              </w:rPr>
              <w:t>Surveillance</w:t>
            </w:r>
          </w:p>
        </w:tc>
        <w:tc>
          <w:tcPr>
            <w:tcW w:w="7056" w:type="dxa"/>
          </w:tcPr>
          <w:p w14:paraId="4C3131E0" w14:textId="695F0810" w:rsidR="00C45943" w:rsidRPr="00FB0DA5" w:rsidRDefault="00C45943" w:rsidP="00CC7D3E">
            <w:pPr>
              <w:pStyle w:val="ListParagraph"/>
              <w:keepNext/>
              <w:numPr>
                <w:ilvl w:val="0"/>
                <w:numId w:val="7"/>
              </w:numPr>
              <w:spacing w:after="0" w:line="240" w:lineRule="auto"/>
              <w:rPr>
                <w:rFonts w:ascii="Arial Narrow" w:hAnsi="Arial Narrow"/>
                <w:sz w:val="20"/>
                <w:szCs w:val="20"/>
              </w:rPr>
            </w:pPr>
            <w:r w:rsidRPr="00FB0DA5">
              <w:rPr>
                <w:rFonts w:ascii="Arial Narrow" w:hAnsi="Arial Narrow"/>
                <w:sz w:val="20"/>
                <w:szCs w:val="20"/>
              </w:rPr>
              <w:t xml:space="preserve">Consider ultrasound 2 yearly from age 40 years </w:t>
            </w:r>
          </w:p>
        </w:tc>
      </w:tr>
      <w:tr w:rsidR="00C45943" w:rsidRPr="00FB0DA5" w14:paraId="3BA848E2" w14:textId="77777777" w:rsidTr="00B431D4">
        <w:tc>
          <w:tcPr>
            <w:tcW w:w="1456" w:type="dxa"/>
            <w:vMerge/>
          </w:tcPr>
          <w:p w14:paraId="12F95823" w14:textId="77777777" w:rsidR="00C45943" w:rsidRPr="00FB0DA5" w:rsidRDefault="00C45943" w:rsidP="00CC7D3E">
            <w:pPr>
              <w:keepNext/>
              <w:spacing w:after="0" w:line="240" w:lineRule="auto"/>
              <w:rPr>
                <w:rFonts w:ascii="Arial Narrow" w:hAnsi="Arial Narrow"/>
                <w:sz w:val="20"/>
                <w:szCs w:val="20"/>
              </w:rPr>
            </w:pPr>
          </w:p>
        </w:tc>
        <w:tc>
          <w:tcPr>
            <w:tcW w:w="1059" w:type="dxa"/>
          </w:tcPr>
          <w:p w14:paraId="02B6EDF1" w14:textId="77777777" w:rsidR="00C45943" w:rsidRPr="00FB0DA5" w:rsidRDefault="00C45943" w:rsidP="00CC7D3E">
            <w:pPr>
              <w:keepNext/>
              <w:spacing w:after="0" w:line="240" w:lineRule="auto"/>
              <w:rPr>
                <w:rFonts w:ascii="Arial Narrow" w:hAnsi="Arial Narrow"/>
                <w:sz w:val="20"/>
                <w:szCs w:val="20"/>
              </w:rPr>
            </w:pPr>
            <w:r w:rsidRPr="00FB0DA5">
              <w:rPr>
                <w:rStyle w:val="Strong"/>
                <w:rFonts w:ascii="Arial Narrow" w:hAnsi="Arial Narrow"/>
                <w:b w:val="0"/>
                <w:bCs w:val="0"/>
                <w:sz w:val="20"/>
                <w:szCs w:val="20"/>
              </w:rPr>
              <w:t>Surgical</w:t>
            </w:r>
          </w:p>
        </w:tc>
        <w:tc>
          <w:tcPr>
            <w:tcW w:w="7056" w:type="dxa"/>
          </w:tcPr>
          <w:p w14:paraId="3ED2E502" w14:textId="77777777" w:rsidR="00C45943" w:rsidRPr="00FB0DA5" w:rsidRDefault="00C45943" w:rsidP="00CC7D3E">
            <w:pPr>
              <w:pStyle w:val="ListParagraph"/>
              <w:keepNext/>
              <w:numPr>
                <w:ilvl w:val="0"/>
                <w:numId w:val="7"/>
              </w:numPr>
              <w:spacing w:after="0" w:line="240" w:lineRule="auto"/>
              <w:rPr>
                <w:rFonts w:ascii="Arial Narrow" w:hAnsi="Arial Narrow"/>
                <w:sz w:val="20"/>
                <w:szCs w:val="20"/>
              </w:rPr>
            </w:pPr>
            <w:r w:rsidRPr="00FB0DA5">
              <w:rPr>
                <w:rFonts w:ascii="Arial Narrow" w:hAnsi="Arial Narrow"/>
                <w:sz w:val="20"/>
                <w:szCs w:val="20"/>
              </w:rPr>
              <w:t>None described</w:t>
            </w:r>
          </w:p>
        </w:tc>
      </w:tr>
    </w:tbl>
    <w:p w14:paraId="4200D7B3" w14:textId="107FCC57" w:rsidR="00C45943" w:rsidRPr="009A5E20" w:rsidRDefault="00C45943" w:rsidP="00CC7D3E">
      <w:pPr>
        <w:keepNext/>
        <w:spacing w:after="0" w:line="240" w:lineRule="auto"/>
        <w:rPr>
          <w:rFonts w:ascii="Arial Narrow" w:hAnsi="Arial Narrow"/>
          <w:sz w:val="18"/>
          <w:szCs w:val="18"/>
        </w:rPr>
      </w:pPr>
      <w:r w:rsidRPr="009A5E20">
        <w:rPr>
          <w:rFonts w:ascii="Arial Narrow" w:hAnsi="Arial Narrow"/>
          <w:sz w:val="18"/>
          <w:szCs w:val="18"/>
        </w:rPr>
        <w:t>Source:</w:t>
      </w:r>
      <w:r w:rsidR="00CC5C4A" w:rsidRPr="009A5E20">
        <w:rPr>
          <w:rFonts w:ascii="Arial Narrow" w:hAnsi="Arial Narrow"/>
          <w:sz w:val="18"/>
          <w:szCs w:val="18"/>
        </w:rPr>
        <w:t xml:space="preserve"> </w:t>
      </w:r>
      <w:proofErr w:type="spellStart"/>
      <w:r w:rsidR="002E6C8D" w:rsidRPr="009A5E20">
        <w:rPr>
          <w:rFonts w:ascii="Arial Narrow" w:hAnsi="Arial Narrow"/>
          <w:sz w:val="18"/>
          <w:szCs w:val="18"/>
        </w:rPr>
        <w:t>e</w:t>
      </w:r>
      <w:r w:rsidRPr="009A5E20">
        <w:rPr>
          <w:rFonts w:ascii="Arial Narrow" w:hAnsi="Arial Narrow"/>
          <w:sz w:val="18"/>
          <w:szCs w:val="18"/>
        </w:rPr>
        <w:t>viQ</w:t>
      </w:r>
      <w:proofErr w:type="spellEnd"/>
      <w:r w:rsidRPr="009A5E20">
        <w:rPr>
          <w:rFonts w:ascii="Arial Narrow" w:hAnsi="Arial Narrow"/>
          <w:sz w:val="18"/>
          <w:szCs w:val="18"/>
        </w:rPr>
        <w:t xml:space="preserve"> Risk management guidelines ( ID’s 161v.6, 397 v.7, 546 v.9, 1657 v.5, 1658 v.5, 3558 v.3, 3928 v.1</w:t>
      </w:r>
    </w:p>
    <w:p w14:paraId="355FC073" w14:textId="1340B8CB" w:rsidR="00C45943" w:rsidRPr="009A5E20" w:rsidRDefault="00C45943" w:rsidP="00CC7D3E">
      <w:pPr>
        <w:keepNext/>
        <w:spacing w:after="0" w:line="240" w:lineRule="auto"/>
        <w:rPr>
          <w:rFonts w:ascii="Arial Narrow" w:hAnsi="Arial Narrow"/>
          <w:sz w:val="18"/>
          <w:szCs w:val="18"/>
        </w:rPr>
      </w:pPr>
      <w:r w:rsidRPr="009A5E20">
        <w:rPr>
          <w:rFonts w:ascii="Arial Narrow" w:hAnsi="Arial Narrow"/>
          <w:sz w:val="18"/>
          <w:szCs w:val="18"/>
        </w:rPr>
        <w:t xml:space="preserve">BHD = </w:t>
      </w:r>
      <w:proofErr w:type="spellStart"/>
      <w:r w:rsidRPr="009A5E20">
        <w:rPr>
          <w:rFonts w:ascii="Arial Narrow" w:hAnsi="Arial Narrow"/>
          <w:sz w:val="18"/>
          <w:szCs w:val="18"/>
        </w:rPr>
        <w:t>Birt</w:t>
      </w:r>
      <w:proofErr w:type="spellEnd"/>
      <w:r w:rsidRPr="009A5E20">
        <w:rPr>
          <w:rFonts w:ascii="Arial Narrow" w:hAnsi="Arial Narrow"/>
          <w:sz w:val="18"/>
          <w:szCs w:val="18"/>
        </w:rPr>
        <w:t>-Hogg-</w:t>
      </w:r>
      <w:proofErr w:type="spellStart"/>
      <w:r w:rsidRPr="009A5E20">
        <w:rPr>
          <w:rFonts w:ascii="Arial Narrow" w:hAnsi="Arial Narrow"/>
          <w:sz w:val="18"/>
          <w:szCs w:val="18"/>
        </w:rPr>
        <w:t>Dubé</w:t>
      </w:r>
      <w:proofErr w:type="spellEnd"/>
      <w:r w:rsidRPr="009A5E20">
        <w:rPr>
          <w:rFonts w:ascii="Arial Narrow" w:hAnsi="Arial Narrow"/>
          <w:sz w:val="18"/>
          <w:szCs w:val="18"/>
        </w:rPr>
        <w:t>; MRI = magnetic resonance imaging; PGL/PCC = Hereditary paraganglioma-pheochromocytoma; RCC = renal cell carcinoma</w:t>
      </w:r>
    </w:p>
    <w:p w14:paraId="4C3584CB" w14:textId="34FE1019" w:rsidR="00C45943" w:rsidRPr="009A5E20" w:rsidRDefault="00C45943" w:rsidP="00CC7D3E">
      <w:pPr>
        <w:keepNext/>
        <w:spacing w:after="360" w:line="240" w:lineRule="auto"/>
        <w:rPr>
          <w:rFonts w:ascii="Arial Narrow" w:hAnsi="Arial Narrow"/>
          <w:sz w:val="18"/>
          <w:szCs w:val="18"/>
        </w:rPr>
      </w:pPr>
      <w:r w:rsidRPr="009A5E20">
        <w:rPr>
          <w:rFonts w:ascii="Arial Narrow" w:hAnsi="Arial Narrow"/>
          <w:sz w:val="18"/>
          <w:szCs w:val="18"/>
        </w:rPr>
        <w:t xml:space="preserve">Note: </w:t>
      </w:r>
      <w:proofErr w:type="spellStart"/>
      <w:r w:rsidR="0040668D" w:rsidRPr="009A5E20">
        <w:rPr>
          <w:rFonts w:ascii="Arial Narrow" w:hAnsi="Arial Narrow"/>
          <w:sz w:val="18"/>
          <w:szCs w:val="18"/>
        </w:rPr>
        <w:t>evi</w:t>
      </w:r>
      <w:r w:rsidRPr="009A5E20">
        <w:rPr>
          <w:rFonts w:ascii="Arial Narrow" w:hAnsi="Arial Narrow"/>
          <w:sz w:val="18"/>
          <w:szCs w:val="18"/>
        </w:rPr>
        <w:t>Q</w:t>
      </w:r>
      <w:proofErr w:type="spellEnd"/>
      <w:r w:rsidRPr="009A5E20">
        <w:rPr>
          <w:rFonts w:ascii="Arial Narrow" w:hAnsi="Arial Narrow"/>
          <w:sz w:val="18"/>
          <w:szCs w:val="18"/>
        </w:rPr>
        <w:t xml:space="preserve"> included recommendations across several organ systems. For concision, only the kidney-related recommendations are presented</w:t>
      </w:r>
    </w:p>
    <w:p w14:paraId="250C7C1D" w14:textId="1B9D5F48" w:rsidR="007C0CF1" w:rsidRPr="005D2196" w:rsidRDefault="007C0CF1" w:rsidP="005D2196">
      <w:pPr>
        <w:pStyle w:val="Heading4"/>
        <w:spacing w:after="120"/>
        <w:rPr>
          <w:u w:val="single"/>
        </w:rPr>
      </w:pPr>
      <w:r w:rsidRPr="005D2196">
        <w:rPr>
          <w:u w:val="single"/>
        </w:rPr>
        <w:t>PICO Set 2</w:t>
      </w:r>
    </w:p>
    <w:p w14:paraId="67FC5711" w14:textId="70041517" w:rsidR="007C0CF1" w:rsidRPr="00DA79F1" w:rsidRDefault="007C0CF1" w:rsidP="005D2196">
      <w:r w:rsidRPr="00DA79F1">
        <w:t xml:space="preserve">Patients diagnosed with a syndrome associated with increased risk of kidney cancer (including </w:t>
      </w:r>
      <w:r>
        <w:t>TSC</w:t>
      </w:r>
      <w:r w:rsidRPr="00DA79F1">
        <w:t>, Von Hippel-</w:t>
      </w:r>
      <w:r w:rsidR="000A7C30">
        <w:t>Lindau</w:t>
      </w:r>
      <w:r w:rsidRPr="00DA79F1">
        <w:t xml:space="preserve"> disease, </w:t>
      </w:r>
      <w:proofErr w:type="spellStart"/>
      <w:r w:rsidRPr="00DA79F1">
        <w:t>Birt</w:t>
      </w:r>
      <w:proofErr w:type="spellEnd"/>
      <w:r w:rsidRPr="00DA79F1">
        <w:t xml:space="preserve">-Hogg </w:t>
      </w:r>
      <w:proofErr w:type="spellStart"/>
      <w:r w:rsidRPr="00DA79F1">
        <w:t>Dubé</w:t>
      </w:r>
      <w:proofErr w:type="spellEnd"/>
      <w:r w:rsidRPr="00DA79F1">
        <w:t xml:space="preserve"> syndrome, hereditary papillary renal carcinoma, hereditary </w:t>
      </w:r>
      <w:proofErr w:type="spellStart"/>
      <w:r w:rsidRPr="00DA79F1">
        <w:t>leiomyomatosis</w:t>
      </w:r>
      <w:proofErr w:type="spellEnd"/>
      <w:r w:rsidRPr="00DA79F1">
        <w:t xml:space="preserve"> and renal cell carcinoma, </w:t>
      </w:r>
      <w:r w:rsidRPr="00FB0DA5">
        <w:rPr>
          <w:i/>
        </w:rPr>
        <w:t>BAP1</w:t>
      </w:r>
      <w:r>
        <w:t>-</w:t>
      </w:r>
      <w:r w:rsidRPr="00DA79F1">
        <w:t>TPDS, paraganglioma, Cowden syndrome</w:t>
      </w:r>
      <w:r w:rsidR="00C92960">
        <w:t xml:space="preserve">, </w:t>
      </w:r>
      <w:proofErr w:type="spellStart"/>
      <w:r w:rsidR="00C92960">
        <w:t>MiTF</w:t>
      </w:r>
      <w:proofErr w:type="spellEnd"/>
      <w:r w:rsidR="00C92960">
        <w:t>-</w:t>
      </w:r>
      <w:r w:rsidR="00C92960">
        <w:rPr>
          <w:i/>
          <w:iCs w:val="0"/>
        </w:rPr>
        <w:t>associated RCC, Lynch syndrome</w:t>
      </w:r>
      <w:r w:rsidRPr="00DA79F1">
        <w:t>)</w:t>
      </w:r>
      <w:r w:rsidR="000724C2">
        <w:t xml:space="preserve"> for the purposes of </w:t>
      </w:r>
      <w:r w:rsidR="000724C2" w:rsidRPr="000724C2">
        <w:t xml:space="preserve">evaluating changes in clinical condition or suspected complications of known renal tumours arising between </w:t>
      </w:r>
      <w:r w:rsidR="000724C2">
        <w:t>their</w:t>
      </w:r>
      <w:r w:rsidR="000724C2" w:rsidRPr="000724C2">
        <w:t xml:space="preserve"> annual surveillance MRI</w:t>
      </w:r>
      <w:r w:rsidR="000724C2">
        <w:t>, or</w:t>
      </w:r>
      <w:r w:rsidRPr="00DA79F1">
        <w:t xml:space="preserve"> who have received disease specific therapeutic intervention.</w:t>
      </w:r>
    </w:p>
    <w:p w14:paraId="56A50A01" w14:textId="11BC6C72" w:rsidR="007C0CF1" w:rsidRPr="00DA79F1" w:rsidRDefault="007C0CF1" w:rsidP="005D2196">
      <w:r w:rsidRPr="00DA79F1">
        <w:lastRenderedPageBreak/>
        <w:t xml:space="preserve">For full description of these syndromes, see descriptions related to PICO </w:t>
      </w:r>
      <w:r w:rsidR="007E2941" w:rsidRPr="00DA79F1">
        <w:t>S</w:t>
      </w:r>
      <w:r w:rsidR="007E2941">
        <w:t>et</w:t>
      </w:r>
      <w:r w:rsidR="007E2941" w:rsidRPr="00DA79F1">
        <w:t xml:space="preserve"> </w:t>
      </w:r>
      <w:r w:rsidRPr="00DA79F1">
        <w:t>1 above.</w:t>
      </w:r>
    </w:p>
    <w:p w14:paraId="0242F904" w14:textId="6A6692C7" w:rsidR="007C0CF1" w:rsidRPr="00DA79F1" w:rsidRDefault="007C0CF1" w:rsidP="005D2196">
      <w:pPr>
        <w:rPr>
          <w:color w:val="000000" w:themeColor="text1"/>
        </w:rPr>
      </w:pPr>
      <w:r w:rsidRPr="00DA79F1">
        <w:rPr>
          <w:color w:val="000000" w:themeColor="text1"/>
        </w:rPr>
        <w:t xml:space="preserve">Given that the TSC is substantially more common than the other syndromes, and that </w:t>
      </w:r>
      <w:r w:rsidRPr="00DA79F1">
        <w:t>up to 80% of patients with TSC experience AML (Lee 2019, Kingswood 2016 cited in Restrepo 2022)</w:t>
      </w:r>
      <w:r>
        <w:t>, it</w:t>
      </w:r>
      <w:r w:rsidRPr="00DA79F1">
        <w:t xml:space="preserve"> may </w:t>
      </w:r>
      <w:r>
        <w:t xml:space="preserve">be </w:t>
      </w:r>
      <w:r w:rsidRPr="00DA79F1">
        <w:t xml:space="preserve">reasonable to expect that most patients accessing MRI for assessment of treatment response, will be those receiving treatment for TSC-related AML. </w:t>
      </w:r>
      <w:r w:rsidRPr="00DA79F1">
        <w:rPr>
          <w:color w:val="000000" w:themeColor="text1"/>
        </w:rPr>
        <w:t xml:space="preserve">For TSC patients, treatment response assessment would be expected three to six months after initiation of </w:t>
      </w:r>
      <w:proofErr w:type="spellStart"/>
      <w:r w:rsidRPr="00DA79F1">
        <w:rPr>
          <w:color w:val="000000" w:themeColor="text1"/>
        </w:rPr>
        <w:t>mTORi</w:t>
      </w:r>
      <w:proofErr w:type="spellEnd"/>
      <w:r w:rsidRPr="00DA79F1">
        <w:rPr>
          <w:color w:val="000000" w:themeColor="text1"/>
        </w:rPr>
        <w:t xml:space="preserve"> therapy (</w:t>
      </w:r>
      <w:proofErr w:type="spellStart"/>
      <w:r w:rsidRPr="00DA79F1">
        <w:rPr>
          <w:color w:val="000000" w:themeColor="text1"/>
        </w:rPr>
        <w:t>everolimus</w:t>
      </w:r>
      <w:proofErr w:type="spellEnd"/>
      <w:r w:rsidRPr="00DA79F1">
        <w:rPr>
          <w:color w:val="000000" w:themeColor="text1"/>
        </w:rPr>
        <w:t xml:space="preserve"> or sirolimus).</w:t>
      </w:r>
    </w:p>
    <w:p w14:paraId="6C788E6A" w14:textId="618BCF6C" w:rsidR="007C0CF1" w:rsidRDefault="007C0CF1" w:rsidP="005D2196">
      <w:pPr>
        <w:rPr>
          <w:u w:val="single"/>
        </w:rPr>
      </w:pPr>
      <w:r w:rsidRPr="00DA79F1">
        <w:t xml:space="preserve">For patients with syndromes with a predisposition to malignant </w:t>
      </w:r>
      <w:r w:rsidR="00683145">
        <w:t xml:space="preserve">renal </w:t>
      </w:r>
      <w:r w:rsidRPr="00DA79F1">
        <w:t>tumours, initial treatment may vary based on syndrome, as well as type, size and growth of the tumour. Treatment may</w:t>
      </w:r>
      <w:r>
        <w:t xml:space="preserve"> include</w:t>
      </w:r>
      <w:r w:rsidRPr="00DA79F1">
        <w:t xml:space="preserve"> pharmacological options, if available, as well as minimally invasive procedures (</w:t>
      </w:r>
      <w:r w:rsidR="007E2941" w:rsidRPr="007E2941">
        <w:t xml:space="preserve">radiofrequency ablation </w:t>
      </w:r>
      <w:r w:rsidR="007E2941">
        <w:t>(</w:t>
      </w:r>
      <w:r w:rsidRPr="00DA79F1">
        <w:t>RFA</w:t>
      </w:r>
      <w:r w:rsidR="007E2941">
        <w:t>)</w:t>
      </w:r>
      <w:r w:rsidRPr="00DA79F1">
        <w:t>, cryoablation) and partial nephrectomy.</w:t>
      </w:r>
    </w:p>
    <w:p w14:paraId="7EFBA8E1" w14:textId="4DEFA5EF" w:rsidR="002926BC" w:rsidRPr="00F06230" w:rsidRDefault="004732DA" w:rsidP="00F06230">
      <w:pPr>
        <w:pStyle w:val="Heading3"/>
      </w:pPr>
      <w:r w:rsidRPr="00DA79F1">
        <w:t>Prior testing</w:t>
      </w:r>
    </w:p>
    <w:p w14:paraId="50DD93C5" w14:textId="26C7F4D7" w:rsidR="00005CAD" w:rsidRPr="00DA79F1" w:rsidRDefault="00E2352F" w:rsidP="005D2196">
      <w:r w:rsidRPr="00DA79F1">
        <w:t>Patients accessing abdominal MRI</w:t>
      </w:r>
      <w:r w:rsidR="00653966" w:rsidRPr="00DA79F1">
        <w:t xml:space="preserve"> for one of the syndromes above</w:t>
      </w:r>
      <w:r w:rsidRPr="00DA79F1">
        <w:t xml:space="preserve"> will have likely received prior genetic testing regardless of whether a pathogenic variant was detected.</w:t>
      </w:r>
    </w:p>
    <w:p w14:paraId="4636BF4D" w14:textId="1A77E942" w:rsidR="00005CAD" w:rsidRDefault="004732DA" w:rsidP="005D2196">
      <w:r w:rsidRPr="00DA79F1">
        <w:t xml:space="preserve">The </w:t>
      </w:r>
      <w:proofErr w:type="spellStart"/>
      <w:r w:rsidR="002E6C8D">
        <w:t>evi</w:t>
      </w:r>
      <w:r w:rsidRPr="00DA79F1">
        <w:t>Q</w:t>
      </w:r>
      <w:proofErr w:type="spellEnd"/>
      <w:r w:rsidRPr="00DA79F1">
        <w:t xml:space="preserve"> guidelines (1146 v.7) </w:t>
      </w:r>
      <w:r w:rsidR="00CC5C4A" w:rsidRPr="00DA79F1">
        <w:t>identified</w:t>
      </w:r>
      <w:r w:rsidR="001A4276" w:rsidRPr="00DA79F1">
        <w:t xml:space="preserve"> the following genes associated with kidney cancer for which positive test for a pathogenic variant would </w:t>
      </w:r>
      <w:r w:rsidRPr="00DA79F1">
        <w:t>warrant referral to a family cancer clinic for assessment</w:t>
      </w:r>
      <w:r w:rsidR="007C0CF1">
        <w:t>:</w:t>
      </w:r>
    </w:p>
    <w:p w14:paraId="053128EA" w14:textId="053C4752" w:rsidR="00005CAD" w:rsidRPr="00FB0DA5" w:rsidRDefault="004732DA" w:rsidP="00FB0DA5">
      <w:pPr>
        <w:jc w:val="center"/>
        <w:rPr>
          <w:i/>
          <w:iCs w:val="0"/>
        </w:rPr>
      </w:pPr>
      <w:r w:rsidRPr="00FB0DA5">
        <w:rPr>
          <w:i/>
          <w:iCs w:val="0"/>
        </w:rPr>
        <w:t>VHL, SDHB, MET, FLCN, FH, TSC1, TSC2, PTEN, MLH1, PMS2, MSH2, MSH6</w:t>
      </w:r>
    </w:p>
    <w:p w14:paraId="32F3633A" w14:textId="5F7ACDAC" w:rsidR="00491828" w:rsidRPr="00DA79F1" w:rsidRDefault="00491828" w:rsidP="005D2196">
      <w:r w:rsidRPr="00DA79F1">
        <w:t>The NCCN Guidelines Version 1 (2021) presented the following testing/ screening algorithm for patients with features or symptoms or clinical manifestations of heritable kidney cancer syndromes.</w:t>
      </w:r>
    </w:p>
    <w:p w14:paraId="1779D60B" w14:textId="4053AF7F" w:rsidR="00491828" w:rsidRPr="00B819D7" w:rsidRDefault="006A06D2" w:rsidP="00B819D7">
      <w:pPr>
        <w:pStyle w:val="Instructionaltext"/>
        <w:spacing w:before="0" w:after="120" w:line="240" w:lineRule="auto"/>
        <w:rPr>
          <w:rFonts w:ascii="Arial Narrow" w:eastAsia="Calibri" w:hAnsi="Arial Narrow" w:cs="Tahoma"/>
          <w:b/>
          <w:color w:val="auto"/>
          <w:sz w:val="20"/>
          <w:szCs w:val="20"/>
          <w:lang w:val="en-GB" w:eastAsia="ja-JP"/>
        </w:rPr>
      </w:pPr>
      <w:r w:rsidRPr="006A06D2">
        <w:rPr>
          <w:noProof/>
          <w:lang w:eastAsia="en-AU"/>
        </w:rPr>
        <w:drawing>
          <wp:inline distT="0" distB="0" distL="0" distR="0" wp14:anchorId="123EB6C7" wp14:editId="6265D269">
            <wp:extent cx="6048375" cy="3495675"/>
            <wp:effectExtent l="0" t="0" r="9525" b="9525"/>
            <wp:docPr id="4" name="Picture 4" descr="Figure 1 Testing/ screening algorithm for patients with features or symptoms or clinical manifestations of heritable kidney cancer syndromes adapted from the NCCN Guidelines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1 Testing/ screening algorithm for patients with features or symptoms or clinical manifestations of heritable kidney cancer syndromes adapted from the NCCN Guidelines (20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48375" cy="3495675"/>
                    </a:xfrm>
                    <a:prstGeom prst="rect">
                      <a:avLst/>
                    </a:prstGeom>
                    <a:noFill/>
                    <a:ln>
                      <a:noFill/>
                    </a:ln>
                  </pic:spPr>
                </pic:pic>
              </a:graphicData>
            </a:graphic>
          </wp:inline>
        </w:drawing>
      </w:r>
      <w:r w:rsidRPr="006A06D2">
        <w:t xml:space="preserve"> </w:t>
      </w:r>
      <w:r w:rsidR="006C24D7" w:rsidRPr="00B819D7">
        <w:rPr>
          <w:rFonts w:ascii="Arial Narrow" w:eastAsia="Calibri" w:hAnsi="Arial Narrow" w:cs="Tahoma"/>
          <w:b/>
          <w:color w:val="auto"/>
          <w:sz w:val="20"/>
          <w:szCs w:val="20"/>
          <w:lang w:val="en-GB" w:eastAsia="ja-JP"/>
        </w:rPr>
        <w:t>Figure </w:t>
      </w:r>
      <w:r w:rsidR="006C24D7" w:rsidRPr="00B819D7">
        <w:rPr>
          <w:rFonts w:ascii="Arial Narrow" w:eastAsia="Calibri" w:hAnsi="Arial Narrow" w:cs="Tahoma"/>
          <w:b/>
          <w:color w:val="auto"/>
          <w:sz w:val="20"/>
          <w:szCs w:val="20"/>
          <w:lang w:val="en-GB" w:eastAsia="ja-JP"/>
        </w:rPr>
        <w:fldChar w:fldCharType="begin"/>
      </w:r>
      <w:r w:rsidR="006C24D7" w:rsidRPr="00B819D7">
        <w:rPr>
          <w:rFonts w:ascii="Arial Narrow" w:eastAsia="Calibri" w:hAnsi="Arial Narrow" w:cs="Tahoma"/>
          <w:b/>
          <w:color w:val="auto"/>
          <w:sz w:val="20"/>
          <w:szCs w:val="20"/>
          <w:lang w:val="en-GB" w:eastAsia="ja-JP"/>
        </w:rPr>
        <w:instrText xml:space="preserve"> SEQ Figure \* ARABIC </w:instrText>
      </w:r>
      <w:r w:rsidR="006C24D7" w:rsidRPr="00B819D7">
        <w:rPr>
          <w:rFonts w:ascii="Arial Narrow" w:eastAsia="Calibri" w:hAnsi="Arial Narrow" w:cs="Tahoma"/>
          <w:b/>
          <w:color w:val="auto"/>
          <w:sz w:val="20"/>
          <w:szCs w:val="20"/>
          <w:lang w:val="en-GB" w:eastAsia="ja-JP"/>
        </w:rPr>
        <w:fldChar w:fldCharType="separate"/>
      </w:r>
      <w:r w:rsidR="0069673F">
        <w:rPr>
          <w:rFonts w:ascii="Arial Narrow" w:eastAsia="Calibri" w:hAnsi="Arial Narrow" w:cs="Tahoma"/>
          <w:b/>
          <w:noProof/>
          <w:color w:val="auto"/>
          <w:sz w:val="20"/>
          <w:szCs w:val="20"/>
          <w:lang w:val="en-GB" w:eastAsia="ja-JP"/>
        </w:rPr>
        <w:t>1</w:t>
      </w:r>
      <w:r w:rsidR="006C24D7" w:rsidRPr="00B819D7">
        <w:rPr>
          <w:rFonts w:ascii="Arial Narrow" w:eastAsia="Calibri" w:hAnsi="Arial Narrow" w:cs="Tahoma"/>
          <w:b/>
          <w:color w:val="auto"/>
          <w:sz w:val="20"/>
          <w:szCs w:val="20"/>
          <w:lang w:val="en-GB" w:eastAsia="ja-JP"/>
        </w:rPr>
        <w:fldChar w:fldCharType="end"/>
      </w:r>
      <w:r w:rsidR="006C24D7" w:rsidRPr="00B819D7">
        <w:rPr>
          <w:rFonts w:ascii="Arial Narrow" w:eastAsia="Calibri" w:hAnsi="Arial Narrow" w:cs="Tahoma"/>
          <w:b/>
          <w:color w:val="auto"/>
          <w:sz w:val="20"/>
          <w:szCs w:val="20"/>
          <w:lang w:val="en-GB" w:eastAsia="ja-JP"/>
        </w:rPr>
        <w:tab/>
      </w:r>
      <w:r w:rsidR="00BD75FC" w:rsidRPr="00B819D7">
        <w:rPr>
          <w:rFonts w:ascii="Arial Narrow" w:eastAsia="Calibri" w:hAnsi="Arial Narrow" w:cs="Tahoma"/>
          <w:b/>
          <w:color w:val="auto"/>
          <w:sz w:val="20"/>
          <w:szCs w:val="20"/>
          <w:lang w:val="en-GB" w:eastAsia="ja-JP"/>
        </w:rPr>
        <w:t>T</w:t>
      </w:r>
      <w:r w:rsidR="00491828" w:rsidRPr="00B819D7">
        <w:rPr>
          <w:rFonts w:ascii="Arial Narrow" w:eastAsia="Calibri" w:hAnsi="Arial Narrow" w:cs="Tahoma"/>
          <w:b/>
          <w:color w:val="auto"/>
          <w:sz w:val="20"/>
          <w:szCs w:val="20"/>
          <w:lang w:val="en-GB" w:eastAsia="ja-JP"/>
        </w:rPr>
        <w:t>esting/ screening algorithm for patients with features or symptoms or clinical manifestations of heritable kidney cancer syndromes</w:t>
      </w:r>
      <w:r w:rsidR="00BD75FC" w:rsidRPr="00B819D7">
        <w:rPr>
          <w:rFonts w:ascii="Arial Narrow" w:eastAsia="Calibri" w:hAnsi="Arial Narrow" w:cs="Tahoma"/>
          <w:b/>
          <w:color w:val="auto"/>
          <w:sz w:val="20"/>
          <w:szCs w:val="20"/>
          <w:lang w:val="en-GB" w:eastAsia="ja-JP"/>
        </w:rPr>
        <w:t xml:space="preserve"> adapted from the NCCN Guidelines (2021)</w:t>
      </w:r>
    </w:p>
    <w:p w14:paraId="4DB59A79" w14:textId="28E9382A" w:rsidR="00CB0015" w:rsidRPr="00B819D7" w:rsidRDefault="00CB0015" w:rsidP="00FB0DA5">
      <w:pPr>
        <w:pStyle w:val="Instructionaltext"/>
        <w:tabs>
          <w:tab w:val="left" w:pos="284"/>
        </w:tabs>
        <w:spacing w:before="0" w:after="0" w:line="240" w:lineRule="auto"/>
        <w:rPr>
          <w:rFonts w:ascii="Arial Narrow" w:hAnsi="Arial Narrow"/>
          <w:color w:val="auto"/>
          <w:sz w:val="18"/>
          <w:szCs w:val="18"/>
        </w:rPr>
      </w:pPr>
      <w:proofErr w:type="spellStart"/>
      <w:r w:rsidRPr="00B819D7">
        <w:rPr>
          <w:rFonts w:ascii="Arial Narrow" w:hAnsi="Arial Narrow"/>
          <w:color w:val="auto"/>
          <w:sz w:val="18"/>
          <w:szCs w:val="18"/>
          <w:vertAlign w:val="superscript"/>
        </w:rPr>
        <w:t>a</w:t>
      </w:r>
      <w:proofErr w:type="spellEnd"/>
      <w:r w:rsidRPr="00B819D7">
        <w:rPr>
          <w:rFonts w:ascii="Arial Narrow" w:hAnsi="Arial Narrow"/>
          <w:color w:val="auto"/>
          <w:sz w:val="18"/>
          <w:szCs w:val="18"/>
        </w:rPr>
        <w:tab/>
        <w:t>in individuals who meet diagnostic criteria, but in whom no germline mutations are identified, consider workup for mosaicism</w:t>
      </w:r>
    </w:p>
    <w:p w14:paraId="161C7D40" w14:textId="22C84359" w:rsidR="00CB0015" w:rsidRPr="00B819D7" w:rsidRDefault="00CB0015" w:rsidP="00B819D7">
      <w:pPr>
        <w:pStyle w:val="Instructionaltext"/>
        <w:tabs>
          <w:tab w:val="left" w:pos="284"/>
        </w:tabs>
        <w:spacing w:before="0" w:after="240" w:line="240" w:lineRule="auto"/>
        <w:rPr>
          <w:rFonts w:ascii="Arial Narrow" w:hAnsi="Arial Narrow"/>
          <w:color w:val="auto"/>
          <w:sz w:val="18"/>
          <w:szCs w:val="18"/>
        </w:rPr>
      </w:pPr>
      <w:r w:rsidRPr="00B819D7">
        <w:rPr>
          <w:rFonts w:ascii="Arial Narrow" w:hAnsi="Arial Narrow"/>
          <w:color w:val="auto"/>
          <w:sz w:val="18"/>
          <w:szCs w:val="18"/>
          <w:vertAlign w:val="superscript"/>
        </w:rPr>
        <w:lastRenderedPageBreak/>
        <w:t>b</w:t>
      </w:r>
      <w:r w:rsidRPr="00B819D7">
        <w:rPr>
          <w:rFonts w:ascii="Arial Narrow" w:hAnsi="Arial Narrow"/>
          <w:color w:val="auto"/>
          <w:sz w:val="18"/>
          <w:szCs w:val="18"/>
        </w:rPr>
        <w:tab/>
        <w:t xml:space="preserve">variant of </w:t>
      </w:r>
      <w:r w:rsidR="006A06D2" w:rsidRPr="00B819D7">
        <w:rPr>
          <w:rFonts w:ascii="Arial Narrow" w:hAnsi="Arial Narrow"/>
          <w:color w:val="auto"/>
          <w:sz w:val="18"/>
          <w:szCs w:val="18"/>
        </w:rPr>
        <w:t>unknown significance (uninformative)</w:t>
      </w:r>
    </w:p>
    <w:p w14:paraId="6D26F880" w14:textId="2524A783" w:rsidR="00A44A74" w:rsidRDefault="00A44A74" w:rsidP="005D2196">
      <w:r w:rsidRPr="00005CAD">
        <w:t xml:space="preserve">Genetic screening for </w:t>
      </w:r>
      <w:r w:rsidR="00CC5C4A" w:rsidRPr="00005CAD">
        <w:t>heritable</w:t>
      </w:r>
      <w:r w:rsidRPr="00005CAD">
        <w:t xml:space="preserve"> syndromes appears to constitute best practice both in Australia and internationally.</w:t>
      </w:r>
    </w:p>
    <w:p w14:paraId="1F09D133" w14:textId="1A47BC6C" w:rsidR="00491828" w:rsidRDefault="006C24D7" w:rsidP="005D2196">
      <w:r w:rsidRPr="00005CAD">
        <w:t xml:space="preserve">In the case of paragangliomas, biochemical confirmation of the diagnosis should be followed by radiological evaluation to locate the </w:t>
      </w:r>
      <w:r w:rsidR="00CC5C4A" w:rsidRPr="00005CAD">
        <w:t>tumour</w:t>
      </w:r>
      <w:r w:rsidRPr="00005CAD">
        <w:t>, not the other way around (Stein &amp; Black 1991, Bravo 1991, cited in Young 2022)</w:t>
      </w:r>
      <w:r w:rsidR="00005CAD">
        <w:t>.</w:t>
      </w:r>
    </w:p>
    <w:p w14:paraId="1D224D55" w14:textId="77777777" w:rsidR="00C92960" w:rsidRPr="00C92960" w:rsidRDefault="00C92960" w:rsidP="00C92960">
      <w:pPr>
        <w:autoSpaceDE w:val="0"/>
        <w:autoSpaceDN w:val="0"/>
        <w:adjustRightInd w:val="0"/>
        <w:spacing w:line="23" w:lineRule="atLeast"/>
        <w:rPr>
          <w:rFonts w:asciiTheme="minorHAnsi" w:hAnsiTheme="minorHAnsi" w:cstheme="minorHAnsi"/>
          <w:i/>
        </w:rPr>
      </w:pPr>
      <w:r w:rsidRPr="00C92960">
        <w:rPr>
          <w:rFonts w:asciiTheme="minorHAnsi" w:hAnsiTheme="minorHAnsi" w:cstheme="minorHAnsi"/>
          <w:i/>
        </w:rPr>
        <w:t>PASC considered that the prior tests be clarified for the PICO Sets:</w:t>
      </w:r>
    </w:p>
    <w:p w14:paraId="47FD6A54" w14:textId="6BF6FEB4" w:rsidR="00C92960" w:rsidRPr="00C92960" w:rsidRDefault="00C92960" w:rsidP="00C92960">
      <w:pPr>
        <w:pStyle w:val="Heading4"/>
      </w:pPr>
      <w:r w:rsidRPr="00C92960">
        <w:t>PICO Set 1</w:t>
      </w:r>
    </w:p>
    <w:p w14:paraId="5FE4F80C" w14:textId="77777777" w:rsidR="00C92960" w:rsidRPr="00C92960" w:rsidRDefault="00C92960" w:rsidP="00C92960">
      <w:pPr>
        <w:pStyle w:val="ListParagraph"/>
        <w:numPr>
          <w:ilvl w:val="0"/>
          <w:numId w:val="14"/>
        </w:numPr>
        <w:rPr>
          <w:rFonts w:asciiTheme="minorHAnsi" w:hAnsiTheme="minorHAnsi" w:cstheme="minorHAnsi"/>
          <w:i/>
          <w:iCs w:val="0"/>
        </w:rPr>
      </w:pPr>
      <w:r>
        <w:rPr>
          <w:rFonts w:asciiTheme="minorHAnsi" w:hAnsiTheme="minorHAnsi" w:cstheme="minorHAnsi"/>
          <w:i/>
        </w:rPr>
        <w:t xml:space="preserve">Clinical </w:t>
      </w:r>
      <w:r w:rsidRPr="00C92960">
        <w:rPr>
          <w:i/>
          <w:iCs w:val="0"/>
        </w:rPr>
        <w:t>diagnosis</w:t>
      </w:r>
      <w:r w:rsidRPr="00C92960">
        <w:rPr>
          <w:rFonts w:asciiTheme="minorHAnsi" w:hAnsiTheme="minorHAnsi" w:cstheme="minorHAnsi"/>
          <w:i/>
          <w:iCs w:val="0"/>
        </w:rPr>
        <w:t xml:space="preserve"> using standardised phenotypic diagnostic criteria.</w:t>
      </w:r>
    </w:p>
    <w:p w14:paraId="6E0CD4E6" w14:textId="4953E20D" w:rsidR="00C92960" w:rsidRDefault="00C92960" w:rsidP="00C92960">
      <w:pPr>
        <w:pStyle w:val="ListParagraph"/>
        <w:numPr>
          <w:ilvl w:val="0"/>
          <w:numId w:val="14"/>
        </w:numPr>
        <w:rPr>
          <w:rFonts w:asciiTheme="minorHAnsi" w:hAnsiTheme="minorHAnsi" w:cstheme="minorHAnsi"/>
          <w:i/>
        </w:rPr>
      </w:pPr>
      <w:r w:rsidRPr="00C92960">
        <w:rPr>
          <w:rFonts w:asciiTheme="minorHAnsi" w:hAnsiTheme="minorHAnsi" w:cstheme="minorHAnsi"/>
          <w:i/>
          <w:iCs w:val="0"/>
        </w:rPr>
        <w:t xml:space="preserve">Genetic </w:t>
      </w:r>
      <w:r w:rsidRPr="00C92960">
        <w:rPr>
          <w:i/>
          <w:iCs w:val="0"/>
        </w:rPr>
        <w:t>testing</w:t>
      </w:r>
      <w:r>
        <w:rPr>
          <w:rFonts w:asciiTheme="minorHAnsi" w:hAnsiTheme="minorHAnsi" w:cstheme="minorHAnsi"/>
          <w:i/>
        </w:rPr>
        <w:t xml:space="preserve"> to confirm the </w:t>
      </w:r>
      <w:r w:rsidR="005E2B99">
        <w:rPr>
          <w:rFonts w:asciiTheme="minorHAnsi" w:hAnsiTheme="minorHAnsi" w:cstheme="minorHAnsi"/>
          <w:i/>
        </w:rPr>
        <w:t xml:space="preserve">presumptive </w:t>
      </w:r>
      <w:r>
        <w:rPr>
          <w:rFonts w:asciiTheme="minorHAnsi" w:hAnsiTheme="minorHAnsi" w:cstheme="minorHAnsi"/>
          <w:i/>
        </w:rPr>
        <w:t>phenotypic diagnosis, by presence of germline pathogenic or likely pathogenic variants or relevant genes.</w:t>
      </w:r>
    </w:p>
    <w:p w14:paraId="7D507503" w14:textId="7E3C5788" w:rsidR="00C92960" w:rsidRDefault="00C92960" w:rsidP="00C92960">
      <w:pPr>
        <w:pStyle w:val="Heading4"/>
      </w:pPr>
      <w:r>
        <w:t>PICO Set 2</w:t>
      </w:r>
    </w:p>
    <w:p w14:paraId="7DBEA323" w14:textId="43B51F2E" w:rsidR="00D00BDA" w:rsidRDefault="00C92960" w:rsidP="00D00BDA">
      <w:pPr>
        <w:pStyle w:val="ListParagraph"/>
        <w:numPr>
          <w:ilvl w:val="0"/>
          <w:numId w:val="64"/>
        </w:numPr>
        <w:rPr>
          <w:rFonts w:asciiTheme="minorHAnsi" w:hAnsiTheme="minorHAnsi" w:cstheme="minorHAnsi"/>
          <w:i/>
        </w:rPr>
      </w:pPr>
      <w:r w:rsidRPr="002267DC">
        <w:rPr>
          <w:rFonts w:asciiTheme="minorHAnsi" w:hAnsiTheme="minorHAnsi" w:cstheme="minorHAnsi"/>
          <w:i/>
        </w:rPr>
        <w:t>Previous abdominal imaging (US/CT/MRI) to identify renal tumours requiring treatment</w:t>
      </w:r>
      <w:r w:rsidR="00657B1D" w:rsidRPr="002267DC">
        <w:rPr>
          <w:rFonts w:asciiTheme="minorHAnsi" w:hAnsiTheme="minorHAnsi" w:cstheme="minorHAnsi"/>
          <w:i/>
        </w:rPr>
        <w:t xml:space="preserve"> </w:t>
      </w:r>
    </w:p>
    <w:p w14:paraId="74F4AEE7" w14:textId="1A20274C" w:rsidR="00D00BDA" w:rsidRPr="00005CAD" w:rsidRDefault="00D00BDA" w:rsidP="00D00BDA">
      <w:pPr>
        <w:pStyle w:val="ListParagraph"/>
        <w:numPr>
          <w:ilvl w:val="0"/>
          <w:numId w:val="64"/>
        </w:numPr>
      </w:pPr>
      <w:r w:rsidRPr="00D00BDA">
        <w:rPr>
          <w:rFonts w:asciiTheme="minorHAnsi" w:hAnsiTheme="minorHAnsi" w:cstheme="minorHAnsi"/>
          <w:i/>
        </w:rPr>
        <w:t>Bi</w:t>
      </w:r>
      <w:r w:rsidRPr="00D00BDA">
        <w:rPr>
          <w:rFonts w:asciiTheme="minorHAnsi" w:hAnsiTheme="minorHAnsi" w:cstheme="minorHAnsi"/>
          <w:i/>
          <w:sz w:val="24"/>
        </w:rPr>
        <w:t xml:space="preserve">opsy/histopathology to confirm </w:t>
      </w:r>
      <w:r w:rsidR="000C4E3B">
        <w:rPr>
          <w:rFonts w:asciiTheme="minorHAnsi" w:hAnsiTheme="minorHAnsi" w:cstheme="minorHAnsi"/>
          <w:i/>
          <w:sz w:val="24"/>
        </w:rPr>
        <w:t xml:space="preserve">the morphological </w:t>
      </w:r>
      <w:r w:rsidR="00215010">
        <w:rPr>
          <w:rFonts w:asciiTheme="minorHAnsi" w:hAnsiTheme="minorHAnsi" w:cstheme="minorHAnsi"/>
          <w:i/>
          <w:sz w:val="24"/>
        </w:rPr>
        <w:t>diagnosis</w:t>
      </w:r>
      <w:r w:rsidRPr="00D00BDA">
        <w:rPr>
          <w:rFonts w:asciiTheme="minorHAnsi" w:hAnsiTheme="minorHAnsi" w:cstheme="minorHAnsi"/>
          <w:i/>
          <w:sz w:val="24"/>
        </w:rPr>
        <w:t xml:space="preserve"> of the tumour</w:t>
      </w:r>
      <w:r w:rsidRPr="00D00BDA">
        <w:rPr>
          <w:rFonts w:asciiTheme="minorHAnsi" w:hAnsiTheme="minorHAnsi" w:cstheme="minorHAnsi"/>
          <w:i/>
        </w:rPr>
        <w:t>.</w:t>
      </w:r>
    </w:p>
    <w:p w14:paraId="1679EF7F" w14:textId="77777777" w:rsidR="00D00BDA" w:rsidRPr="002267DC" w:rsidRDefault="00D00BDA" w:rsidP="002267DC">
      <w:pPr>
        <w:pStyle w:val="ListParagraph"/>
        <w:numPr>
          <w:ilvl w:val="0"/>
          <w:numId w:val="0"/>
        </w:numPr>
        <w:ind w:left="720"/>
        <w:rPr>
          <w:rFonts w:asciiTheme="minorHAnsi" w:hAnsiTheme="minorHAnsi" w:cstheme="minorHAnsi"/>
          <w:i/>
        </w:rPr>
      </w:pPr>
    </w:p>
    <w:p w14:paraId="611D8577" w14:textId="4A8E2414" w:rsidR="00C14AEE" w:rsidRPr="00FB0DA5" w:rsidRDefault="002456CF" w:rsidP="00CC7D3E">
      <w:pPr>
        <w:pStyle w:val="Instructionaltext"/>
        <w:keepNext/>
        <w:spacing w:before="0" w:after="240"/>
        <w:rPr>
          <w:color w:val="auto"/>
          <w:u w:val="single"/>
        </w:rPr>
      </w:pPr>
      <w:r w:rsidRPr="00FB0DA5">
        <w:rPr>
          <w:color w:val="auto"/>
          <w:u w:val="single"/>
        </w:rPr>
        <w:t>Access to prior testing</w:t>
      </w:r>
    </w:p>
    <w:p w14:paraId="7339AFE5" w14:textId="4BC2B5E7" w:rsidR="00A44A74" w:rsidRPr="00005CAD" w:rsidRDefault="00A44A74" w:rsidP="005D2196">
      <w:r w:rsidRPr="00005CAD">
        <w:t xml:space="preserve">It is </w:t>
      </w:r>
      <w:r w:rsidR="00EC0A06" w:rsidRPr="00005CAD">
        <w:t>expected</w:t>
      </w:r>
      <w:r w:rsidRPr="00005CAD">
        <w:t xml:space="preserve"> that most patients with suspected inheritable </w:t>
      </w:r>
      <w:r w:rsidR="00005CAD" w:rsidRPr="00005CAD">
        <w:t xml:space="preserve">conditions that are strongly associated with the development of renal tumours </w:t>
      </w:r>
      <w:r w:rsidRPr="00005CAD">
        <w:t>will not have access to MBS subsidised genetic testing for these mutations. It possible that testing may be accessed through state or institutional funding.</w:t>
      </w:r>
    </w:p>
    <w:p w14:paraId="4D1F9B16" w14:textId="6E2CDAA4" w:rsidR="00C14AEE" w:rsidRDefault="00A44A74" w:rsidP="005D2196">
      <w:r w:rsidRPr="00DA79F1">
        <w:t xml:space="preserve">A small proportion of the requested population </w:t>
      </w:r>
      <w:r w:rsidR="00C14AEE" w:rsidRPr="00DA79F1">
        <w:t>may have access to testing through the MBS. Specifically:</w:t>
      </w:r>
    </w:p>
    <w:p w14:paraId="2FCDBAA0" w14:textId="4C936072" w:rsidR="009F2E3A" w:rsidRDefault="00C14AEE" w:rsidP="00AA4DCC">
      <w:pPr>
        <w:pStyle w:val="ListParagraph"/>
        <w:numPr>
          <w:ilvl w:val="0"/>
          <w:numId w:val="10"/>
        </w:numPr>
      </w:pPr>
      <w:r w:rsidRPr="00005CAD">
        <w:t>Whole exome sequencing for childhood syndromes (MBS item 73358) may identify some individuals with pathogenic variants in relevant genes.</w:t>
      </w:r>
    </w:p>
    <w:p w14:paraId="4AD5EC6C" w14:textId="07C94FB0" w:rsidR="00751585" w:rsidRPr="00DA79F1" w:rsidRDefault="00751585" w:rsidP="00AA4DCC">
      <w:pPr>
        <w:pStyle w:val="ListParagraph"/>
        <w:numPr>
          <w:ilvl w:val="0"/>
          <w:numId w:val="10"/>
        </w:numPr>
      </w:pPr>
      <w:r w:rsidRPr="00DA79F1">
        <w:t xml:space="preserve">Detection of the </w:t>
      </w:r>
      <w:r w:rsidRPr="003636A2">
        <w:rPr>
          <w:i/>
        </w:rPr>
        <w:t>VHL</w:t>
      </w:r>
      <w:r w:rsidRPr="00DA79F1">
        <w:t xml:space="preserve"> Gene (MBS item 73333) is available for </w:t>
      </w:r>
      <w:r w:rsidR="00CC5C4A" w:rsidRPr="00DA79F1">
        <w:t>patients</w:t>
      </w:r>
      <w:r w:rsidR="00C14AEE" w:rsidRPr="00DA79F1">
        <w:t xml:space="preserve"> with</w:t>
      </w:r>
      <w:r w:rsidRPr="00DA79F1">
        <w:t>:</w:t>
      </w:r>
    </w:p>
    <w:p w14:paraId="0939463E" w14:textId="0FB18DAD" w:rsidR="00751585" w:rsidRPr="00005CAD" w:rsidRDefault="00C14AEE" w:rsidP="00AA4DCC">
      <w:pPr>
        <w:pStyle w:val="ListParagraph"/>
        <w:numPr>
          <w:ilvl w:val="0"/>
          <w:numId w:val="20"/>
        </w:numPr>
      </w:pPr>
      <w:r w:rsidRPr="00005CAD">
        <w:t>a clinical diagnosis of VHL</w:t>
      </w:r>
      <w:r w:rsidR="00751585" w:rsidRPr="00005CAD">
        <w:t xml:space="preserve"> and;</w:t>
      </w:r>
    </w:p>
    <w:p w14:paraId="4B2474E2" w14:textId="2994CFE2" w:rsidR="00751585" w:rsidRPr="00005CAD" w:rsidRDefault="00C14AEE" w:rsidP="00AA4DCC">
      <w:pPr>
        <w:pStyle w:val="ListParagraph"/>
        <w:numPr>
          <w:ilvl w:val="0"/>
          <w:numId w:val="21"/>
        </w:numPr>
      </w:pPr>
      <w:r w:rsidRPr="00005CAD">
        <w:t>a family history of VHL and</w:t>
      </w:r>
      <w:r w:rsidR="00751585" w:rsidRPr="00005CAD">
        <w:t xml:space="preserve"> one of the following</w:t>
      </w:r>
      <w:r w:rsidR="002D4E6A" w:rsidRPr="00005CAD">
        <w:t>:</w:t>
      </w:r>
    </w:p>
    <w:p w14:paraId="7B083CFF" w14:textId="4CF7E71E" w:rsidR="00751585" w:rsidRPr="00005CAD" w:rsidRDefault="00C14AEE" w:rsidP="00AA4DCC">
      <w:pPr>
        <w:pStyle w:val="ListParagraph"/>
        <w:numPr>
          <w:ilvl w:val="0"/>
          <w:numId w:val="22"/>
        </w:numPr>
      </w:pPr>
      <w:proofErr w:type="spellStart"/>
      <w:r w:rsidRPr="00005CAD">
        <w:t>haemangioblastoma</w:t>
      </w:r>
      <w:proofErr w:type="spellEnd"/>
      <w:r w:rsidRPr="00005CAD">
        <w:t xml:space="preserve"> (retinal of CNS),</w:t>
      </w:r>
    </w:p>
    <w:p w14:paraId="45462D7E" w14:textId="53B7D8AC" w:rsidR="00751585" w:rsidRPr="00005CAD" w:rsidRDefault="002D4E6A" w:rsidP="00AA4DCC">
      <w:pPr>
        <w:pStyle w:val="ListParagraph"/>
        <w:numPr>
          <w:ilvl w:val="0"/>
          <w:numId w:val="22"/>
        </w:numPr>
      </w:pPr>
      <w:r w:rsidRPr="00005CAD">
        <w:t>p</w:t>
      </w:r>
      <w:r w:rsidR="00C14AEE" w:rsidRPr="00005CAD">
        <w:t>haeochromocytoma</w:t>
      </w:r>
      <w:r w:rsidR="00751585" w:rsidRPr="00005CAD">
        <w:t>;</w:t>
      </w:r>
    </w:p>
    <w:p w14:paraId="562D07CA" w14:textId="205CA63E" w:rsidR="00C14AEE" w:rsidRPr="00005CAD" w:rsidRDefault="00C14AEE" w:rsidP="00AA4DCC">
      <w:pPr>
        <w:pStyle w:val="ListParagraph"/>
        <w:numPr>
          <w:ilvl w:val="0"/>
          <w:numId w:val="22"/>
        </w:numPr>
      </w:pPr>
      <w:r w:rsidRPr="00005CAD">
        <w:t xml:space="preserve">renal cell </w:t>
      </w:r>
      <w:r w:rsidR="00751585" w:rsidRPr="00005CAD">
        <w:t>carcinoma; or</w:t>
      </w:r>
    </w:p>
    <w:p w14:paraId="1D62573E" w14:textId="4F001FF7" w:rsidR="00751585" w:rsidRPr="00DA79F1" w:rsidRDefault="002D4E6A" w:rsidP="00AA4DCC">
      <w:pPr>
        <w:pStyle w:val="ListParagraph"/>
        <w:numPr>
          <w:ilvl w:val="0"/>
          <w:numId w:val="21"/>
        </w:numPr>
      </w:pPr>
      <w:r>
        <w:t>two</w:t>
      </w:r>
      <w:r w:rsidRPr="00DA79F1">
        <w:t xml:space="preserve"> </w:t>
      </w:r>
      <w:r w:rsidR="00751585" w:rsidRPr="00005CAD">
        <w:t>or</w:t>
      </w:r>
      <w:r w:rsidR="00751585" w:rsidRPr="00DA79F1">
        <w:t xml:space="preserve"> more </w:t>
      </w:r>
      <w:proofErr w:type="spellStart"/>
      <w:r w:rsidR="00751585" w:rsidRPr="00DA79F1">
        <w:t>haemangioblastomas</w:t>
      </w:r>
      <w:proofErr w:type="spellEnd"/>
      <w:r w:rsidR="00751585" w:rsidRPr="00DA79F1">
        <w:t>; or</w:t>
      </w:r>
    </w:p>
    <w:p w14:paraId="0D24BEBE" w14:textId="52D72CA2" w:rsidR="00751585" w:rsidRPr="00DA79F1" w:rsidRDefault="002D4E6A" w:rsidP="00AA4DCC">
      <w:pPr>
        <w:pStyle w:val="ListParagraph"/>
        <w:numPr>
          <w:ilvl w:val="0"/>
          <w:numId w:val="21"/>
        </w:numPr>
      </w:pPr>
      <w:r>
        <w:t>o</w:t>
      </w:r>
      <w:r w:rsidRPr="00DA79F1">
        <w:t xml:space="preserve">ne </w:t>
      </w:r>
      <w:proofErr w:type="spellStart"/>
      <w:r w:rsidR="00751585" w:rsidRPr="00DA79F1">
        <w:t>haemangioblastoma</w:t>
      </w:r>
      <w:proofErr w:type="spellEnd"/>
      <w:r w:rsidR="00751585" w:rsidRPr="00DA79F1">
        <w:t xml:space="preserve"> and a tumour or cyst of:</w:t>
      </w:r>
    </w:p>
    <w:p w14:paraId="612ED07D" w14:textId="23D81DE4" w:rsidR="00751585" w:rsidRPr="00005CAD" w:rsidRDefault="002D4E6A" w:rsidP="00AA4DCC">
      <w:pPr>
        <w:pStyle w:val="ListParagraph"/>
        <w:numPr>
          <w:ilvl w:val="0"/>
          <w:numId w:val="23"/>
        </w:numPr>
      </w:pPr>
      <w:r w:rsidRPr="00005CAD">
        <w:t>t</w:t>
      </w:r>
      <w:r w:rsidR="00751585" w:rsidRPr="00005CAD">
        <w:t>he adrenal gland; or</w:t>
      </w:r>
    </w:p>
    <w:p w14:paraId="5A981712" w14:textId="34FF81E8" w:rsidR="00751585" w:rsidRPr="00005CAD" w:rsidRDefault="002D4E6A" w:rsidP="00AA4DCC">
      <w:pPr>
        <w:pStyle w:val="ListParagraph"/>
        <w:numPr>
          <w:ilvl w:val="0"/>
          <w:numId w:val="23"/>
        </w:numPr>
      </w:pPr>
      <w:r w:rsidRPr="00005CAD">
        <w:t>t</w:t>
      </w:r>
      <w:r w:rsidR="00751585" w:rsidRPr="00005CAD">
        <w:t>he kidney; or</w:t>
      </w:r>
    </w:p>
    <w:p w14:paraId="040A224B" w14:textId="49275F19" w:rsidR="00751585" w:rsidRPr="00005CAD" w:rsidRDefault="002D4E6A" w:rsidP="00AA4DCC">
      <w:pPr>
        <w:pStyle w:val="ListParagraph"/>
        <w:numPr>
          <w:ilvl w:val="0"/>
          <w:numId w:val="23"/>
        </w:numPr>
      </w:pPr>
      <w:r w:rsidRPr="00005CAD">
        <w:t>t</w:t>
      </w:r>
      <w:r w:rsidR="00751585" w:rsidRPr="00005CAD">
        <w:t>he pancreas; or</w:t>
      </w:r>
    </w:p>
    <w:p w14:paraId="7B3584C7" w14:textId="0678164E" w:rsidR="00751585" w:rsidRPr="00005CAD" w:rsidRDefault="002D4E6A" w:rsidP="00AA4DCC">
      <w:pPr>
        <w:pStyle w:val="ListParagraph"/>
        <w:numPr>
          <w:ilvl w:val="0"/>
          <w:numId w:val="23"/>
        </w:numPr>
      </w:pPr>
      <w:r w:rsidRPr="00005CAD">
        <w:t>t</w:t>
      </w:r>
      <w:r w:rsidR="00751585" w:rsidRPr="00005CAD">
        <w:t>h</w:t>
      </w:r>
      <w:r w:rsidRPr="00005CAD">
        <w:t>e</w:t>
      </w:r>
      <w:r w:rsidR="00751585" w:rsidRPr="00005CAD">
        <w:t xml:space="preserve"> epididymis; or</w:t>
      </w:r>
    </w:p>
    <w:p w14:paraId="5FFCBBFB" w14:textId="47FC681B" w:rsidR="00751585" w:rsidRPr="00005CAD" w:rsidRDefault="002D4E6A" w:rsidP="00AA4DCC">
      <w:pPr>
        <w:pStyle w:val="ListParagraph"/>
        <w:numPr>
          <w:ilvl w:val="0"/>
          <w:numId w:val="23"/>
        </w:numPr>
      </w:pPr>
      <w:r w:rsidRPr="00005CAD">
        <w:t>a</w:t>
      </w:r>
      <w:r w:rsidR="00751585" w:rsidRPr="00005CAD">
        <w:t xml:space="preserve"> broad ligament (other than epididymal and single renal cysts, which are common in the general population); or</w:t>
      </w:r>
    </w:p>
    <w:p w14:paraId="5F0B2AC7" w14:textId="74A1E9BC" w:rsidR="00751585" w:rsidRPr="00DA79F1" w:rsidRDefault="00005CAD" w:rsidP="00AA4DCC">
      <w:pPr>
        <w:pStyle w:val="ListParagraph"/>
        <w:numPr>
          <w:ilvl w:val="0"/>
          <w:numId w:val="20"/>
        </w:numPr>
      </w:pPr>
      <w:r>
        <w:lastRenderedPageBreak/>
        <w:t>i</w:t>
      </w:r>
      <w:r w:rsidR="00751585" w:rsidRPr="00DA79F1">
        <w:t xml:space="preserve">n a patient presenting with one or more of the following clinical features suggestive of VHL </w:t>
      </w:r>
      <w:r w:rsidR="00751585" w:rsidRPr="00005CAD">
        <w:t>syndrome</w:t>
      </w:r>
      <w:r w:rsidR="00751585" w:rsidRPr="00DA79F1">
        <w:t>:</w:t>
      </w:r>
    </w:p>
    <w:p w14:paraId="3E2A46E2" w14:textId="3932AF5F" w:rsidR="00751585" w:rsidRPr="00DA79F1" w:rsidRDefault="002D4E6A" w:rsidP="00AA4DCC">
      <w:pPr>
        <w:pStyle w:val="ListParagraph"/>
        <w:numPr>
          <w:ilvl w:val="0"/>
          <w:numId w:val="29"/>
        </w:numPr>
      </w:pPr>
      <w:proofErr w:type="spellStart"/>
      <w:r>
        <w:t>h</w:t>
      </w:r>
      <w:r w:rsidR="00751585" w:rsidRPr="00DA79F1">
        <w:t>aemangioblastomas</w:t>
      </w:r>
      <w:proofErr w:type="spellEnd"/>
      <w:r w:rsidR="00751585" w:rsidRPr="00DA79F1">
        <w:t xml:space="preserve"> of the brain, spinal cord, or retina</w:t>
      </w:r>
    </w:p>
    <w:p w14:paraId="014D7496" w14:textId="687EA800" w:rsidR="00751585" w:rsidRPr="00DA79F1" w:rsidRDefault="002D4E6A" w:rsidP="00AA4DCC">
      <w:pPr>
        <w:pStyle w:val="ListParagraph"/>
        <w:numPr>
          <w:ilvl w:val="0"/>
          <w:numId w:val="29"/>
        </w:numPr>
      </w:pPr>
      <w:r>
        <w:t>p</w:t>
      </w:r>
      <w:r w:rsidR="00751585" w:rsidRPr="00DA79F1">
        <w:t>haeochromocytoma</w:t>
      </w:r>
    </w:p>
    <w:p w14:paraId="22E41A3F" w14:textId="71193ED0" w:rsidR="003E0146" w:rsidRPr="00DA79F1" w:rsidRDefault="002D4E6A" w:rsidP="00AA4DCC">
      <w:pPr>
        <w:pStyle w:val="ListParagraph"/>
        <w:numPr>
          <w:ilvl w:val="0"/>
          <w:numId w:val="29"/>
        </w:numPr>
        <w:ind w:left="1077" w:hanging="357"/>
      </w:pPr>
      <w:r>
        <w:t>f</w:t>
      </w:r>
      <w:r w:rsidR="003E0146" w:rsidRPr="00DA79F1">
        <w:t>unctional extra-ad</w:t>
      </w:r>
      <w:r w:rsidR="00A012B9">
        <w:t>r</w:t>
      </w:r>
      <w:r w:rsidR="003E0146" w:rsidRPr="00DA79F1">
        <w:t>enal paraganglioma</w:t>
      </w:r>
    </w:p>
    <w:p w14:paraId="0782B0ED" w14:textId="7A0C05A6" w:rsidR="009F2E3A" w:rsidRPr="00DA79F1" w:rsidRDefault="009F2E3A" w:rsidP="00AA4DCC">
      <w:pPr>
        <w:pStyle w:val="ListParagraph"/>
        <w:numPr>
          <w:ilvl w:val="0"/>
          <w:numId w:val="10"/>
        </w:numPr>
        <w:spacing w:before="240"/>
        <w:ind w:left="357" w:hanging="357"/>
      </w:pPr>
      <w:r w:rsidRPr="00005CAD">
        <w:t>Patients</w:t>
      </w:r>
      <w:r w:rsidRPr="00DA79F1">
        <w:t xml:space="preserve"> (Item 73296):</w:t>
      </w:r>
    </w:p>
    <w:p w14:paraId="54884DA5" w14:textId="77777777" w:rsidR="009F2E3A" w:rsidRPr="00005CAD" w:rsidRDefault="009F2E3A" w:rsidP="00AA4DCC">
      <w:pPr>
        <w:pStyle w:val="ListParagraph"/>
        <w:numPr>
          <w:ilvl w:val="0"/>
          <w:numId w:val="24"/>
        </w:numPr>
      </w:pPr>
      <w:r w:rsidRPr="00005CAD">
        <w:t>with breast, ovarian, fallopian tube or primary peritoneal cancer; and</w:t>
      </w:r>
    </w:p>
    <w:p w14:paraId="495EE4DD" w14:textId="0290C571" w:rsidR="003E0146" w:rsidRPr="00005CAD" w:rsidRDefault="009F2E3A" w:rsidP="00AA4DCC">
      <w:pPr>
        <w:pStyle w:val="ListParagraph"/>
        <w:numPr>
          <w:ilvl w:val="0"/>
          <w:numId w:val="24"/>
        </w:numPr>
      </w:pPr>
      <w:r w:rsidRPr="00005CAD">
        <w:t xml:space="preserve">for whom clinical and family history criteria (as assessed, by the specialist or consultant physician who requests the service, using a quantitative algorithm) place the patient at greater than 10% risk of having a pathogenic or likely pathogenic gene variation identified in one or more of the genes </w:t>
      </w:r>
      <w:r w:rsidRPr="00005CAD">
        <w:rPr>
          <w:i/>
        </w:rPr>
        <w:t>BRCA1, BRCA2, STK11, PTEN, CDH1, PALB2</w:t>
      </w:r>
      <w:r w:rsidRPr="00005CAD">
        <w:t xml:space="preserve"> and </w:t>
      </w:r>
      <w:r w:rsidRPr="00005CAD">
        <w:rPr>
          <w:i/>
        </w:rPr>
        <w:t>TP53</w:t>
      </w:r>
      <w:r w:rsidRPr="00005CAD">
        <w:t>; requested by a specialist or consultant physician</w:t>
      </w:r>
      <w:r w:rsidR="002D4E6A" w:rsidRPr="00005CAD">
        <w:t>.</w:t>
      </w:r>
    </w:p>
    <w:p w14:paraId="4C01B3A8" w14:textId="7DBDAADF" w:rsidR="002926BC" w:rsidRDefault="007A66C8" w:rsidP="00F06230">
      <w:pPr>
        <w:pStyle w:val="Heading3"/>
      </w:pPr>
      <w:r w:rsidRPr="00DA79F1">
        <w:t>Intervention</w:t>
      </w:r>
    </w:p>
    <w:p w14:paraId="5C0E81D3" w14:textId="77777777" w:rsidR="00005CAD" w:rsidRPr="005D2196" w:rsidRDefault="00005CAD" w:rsidP="005D2196">
      <w:pPr>
        <w:pStyle w:val="Heading4"/>
        <w:spacing w:after="120"/>
        <w:rPr>
          <w:u w:val="single"/>
        </w:rPr>
      </w:pPr>
      <w:r w:rsidRPr="005D2196">
        <w:rPr>
          <w:u w:val="single"/>
        </w:rPr>
        <w:t>PICO Set 1</w:t>
      </w:r>
    </w:p>
    <w:p w14:paraId="49FF5B83" w14:textId="02105D20" w:rsidR="00D201E6" w:rsidRPr="00DA79F1" w:rsidRDefault="00D201E6" w:rsidP="005D2196">
      <w:r w:rsidRPr="00DA79F1">
        <w:t>The application propose</w:t>
      </w:r>
      <w:r w:rsidR="00CD270E" w:rsidRPr="00DA79F1">
        <w:t>s</w:t>
      </w:r>
      <w:r w:rsidRPr="00DA79F1">
        <w:t xml:space="preserve"> Magnetic Resonance Imaging (MRI) of the abdomen using gadolinium-based contrast </w:t>
      </w:r>
      <w:r w:rsidR="00414B9E">
        <w:t xml:space="preserve">(where applicable) </w:t>
      </w:r>
      <w:r w:rsidRPr="00DA79F1">
        <w:t>performed for the surveillance of patients with a confirmed clinical and/or molecular diagnosis of a condition known to carry an increased risk of the development of renal tumours who may or may not be undergoing active treatment.</w:t>
      </w:r>
    </w:p>
    <w:p w14:paraId="3F31BA6E" w14:textId="0BC19F96" w:rsidR="00DB413C" w:rsidRPr="00DA79F1" w:rsidRDefault="00C06E54" w:rsidP="005D2196">
      <w:r w:rsidRPr="00DA79F1">
        <w:t>The application state</w:t>
      </w:r>
      <w:r w:rsidR="00CD270E" w:rsidRPr="00DA79F1">
        <w:t>s</w:t>
      </w:r>
      <w:r w:rsidRPr="00DA79F1">
        <w:t xml:space="preserve"> that following the establishment of a diagnosis of </w:t>
      </w:r>
      <w:r w:rsidR="00005CAD">
        <w:t>TSC</w:t>
      </w:r>
      <w:r w:rsidRPr="00DA79F1">
        <w:t xml:space="preserve"> or an inherited condition associated with increased risk of renal tumours</w:t>
      </w:r>
      <w:r w:rsidR="00005CAD">
        <w:t>,</w:t>
      </w:r>
      <w:r w:rsidRPr="00DA79F1">
        <w:t xml:space="preserve"> the patient would be reviewed by a clinician with expertise in managing patients with this condition. Baseline history and clinical examination will be performed.</w:t>
      </w:r>
    </w:p>
    <w:p w14:paraId="2D8B10F0" w14:textId="49F7CB78" w:rsidR="00C06E54" w:rsidRPr="00DA79F1" w:rsidRDefault="00C06E54" w:rsidP="005D2196">
      <w:r w:rsidRPr="00DA79F1">
        <w:t>A baseline (screening) abdominal MRI would be ordered by treating physician. The MRI would then be performed by a clinical radiology service and reported by a radiologist. In some circumstances where a patient may be unable to tolerate MRI scanning without sedation, they may be referred to a hospital service where MRI would be performed as an inpatient with appropriate sedation or anaesthesia.</w:t>
      </w:r>
    </w:p>
    <w:p w14:paraId="52D63E4E" w14:textId="57913608" w:rsidR="00BC504F" w:rsidRPr="00DA79F1" w:rsidRDefault="002A6219" w:rsidP="00CC7D3E">
      <w:pPr>
        <w:keepNext/>
        <w:spacing w:after="0"/>
      </w:pPr>
      <w:r>
        <w:t>For PICO Set 1, a</w:t>
      </w:r>
      <w:r w:rsidR="00BC504F" w:rsidRPr="00DA79F1">
        <w:t>bdominal MRI is proposed for:</w:t>
      </w:r>
    </w:p>
    <w:p w14:paraId="0C34CD6E" w14:textId="70512BA3" w:rsidR="00BC504F" w:rsidRPr="00B819D7" w:rsidRDefault="00DB413C" w:rsidP="00CC7D3E">
      <w:pPr>
        <w:keepNext/>
        <w:rPr>
          <w:b/>
          <w:bCs/>
        </w:rPr>
      </w:pPr>
      <w:r w:rsidRPr="00B819D7">
        <w:rPr>
          <w:b/>
          <w:bCs/>
        </w:rPr>
        <w:t>Regular screening</w:t>
      </w:r>
      <w:r w:rsidR="00BC504F" w:rsidRPr="00B819D7">
        <w:rPr>
          <w:b/>
          <w:bCs/>
        </w:rPr>
        <w:t xml:space="preserve"> for new (benign or malignant) lesions in patients diagnosed with a heritable rare kidney </w:t>
      </w:r>
      <w:r w:rsidR="0086532C">
        <w:rPr>
          <w:b/>
          <w:bCs/>
        </w:rPr>
        <w:t>tumour</w:t>
      </w:r>
      <w:r w:rsidR="00BC504F" w:rsidRPr="00B819D7">
        <w:rPr>
          <w:b/>
          <w:bCs/>
        </w:rPr>
        <w:t xml:space="preserve"> syndrome</w:t>
      </w:r>
      <w:r w:rsidR="002D4E6A" w:rsidRPr="00B819D7">
        <w:rPr>
          <w:b/>
          <w:bCs/>
        </w:rPr>
        <w:t>.</w:t>
      </w:r>
    </w:p>
    <w:p w14:paraId="3E740732" w14:textId="6E63FEA8" w:rsidR="00A34E85" w:rsidRPr="00DA79F1" w:rsidRDefault="00A34E85" w:rsidP="005D2196">
      <w:r w:rsidRPr="00DA79F1">
        <w:t>In further discussion with the applicant, the applicant stressed the importance of assessing tumour growth in addition to tumour size in considering treatment options</w:t>
      </w:r>
      <w:r w:rsidR="00A0160F" w:rsidRPr="00DA79F1">
        <w:t>.</w:t>
      </w:r>
      <w:r w:rsidRPr="00DA79F1">
        <w:t xml:space="preserve"> </w:t>
      </w:r>
      <w:r w:rsidR="00A0160F" w:rsidRPr="00DA79F1">
        <w:t>C</w:t>
      </w:r>
      <w:r w:rsidRPr="00DA79F1">
        <w:t>onsequently</w:t>
      </w:r>
      <w:r w:rsidR="00A0160F" w:rsidRPr="00DA79F1">
        <w:t>,</w:t>
      </w:r>
      <w:r w:rsidRPr="00DA79F1">
        <w:t xml:space="preserve"> annual surveillance may require two separate </w:t>
      </w:r>
      <w:r w:rsidR="00A0160F" w:rsidRPr="00DA79F1">
        <w:t xml:space="preserve">abdominal </w:t>
      </w:r>
      <w:r w:rsidRPr="00DA79F1">
        <w:t xml:space="preserve">MRI scans, </w:t>
      </w:r>
      <w:r w:rsidR="002D4E6A">
        <w:t>three to six</w:t>
      </w:r>
      <w:r w:rsidRPr="00DA79F1">
        <w:t xml:space="preserve"> months apart, in order to surve</w:t>
      </w:r>
      <w:r w:rsidR="00985CEE">
        <w:t>y</w:t>
      </w:r>
      <w:r w:rsidRPr="00DA79F1">
        <w:t xml:space="preserve"> for the size of tumours as well as the growth of such tumours. It was unclear how often two scans would be required, or whether this would only be required on the initial surveillance MRI.</w:t>
      </w:r>
      <w:r w:rsidR="000724C2">
        <w:t xml:space="preserve"> It is proposed that the response to treatment MBS item </w:t>
      </w:r>
      <w:r w:rsidR="00EE3DDA">
        <w:t xml:space="preserve">described for PICO Set 2 be expanded to </w:t>
      </w:r>
      <w:r w:rsidR="000724C2" w:rsidRPr="000724C2">
        <w:t>be available for each</w:t>
      </w:r>
      <w:r w:rsidR="000724C2">
        <w:t xml:space="preserve"> </w:t>
      </w:r>
      <w:r w:rsidR="000724C2" w:rsidRPr="000724C2">
        <w:t>new line of therapy, prior to commencement of therapy and 3-6 months post initiation of therapy, to assess the patient’s response to treatment. As such, this item will be requested at clinician discretion, and will be restricted to no more than one scan every 3 month period.</w:t>
      </w:r>
    </w:p>
    <w:p w14:paraId="3DD826D9" w14:textId="4B13DEB2" w:rsidR="000C022D" w:rsidRPr="00DA79F1" w:rsidRDefault="000C022D" w:rsidP="005D2196">
      <w:r w:rsidRPr="00DA79F1">
        <w:lastRenderedPageBreak/>
        <w:t xml:space="preserve">Given that TSC, VHL and </w:t>
      </w:r>
      <w:r w:rsidRPr="00005CAD">
        <w:t xml:space="preserve">many other rare heritable </w:t>
      </w:r>
      <w:r w:rsidR="00005CAD" w:rsidRPr="00005CAD">
        <w:t>syndromes</w:t>
      </w:r>
      <w:r w:rsidR="00005CAD">
        <w:t xml:space="preserve"> associated with the development of renal tumours are</w:t>
      </w:r>
      <w:r w:rsidRPr="00DA79F1">
        <w:t xml:space="preserve"> associated with important health risks outside of the kidney which require management, abdominal MRI is proposed to be used in addition to other diagnostic and clinical procedures that constitute standard risk management for patients with these syndromes. </w:t>
      </w:r>
      <w:r w:rsidR="00A0160F" w:rsidRPr="00DA79F1">
        <w:t>A</w:t>
      </w:r>
      <w:r w:rsidR="00A3056E" w:rsidRPr="00DA79F1">
        <w:t xml:space="preserve">bdominal MRI constitutes one diagnostic tool in a wider approach of surveillance and management that </w:t>
      </w:r>
      <w:r w:rsidR="00A0160F" w:rsidRPr="00DA79F1">
        <w:t>may</w:t>
      </w:r>
      <w:r w:rsidR="00A3056E" w:rsidRPr="00DA79F1">
        <w:t xml:space="preserve"> </w:t>
      </w:r>
      <w:r w:rsidR="00005CAD">
        <w:t xml:space="preserve">include </w:t>
      </w:r>
      <w:r w:rsidR="00A3056E" w:rsidRPr="00DA79F1">
        <w:t>other tests, including MRIs of other parts of the body.</w:t>
      </w:r>
    </w:p>
    <w:p w14:paraId="2A99BAE4" w14:textId="1899A31D" w:rsidR="00704E8C" w:rsidRPr="00DA79F1" w:rsidRDefault="0056695C" w:rsidP="005D2196">
      <w:r w:rsidRPr="00DA79F1">
        <w:t xml:space="preserve">Of note, </w:t>
      </w:r>
      <w:r w:rsidR="00A0160F" w:rsidRPr="00DA79F1">
        <w:t xml:space="preserve">was that the exclusive use of MRI is not </w:t>
      </w:r>
      <w:r w:rsidR="007310C1" w:rsidRPr="00DA79F1">
        <w:t>unanimously</w:t>
      </w:r>
      <w:r w:rsidR="00A0160F" w:rsidRPr="00DA79F1">
        <w:t xml:space="preserve"> recommend</w:t>
      </w:r>
      <w:r w:rsidR="007310C1" w:rsidRPr="00DA79F1">
        <w:t>ed</w:t>
      </w:r>
      <w:r w:rsidR="00A0160F" w:rsidRPr="00DA79F1">
        <w:t xml:space="preserve">. In patients with VHL and </w:t>
      </w:r>
      <w:r w:rsidR="00A0160F" w:rsidRPr="00FB0DA5">
        <w:rPr>
          <w:i/>
        </w:rPr>
        <w:t>BAP1</w:t>
      </w:r>
      <w:r w:rsidR="00A0160F" w:rsidRPr="00DA79F1">
        <w:t>,</w:t>
      </w:r>
      <w:r w:rsidRPr="00DA79F1">
        <w:t xml:space="preserve"> </w:t>
      </w:r>
      <w:r w:rsidR="00A0160F" w:rsidRPr="00DA79F1">
        <w:t>t</w:t>
      </w:r>
      <w:r w:rsidRPr="00DA79F1">
        <w:t xml:space="preserve">he </w:t>
      </w:r>
      <w:proofErr w:type="spellStart"/>
      <w:r w:rsidR="0040668D">
        <w:t>evi</w:t>
      </w:r>
      <w:r w:rsidRPr="00DA79F1">
        <w:t>Q</w:t>
      </w:r>
      <w:proofErr w:type="spellEnd"/>
      <w:r w:rsidRPr="00DA79F1">
        <w:t xml:space="preserve"> guidelines specify that abdominal MRI should be done </w:t>
      </w:r>
      <w:r w:rsidR="00414B9E">
        <w:t xml:space="preserve">two </w:t>
      </w:r>
      <w:r w:rsidRPr="00DA79F1">
        <w:t>yearly with ultrasound done in the intervening year.</w:t>
      </w:r>
      <w:r w:rsidR="007310C1" w:rsidRPr="00DA79F1">
        <w:t xml:space="preserve"> In DHB, t</w:t>
      </w:r>
      <w:r w:rsidR="00704E8C" w:rsidRPr="00DA79F1">
        <w:t xml:space="preserve">he </w:t>
      </w:r>
      <w:proofErr w:type="spellStart"/>
      <w:r w:rsidR="002E6C8D">
        <w:t>ev</w:t>
      </w:r>
      <w:r w:rsidR="00704E8C" w:rsidRPr="00DA79F1">
        <w:t>iQ</w:t>
      </w:r>
      <w:proofErr w:type="spellEnd"/>
      <w:r w:rsidR="00704E8C" w:rsidRPr="00DA79F1">
        <w:t xml:space="preserve"> guidelines recommend either </w:t>
      </w:r>
      <w:r w:rsidR="00B6000D">
        <w:t xml:space="preserve">three </w:t>
      </w:r>
      <w:r w:rsidR="00704E8C" w:rsidRPr="00DA79F1">
        <w:t xml:space="preserve">yearly MRI or </w:t>
      </w:r>
      <w:r w:rsidR="00B6000D">
        <w:t>two</w:t>
      </w:r>
      <w:r w:rsidR="00704E8C" w:rsidRPr="00DA79F1">
        <w:t xml:space="preserve"> </w:t>
      </w:r>
      <w:r w:rsidR="002D4E6A">
        <w:t>y</w:t>
      </w:r>
      <w:r w:rsidR="00704E8C" w:rsidRPr="00DA79F1">
        <w:t>early ultrasound if there are no abnormalities</w:t>
      </w:r>
      <w:r w:rsidR="007310C1" w:rsidRPr="00DA79F1">
        <w:t xml:space="preserve">. In </w:t>
      </w:r>
      <w:r w:rsidR="00704E8C" w:rsidRPr="00B819D7">
        <w:rPr>
          <w:i/>
          <w:iCs w:val="0"/>
        </w:rPr>
        <w:t>PTEN</w:t>
      </w:r>
      <w:r w:rsidR="007310C1" w:rsidRPr="00DA79F1">
        <w:t>, u</w:t>
      </w:r>
      <w:r w:rsidR="00704E8C" w:rsidRPr="00DA79F1">
        <w:t xml:space="preserve">ltrasound </w:t>
      </w:r>
      <w:r w:rsidR="00B6000D">
        <w:t>two</w:t>
      </w:r>
      <w:r w:rsidR="00704E8C" w:rsidRPr="00DA79F1">
        <w:t xml:space="preserve"> yearly is recommended.</w:t>
      </w:r>
    </w:p>
    <w:p w14:paraId="34429114" w14:textId="78C07E7E" w:rsidR="00D27C51" w:rsidRPr="00DA79F1" w:rsidRDefault="007310C1" w:rsidP="005D2196">
      <w:r w:rsidRPr="00DA79F1">
        <w:t>The</w:t>
      </w:r>
      <w:r w:rsidR="00D27C51" w:rsidRPr="00DA79F1">
        <w:t xml:space="preserve"> </w:t>
      </w:r>
      <w:r w:rsidR="0098030E" w:rsidRPr="00DA79F1">
        <w:t>VHL Alliance does not specify ultrasound in its active surveillance guidelines (VHL Alliance 2020)</w:t>
      </w:r>
      <w:r w:rsidR="006C24D7" w:rsidRPr="00DA79F1">
        <w:t>, a</w:t>
      </w:r>
      <w:r w:rsidR="00941AB8" w:rsidRPr="00DA79F1">
        <w:t>nd is more consistent with the applicant’s proposal.</w:t>
      </w:r>
    </w:p>
    <w:p w14:paraId="487F688D" w14:textId="59133E97" w:rsidR="007A6B1A" w:rsidRPr="00DA79F1" w:rsidRDefault="007A6B1A" w:rsidP="005D2196">
      <w:r w:rsidRPr="00DA79F1">
        <w:t>Gaur (2017) considers that low dose CT continues to play an important role in surveillance as the disease may not be well characterised by MRI in all cases. A policy of alternating CT and MRI on serial surveillance imaging markedly reduces ioni</w:t>
      </w:r>
      <w:r w:rsidR="00007DFA">
        <w:t>s</w:t>
      </w:r>
      <w:r w:rsidRPr="00DA79F1">
        <w:t>ing radiation while benefiting from the complementary nature of CT and MRI.</w:t>
      </w:r>
    </w:p>
    <w:p w14:paraId="1ADC3E0E" w14:textId="45BFFA19" w:rsidR="00A61676" w:rsidRDefault="00A61676" w:rsidP="005D2196">
      <w:r w:rsidRPr="00DA79F1">
        <w:t xml:space="preserve">Gaur (2017) </w:t>
      </w:r>
      <w:r w:rsidR="007A6B1A" w:rsidRPr="00DA79F1">
        <w:t xml:space="preserve">also </w:t>
      </w:r>
      <w:r w:rsidR="00DD320B" w:rsidRPr="00DA79F1">
        <w:t>considers</w:t>
      </w:r>
      <w:r w:rsidRPr="00DA79F1">
        <w:t xml:space="preserve"> that surveillance is not recommended for HLRCC</w:t>
      </w:r>
      <w:r w:rsidR="00DD320B" w:rsidRPr="00DA79F1">
        <w:t xml:space="preserve"> and </w:t>
      </w:r>
      <w:r w:rsidRPr="00DA79F1">
        <w:t xml:space="preserve">SDHB, as these </w:t>
      </w:r>
      <w:r w:rsidR="00CC5C4A" w:rsidRPr="00DA79F1">
        <w:t>tumours</w:t>
      </w:r>
      <w:r w:rsidRPr="00DA79F1">
        <w:t xml:space="preserve"> are uniformly aggressive. Close surveillance (every year or every other year) is recommended in VHL, BHD, and TSC, whereas less intense surveillance is warranted in HPRC.</w:t>
      </w:r>
    </w:p>
    <w:p w14:paraId="70EA7658" w14:textId="20DED6D3" w:rsidR="00C92960" w:rsidRPr="00DA79F1" w:rsidRDefault="00C92960" w:rsidP="005D2196">
      <w:r>
        <w:rPr>
          <w:rFonts w:asciiTheme="minorHAnsi" w:hAnsiTheme="minorHAnsi" w:cstheme="minorHAnsi"/>
          <w:i/>
        </w:rPr>
        <w:t xml:space="preserve">PASC agreed that current guidelines for surveillance (PICO Set 1) in this population were based on consensus; concluding that the existing guidelines are broadly in agreement </w:t>
      </w:r>
      <w:r w:rsidR="00AF7450">
        <w:rPr>
          <w:rFonts w:asciiTheme="minorHAnsi" w:hAnsiTheme="minorHAnsi" w:cstheme="minorHAnsi"/>
          <w:i/>
        </w:rPr>
        <w:t>with</w:t>
      </w:r>
      <w:r>
        <w:rPr>
          <w:rFonts w:asciiTheme="minorHAnsi" w:hAnsiTheme="minorHAnsi" w:cstheme="minorHAnsi"/>
          <w:i/>
        </w:rPr>
        <w:t xml:space="preserve"> the need for the intervention but were not consistent with respect to detail (</w:t>
      </w:r>
      <w:r w:rsidR="00BA55DC">
        <w:rPr>
          <w:rFonts w:asciiTheme="minorHAnsi" w:hAnsiTheme="minorHAnsi" w:cstheme="minorHAnsi"/>
          <w:i/>
        </w:rPr>
        <w:t>e.g.,</w:t>
      </w:r>
      <w:r>
        <w:rPr>
          <w:rFonts w:asciiTheme="minorHAnsi" w:hAnsiTheme="minorHAnsi" w:cstheme="minorHAnsi"/>
          <w:i/>
        </w:rPr>
        <w:t xml:space="preserve"> </w:t>
      </w:r>
      <w:r w:rsidR="00AF7450">
        <w:rPr>
          <w:rFonts w:asciiTheme="minorHAnsi" w:hAnsiTheme="minorHAnsi" w:cstheme="minorHAnsi"/>
          <w:i/>
        </w:rPr>
        <w:t xml:space="preserve">age at commencement, </w:t>
      </w:r>
      <w:r>
        <w:rPr>
          <w:rFonts w:asciiTheme="minorHAnsi" w:hAnsiTheme="minorHAnsi" w:cstheme="minorHAnsi"/>
          <w:i/>
        </w:rPr>
        <w:t xml:space="preserve">frequency and </w:t>
      </w:r>
      <w:r w:rsidR="00AF7450">
        <w:rPr>
          <w:rFonts w:asciiTheme="minorHAnsi" w:hAnsiTheme="minorHAnsi" w:cstheme="minorHAnsi"/>
          <w:i/>
        </w:rPr>
        <w:t>duration</w:t>
      </w:r>
      <w:r>
        <w:rPr>
          <w:rFonts w:asciiTheme="minorHAnsi" w:hAnsiTheme="minorHAnsi" w:cstheme="minorHAnsi"/>
          <w:i/>
        </w:rPr>
        <w:t xml:space="preserve"> of surveillance).</w:t>
      </w:r>
    </w:p>
    <w:p w14:paraId="458C9CB7" w14:textId="173867EC" w:rsidR="00C06E54" w:rsidRPr="00DA79F1" w:rsidRDefault="00C06E54" w:rsidP="005D2196">
      <w:r w:rsidRPr="00DA79F1">
        <w:t xml:space="preserve">The application </w:t>
      </w:r>
      <w:r w:rsidR="00CD270E" w:rsidRPr="00DA79F1">
        <w:t xml:space="preserve">notes </w:t>
      </w:r>
      <w:r w:rsidRPr="00DA79F1">
        <w:t xml:space="preserve">that </w:t>
      </w:r>
      <w:r w:rsidR="00CD270E" w:rsidRPr="00DA79F1">
        <w:t>c</w:t>
      </w:r>
      <w:r w:rsidRPr="00DA79F1">
        <w:t>urrent legislative requirements stipulate that Medicare-eligible MRI items must be reported on by a trained and credentialed specialist in diagnostic radiology. The specialist radiologist must be able to satisfy the Chief Executive Medicare that they are a participant in the RANZCR Quality and Accreditation Program (Health Insurance Regulation 2013 – 2.5.4 – Eligible Providers</w:t>
      </w:r>
      <w:r w:rsidR="00CD270E" w:rsidRPr="00DA79F1">
        <w:t xml:space="preserve">; </w:t>
      </w:r>
      <w:r w:rsidRPr="00DA79F1">
        <w:t>Australian Government 2013). The application consider</w:t>
      </w:r>
      <w:r w:rsidR="00CD270E" w:rsidRPr="00DA79F1">
        <w:t>s</w:t>
      </w:r>
      <w:r w:rsidRPr="00DA79F1">
        <w:t xml:space="preserve"> that these legislative requirements w</w:t>
      </w:r>
      <w:r w:rsidR="00CD270E" w:rsidRPr="00DA79F1">
        <w:t xml:space="preserve">ill </w:t>
      </w:r>
      <w:r w:rsidRPr="00DA79F1">
        <w:t>also apply to the proposed MRI item.</w:t>
      </w:r>
    </w:p>
    <w:p w14:paraId="4B4375DD" w14:textId="69F77CA8" w:rsidR="00C06E54" w:rsidRPr="00DA79F1" w:rsidRDefault="00C06E54" w:rsidP="005D2196">
      <w:r w:rsidRPr="00DA79F1">
        <w:t xml:space="preserve">The application </w:t>
      </w:r>
      <w:r w:rsidR="00CD270E" w:rsidRPr="00DA79F1">
        <w:t>considers</w:t>
      </w:r>
      <w:r w:rsidRPr="00DA79F1">
        <w:t xml:space="preserve"> that for some paediatric patients and patients with neurological issues it is most appropriate that MRI be done under sedation. In these cases, where additional MRI scanning is required, for example brain MRI, these services would be delivered at the same time.</w:t>
      </w:r>
    </w:p>
    <w:p w14:paraId="795473DF" w14:textId="77777777" w:rsidR="00A84FB1" w:rsidRPr="00DA79F1" w:rsidRDefault="00A84FB1" w:rsidP="005D2196">
      <w:r w:rsidRPr="00DA79F1">
        <w:t>The application</w:t>
      </w:r>
      <w:r>
        <w:t xml:space="preserve"> initially</w:t>
      </w:r>
      <w:r w:rsidRPr="00DA79F1">
        <w:t xml:space="preserve"> propose</w:t>
      </w:r>
      <w:r>
        <w:t>d</w:t>
      </w:r>
      <w:r w:rsidRPr="00DA79F1">
        <w:t xml:space="preserve"> that referrals for abdominal MRI in this population will be done by nephrologists, metabolic specialists, general physicians</w:t>
      </w:r>
      <w:r>
        <w:t xml:space="preserve"> (i.e. general practitioner, or GP)</w:t>
      </w:r>
      <w:r w:rsidRPr="00DA79F1">
        <w:t>, or clinical geneticists.</w:t>
      </w:r>
      <w:r>
        <w:t xml:space="preserve"> As part of the initial discussions with the applicant at an earlier stage of the application, they </w:t>
      </w:r>
      <w:r w:rsidRPr="007C1B64">
        <w:t>advised that in metropolitan centres nearly all patients are referred from a specialist or consultant physician in a tertiary setting, however in regional centres the patient may be referred by a GP. After</w:t>
      </w:r>
      <w:r>
        <w:t xml:space="preserve"> further</w:t>
      </w:r>
      <w:r w:rsidRPr="007C1B64">
        <w:t xml:space="preserve"> discussion with the applicant, the</w:t>
      </w:r>
      <w:r>
        <w:t xml:space="preserve">y advised that consistent with most other MBS-listed MRI items, </w:t>
      </w:r>
      <w:r>
        <w:lastRenderedPageBreak/>
        <w:t>the</w:t>
      </w:r>
      <w:r w:rsidRPr="007C1B64">
        <w:t xml:space="preserve"> item description</w:t>
      </w:r>
      <w:r>
        <w:t>s</w:t>
      </w:r>
      <w:r w:rsidRPr="007C1B64">
        <w:t xml:space="preserve"> </w:t>
      </w:r>
      <w:r>
        <w:t xml:space="preserve">for this application should </w:t>
      </w:r>
      <w:r w:rsidRPr="007C1B64">
        <w:t>specify that the service must be requested by a specialist or consultant physician, as patients under the primary care of a GP will have at least annual contact with a specialist</w:t>
      </w:r>
      <w:r>
        <w:t>. It was their view that fo</w:t>
      </w:r>
      <w:r w:rsidRPr="007C1B64">
        <w:t>r good clinical management and consistency with most other MBS</w:t>
      </w:r>
      <w:r>
        <w:t>-listed</w:t>
      </w:r>
      <w:r w:rsidRPr="007C1B64">
        <w:t xml:space="preserve"> MRI items, the request should be made by a specialist/consultant physician.</w:t>
      </w:r>
    </w:p>
    <w:p w14:paraId="7E885533" w14:textId="40228B03" w:rsidR="00BE3B2A" w:rsidRDefault="007310C1" w:rsidP="005D2196">
      <w:r w:rsidRPr="00DA79F1">
        <w:t>T</w:t>
      </w:r>
      <w:r w:rsidR="00BE3B2A" w:rsidRPr="00DA79F1">
        <w:t xml:space="preserve">he Ratified PICO confirmation for Whole Body MRI in </w:t>
      </w:r>
      <w:r w:rsidR="00BE3B2A" w:rsidRPr="00B819D7">
        <w:rPr>
          <w:i/>
          <w:iCs w:val="0"/>
        </w:rPr>
        <w:t>TP53</w:t>
      </w:r>
      <w:r w:rsidR="00BE3B2A" w:rsidRPr="00DA79F1">
        <w:t xml:space="preserve"> patients (MSAC 1668) specifie</w:t>
      </w:r>
      <w:r w:rsidRPr="00DA79F1">
        <w:t>s</w:t>
      </w:r>
      <w:r w:rsidR="00BE3B2A" w:rsidRPr="00DA79F1">
        <w:t xml:space="preserve"> that service would be provided only in the context of a family cancer/genetics clinic, and be ordered by an appropriately trained clinician, expert in the management of hereditary cancers.</w:t>
      </w:r>
      <w:r w:rsidR="003B37F0" w:rsidRPr="00DA79F1">
        <w:t xml:space="preserve"> The current application’s specification may be broader than that ratified in the 1668 PICO.</w:t>
      </w:r>
    </w:p>
    <w:p w14:paraId="0FDF7D00" w14:textId="2E70D52C" w:rsidR="00B6000D" w:rsidRPr="005D2196" w:rsidRDefault="00B6000D" w:rsidP="005D2196">
      <w:pPr>
        <w:pStyle w:val="Heading4"/>
        <w:spacing w:after="120"/>
        <w:rPr>
          <w:u w:val="single"/>
        </w:rPr>
      </w:pPr>
      <w:r w:rsidRPr="005D2196">
        <w:rPr>
          <w:u w:val="single"/>
        </w:rPr>
        <w:t>PICO Set 2</w:t>
      </w:r>
    </w:p>
    <w:p w14:paraId="7FF04DBD" w14:textId="2D72C48F" w:rsidR="000C4F46" w:rsidRPr="00B819D7" w:rsidRDefault="00B6000D" w:rsidP="00B819D7">
      <w:pPr>
        <w:rPr>
          <w:b/>
          <w:bCs/>
        </w:rPr>
      </w:pPr>
      <w:r w:rsidRPr="00DA79F1">
        <w:t xml:space="preserve">Abdominal MRI is proposed </w:t>
      </w:r>
      <w:r w:rsidR="001E20FE">
        <w:t xml:space="preserve">under PICO Set 2 </w:t>
      </w:r>
      <w:r w:rsidR="00414B9E">
        <w:t>to</w:t>
      </w:r>
      <w:r w:rsidRPr="00DA79F1">
        <w:t>:</w:t>
      </w:r>
      <w:r w:rsidR="00B819D7">
        <w:br/>
      </w:r>
      <w:r w:rsidR="00414B9E" w:rsidRPr="00B819D7">
        <w:rPr>
          <w:b/>
          <w:bCs/>
        </w:rPr>
        <w:t>E</w:t>
      </w:r>
      <w:r w:rsidR="000C4F46" w:rsidRPr="00B819D7">
        <w:rPr>
          <w:b/>
          <w:bCs/>
        </w:rPr>
        <w:t>valuate changes in clinical condition or suspected complications of known renal tumours arising between an annual surveillance MRI, or where a disease specific line of treatment has been initiated and an assessment of patient responsiveness to this treatment is required.</w:t>
      </w:r>
    </w:p>
    <w:p w14:paraId="57C1F3B7" w14:textId="4F36DB3C" w:rsidR="00B6000D" w:rsidRDefault="00B6000D" w:rsidP="005D2196">
      <w:r w:rsidRPr="00DA79F1">
        <w:t xml:space="preserve">The application initially proposed that the MRI for assessing treatment response occur only once per lifetime. Further discussion with the applicant indicated that this </w:t>
      </w:r>
      <w:r w:rsidR="00EE3DDA">
        <w:t>is</w:t>
      </w:r>
      <w:r w:rsidRPr="00DA79F1">
        <w:t xml:space="preserve"> insufficient, and that in </w:t>
      </w:r>
      <w:r>
        <w:t xml:space="preserve">syndromes </w:t>
      </w:r>
      <w:r w:rsidRPr="00DA79F1">
        <w:t>with both benign and malignant predispositions, once per new line of therapy may be necessary.</w:t>
      </w:r>
      <w:r w:rsidR="00EE3DDA">
        <w:t xml:space="preserve"> Additionally, </w:t>
      </w:r>
      <w:r w:rsidR="000C4F46">
        <w:t>there will be a small group of patients who undergo a surveillance abdominal MRI and who</w:t>
      </w:r>
      <w:r w:rsidR="00EE3DDA">
        <w:t xml:space="preserve"> due to a combination of features about their tumour/s (e.g. size of tumour and speed of growth)</w:t>
      </w:r>
      <w:r w:rsidR="000C4F46">
        <w:t>, will require an evaluation of their clinical condition before their next annual surveillance MRI.</w:t>
      </w:r>
    </w:p>
    <w:p w14:paraId="7883D5D4" w14:textId="77777777" w:rsidR="00E87907" w:rsidRPr="00E87907" w:rsidRDefault="00E87907" w:rsidP="00E87907">
      <w:pPr>
        <w:autoSpaceDE w:val="0"/>
        <w:autoSpaceDN w:val="0"/>
        <w:adjustRightInd w:val="0"/>
        <w:spacing w:line="23" w:lineRule="atLeast"/>
        <w:rPr>
          <w:rFonts w:asciiTheme="minorHAnsi" w:hAnsiTheme="minorHAnsi" w:cstheme="minorHAnsi"/>
          <w:i/>
        </w:rPr>
      </w:pPr>
      <w:r w:rsidRPr="00E87907">
        <w:rPr>
          <w:rFonts w:asciiTheme="minorHAnsi" w:hAnsiTheme="minorHAnsi" w:cstheme="minorHAnsi"/>
          <w:i/>
        </w:rPr>
        <w:t xml:space="preserve">PASC noted that abdominal MRI could be undertaken using various sequences. </w:t>
      </w:r>
    </w:p>
    <w:p w14:paraId="74CD069E" w14:textId="74AF1EB9" w:rsidR="00E87907" w:rsidRPr="00DA79F1" w:rsidRDefault="00E87907" w:rsidP="00E87907">
      <w:r w:rsidRPr="00FB0110">
        <w:rPr>
          <w:rFonts w:asciiTheme="minorHAnsi" w:hAnsiTheme="minorHAnsi" w:cstheme="minorHAnsi"/>
          <w:i/>
        </w:rPr>
        <w:t xml:space="preserve">PASC considered advice should be sought from </w:t>
      </w:r>
      <w:r>
        <w:rPr>
          <w:rFonts w:asciiTheme="minorHAnsi" w:hAnsiTheme="minorHAnsi" w:cstheme="minorHAnsi"/>
          <w:i/>
        </w:rPr>
        <w:t>Royal Australian and New Zealand College of Radiologists (</w:t>
      </w:r>
      <w:r w:rsidRPr="00FB0110">
        <w:rPr>
          <w:rFonts w:asciiTheme="minorHAnsi" w:hAnsiTheme="minorHAnsi" w:cstheme="minorHAnsi"/>
          <w:i/>
        </w:rPr>
        <w:t>RANZCR</w:t>
      </w:r>
      <w:r>
        <w:rPr>
          <w:rFonts w:asciiTheme="minorHAnsi" w:hAnsiTheme="minorHAnsi" w:cstheme="minorHAnsi"/>
          <w:i/>
        </w:rPr>
        <w:t>)</w:t>
      </w:r>
      <w:r w:rsidRPr="00FB0110">
        <w:rPr>
          <w:rFonts w:asciiTheme="minorHAnsi" w:hAnsiTheme="minorHAnsi" w:cstheme="minorHAnsi"/>
          <w:i/>
        </w:rPr>
        <w:t xml:space="preserve"> regarding a minimum acceptable dataset for MRI of renal tumours.</w:t>
      </w:r>
    </w:p>
    <w:p w14:paraId="665B0675" w14:textId="015F53C8" w:rsidR="007A66C8" w:rsidRPr="00DA79F1" w:rsidRDefault="007A66C8" w:rsidP="005D2196">
      <w:pPr>
        <w:pStyle w:val="Heading3"/>
      </w:pPr>
      <w:r w:rsidRPr="00DA79F1">
        <w:t>Comparator</w:t>
      </w:r>
      <w:r w:rsidR="008F1532" w:rsidRPr="00DA79F1">
        <w:t>s</w:t>
      </w:r>
    </w:p>
    <w:p w14:paraId="5E38AE09" w14:textId="5407B0E1" w:rsidR="003B37F0" w:rsidRPr="00B819D7" w:rsidRDefault="003B37F0" w:rsidP="005D2196">
      <w:pPr>
        <w:pStyle w:val="Instructionaltext"/>
        <w:rPr>
          <w:color w:val="auto"/>
        </w:rPr>
      </w:pPr>
      <w:r w:rsidRPr="00B819D7">
        <w:rPr>
          <w:color w:val="auto"/>
        </w:rPr>
        <w:t xml:space="preserve">The </w:t>
      </w:r>
      <w:r w:rsidR="002D4E6A" w:rsidRPr="00B819D7">
        <w:rPr>
          <w:color w:val="auto"/>
        </w:rPr>
        <w:t>a</w:t>
      </w:r>
      <w:r w:rsidRPr="00B819D7">
        <w:rPr>
          <w:color w:val="auto"/>
        </w:rPr>
        <w:t>pplication consider</w:t>
      </w:r>
      <w:r w:rsidR="00A51163" w:rsidRPr="00B819D7">
        <w:rPr>
          <w:color w:val="auto"/>
        </w:rPr>
        <w:t>s</w:t>
      </w:r>
      <w:r w:rsidRPr="00B819D7">
        <w:rPr>
          <w:color w:val="auto"/>
        </w:rPr>
        <w:t xml:space="preserve"> that ultrasound, CT</w:t>
      </w:r>
      <w:r w:rsidR="006C24D7" w:rsidRPr="00B819D7">
        <w:rPr>
          <w:color w:val="auto"/>
        </w:rPr>
        <w:t xml:space="preserve"> </w:t>
      </w:r>
      <w:r w:rsidRPr="00B819D7">
        <w:rPr>
          <w:color w:val="auto"/>
        </w:rPr>
        <w:t xml:space="preserve">scans and no imaging </w:t>
      </w:r>
      <w:r w:rsidR="00A51163" w:rsidRPr="00B819D7">
        <w:rPr>
          <w:color w:val="auto"/>
        </w:rPr>
        <w:t>are</w:t>
      </w:r>
      <w:r w:rsidR="00586F54" w:rsidRPr="00B819D7">
        <w:rPr>
          <w:color w:val="auto"/>
        </w:rPr>
        <w:t xml:space="preserve"> the appropriate comparators</w:t>
      </w:r>
      <w:r w:rsidR="006C24D7" w:rsidRPr="00B819D7">
        <w:rPr>
          <w:color w:val="auto"/>
        </w:rPr>
        <w:t>.</w:t>
      </w:r>
      <w:r w:rsidR="00586F54" w:rsidRPr="00B819D7">
        <w:rPr>
          <w:color w:val="auto"/>
        </w:rPr>
        <w:t xml:space="preserve"> </w:t>
      </w:r>
      <w:r w:rsidRPr="00B819D7">
        <w:rPr>
          <w:color w:val="auto"/>
        </w:rPr>
        <w:t xml:space="preserve">In further discussions with the </w:t>
      </w:r>
      <w:r w:rsidR="00586F54" w:rsidRPr="00B819D7">
        <w:rPr>
          <w:color w:val="auto"/>
        </w:rPr>
        <w:t>a</w:t>
      </w:r>
      <w:r w:rsidRPr="00B819D7">
        <w:rPr>
          <w:color w:val="auto"/>
        </w:rPr>
        <w:t xml:space="preserve">pplicant, </w:t>
      </w:r>
      <w:r w:rsidR="00586F54" w:rsidRPr="00B819D7">
        <w:rPr>
          <w:color w:val="auto"/>
        </w:rPr>
        <w:t>this was revised to ultrasound and CT scans</w:t>
      </w:r>
      <w:r w:rsidR="00586F54" w:rsidRPr="001004D8">
        <w:rPr>
          <w:color w:val="auto"/>
        </w:rPr>
        <w:t>.</w:t>
      </w:r>
      <w:r w:rsidR="00E87907" w:rsidRPr="001004D8">
        <w:rPr>
          <w:color w:val="auto"/>
        </w:rPr>
        <w:t xml:space="preserve"> </w:t>
      </w:r>
      <w:r w:rsidR="00E87907" w:rsidRPr="001004D8">
        <w:rPr>
          <w:rFonts w:asciiTheme="minorHAnsi" w:hAnsiTheme="minorHAnsi" w:cstheme="minorHAnsi"/>
          <w:i/>
          <w:color w:val="auto"/>
        </w:rPr>
        <w:t>PASC accepted the nominated comparators</w:t>
      </w:r>
      <w:r w:rsidR="00E87907" w:rsidRPr="00FB0110">
        <w:rPr>
          <w:rFonts w:asciiTheme="minorHAnsi" w:hAnsiTheme="minorHAnsi" w:cstheme="minorHAnsi"/>
          <w:i/>
        </w:rPr>
        <w:t>.</w:t>
      </w:r>
    </w:p>
    <w:p w14:paraId="6C2FCF43" w14:textId="691511EF" w:rsidR="00586F54" w:rsidRPr="00B819D7" w:rsidRDefault="00586F54" w:rsidP="005D2196">
      <w:pPr>
        <w:pStyle w:val="Instructionaltext"/>
        <w:rPr>
          <w:color w:val="auto"/>
        </w:rPr>
      </w:pPr>
      <w:r w:rsidRPr="00B819D7">
        <w:rPr>
          <w:color w:val="auto"/>
        </w:rPr>
        <w:t>Abdominal ultrasound is associated with MBS item 55036, and multiphase abdominal CT scans are associated with the MBS items 5604</w:t>
      </w:r>
      <w:r w:rsidR="006C24D7" w:rsidRPr="00B819D7">
        <w:rPr>
          <w:color w:val="auto"/>
        </w:rPr>
        <w:t>7</w:t>
      </w:r>
      <w:r w:rsidRPr="00B819D7">
        <w:rPr>
          <w:color w:val="auto"/>
        </w:rPr>
        <w:t xml:space="preserve"> and 56507.</w:t>
      </w:r>
    </w:p>
    <w:p w14:paraId="7FA48C81" w14:textId="2BDDB267" w:rsidR="00586F54" w:rsidRDefault="00586F54" w:rsidP="005D2196">
      <w:pPr>
        <w:pStyle w:val="Instructionaltext"/>
        <w:rPr>
          <w:color w:val="auto"/>
        </w:rPr>
      </w:pPr>
      <w:r w:rsidRPr="00B819D7">
        <w:rPr>
          <w:color w:val="auto"/>
        </w:rPr>
        <w:t>In further discussions with the applicant, it was specified that ultrasound and CT scans would generally be replaced by MRI scans because abdominal MRI would be used instead of rather than in addition to these tests. However, it was noted that there may be</w:t>
      </w:r>
      <w:r w:rsidR="006C24D7" w:rsidRPr="00B819D7">
        <w:rPr>
          <w:color w:val="auto"/>
        </w:rPr>
        <w:t xml:space="preserve"> instances </w:t>
      </w:r>
      <w:r w:rsidRPr="00B819D7">
        <w:rPr>
          <w:color w:val="auto"/>
        </w:rPr>
        <w:t>where follow-up ultrasound might be useful after MRI</w:t>
      </w:r>
      <w:r w:rsidR="00966FF2" w:rsidRPr="00B819D7">
        <w:rPr>
          <w:color w:val="auto"/>
        </w:rPr>
        <w:t>.</w:t>
      </w:r>
    </w:p>
    <w:p w14:paraId="3CBA9925" w14:textId="0914E287" w:rsidR="0010129F" w:rsidRPr="00A95149" w:rsidRDefault="00E87907" w:rsidP="00A95149">
      <w:pPr>
        <w:pStyle w:val="Instructionaltext"/>
        <w:rPr>
          <w:color w:val="auto"/>
        </w:rPr>
      </w:pPr>
      <w:r w:rsidRPr="001004D8">
        <w:rPr>
          <w:rFonts w:asciiTheme="minorHAnsi" w:hAnsiTheme="minorHAnsi" w:cstheme="minorHAnsi"/>
          <w:i/>
          <w:color w:val="auto"/>
        </w:rPr>
        <w:t xml:space="preserve">PASC additionally discussed the advantages and disadvantages of US and CT, noting MRI (like US) does not utilise ionising radiation which is considered an important characteristic when used in a population predisposed to developing tumours and </w:t>
      </w:r>
      <w:r w:rsidR="00AF7450">
        <w:rPr>
          <w:rFonts w:asciiTheme="minorHAnsi" w:hAnsiTheme="minorHAnsi" w:cstheme="minorHAnsi"/>
          <w:i/>
          <w:color w:val="auto"/>
        </w:rPr>
        <w:t>needing</w:t>
      </w:r>
      <w:r w:rsidRPr="001004D8">
        <w:rPr>
          <w:rFonts w:asciiTheme="minorHAnsi" w:hAnsiTheme="minorHAnsi" w:cstheme="minorHAnsi"/>
          <w:i/>
          <w:color w:val="auto"/>
        </w:rPr>
        <w:t xml:space="preserve"> repeated assessments over time, but may require sedation or general anaesthetic for infants and young children </w:t>
      </w:r>
      <w:r w:rsidR="00AF7450">
        <w:rPr>
          <w:rFonts w:asciiTheme="minorHAnsi" w:hAnsiTheme="minorHAnsi" w:cstheme="minorHAnsi"/>
          <w:i/>
          <w:color w:val="auto"/>
        </w:rPr>
        <w:t>or</w:t>
      </w:r>
      <w:r w:rsidRPr="001004D8">
        <w:rPr>
          <w:rFonts w:asciiTheme="minorHAnsi" w:hAnsiTheme="minorHAnsi" w:cstheme="minorHAnsi"/>
          <w:i/>
          <w:color w:val="auto"/>
        </w:rPr>
        <w:t xml:space="preserve"> otherwise uncooperative patients</w:t>
      </w:r>
      <w:r w:rsidR="00A95149">
        <w:rPr>
          <w:rFonts w:asciiTheme="minorHAnsi" w:hAnsiTheme="minorHAnsi" w:cstheme="minorHAnsi"/>
          <w:i/>
          <w:color w:val="auto"/>
        </w:rPr>
        <w:t>.</w:t>
      </w:r>
    </w:p>
    <w:p w14:paraId="15863BAA" w14:textId="14E8A97B" w:rsidR="00677AE3" w:rsidRPr="00DA79F1" w:rsidRDefault="00677AE3" w:rsidP="005D2196">
      <w:pPr>
        <w:pStyle w:val="Heading3"/>
      </w:pPr>
      <w:r w:rsidRPr="00DA79F1">
        <w:lastRenderedPageBreak/>
        <w:t>Reference standard (for investigative technologies only)</w:t>
      </w:r>
    </w:p>
    <w:p w14:paraId="2FA99E1F" w14:textId="69B752D4" w:rsidR="00966FF2" w:rsidRDefault="00966FF2" w:rsidP="005D2196">
      <w:r w:rsidRPr="00DA79F1">
        <w:t xml:space="preserve">In further discussion with the applicant and the Department of Health, biopsy </w:t>
      </w:r>
      <w:r w:rsidR="002D4E6A">
        <w:t xml:space="preserve">and histopathology </w:t>
      </w:r>
      <w:r w:rsidRPr="00DA79F1">
        <w:t xml:space="preserve">or </w:t>
      </w:r>
      <w:r w:rsidR="00570208">
        <w:t>computed</w:t>
      </w:r>
      <w:r w:rsidRPr="00DA79F1">
        <w:t xml:space="preserve"> tomography or ultrasound were considered appropriate reference standards. </w:t>
      </w:r>
    </w:p>
    <w:p w14:paraId="57142AE7" w14:textId="77777777" w:rsidR="00E87907" w:rsidRPr="00E87907" w:rsidRDefault="00E87907" w:rsidP="00E87907">
      <w:pPr>
        <w:autoSpaceDE w:val="0"/>
        <w:autoSpaceDN w:val="0"/>
        <w:adjustRightInd w:val="0"/>
        <w:spacing w:line="23" w:lineRule="atLeast"/>
        <w:rPr>
          <w:rFonts w:asciiTheme="minorHAnsi" w:hAnsiTheme="minorHAnsi" w:cstheme="minorHAnsi"/>
          <w:i/>
        </w:rPr>
      </w:pPr>
      <w:r w:rsidRPr="00E87907">
        <w:rPr>
          <w:rFonts w:asciiTheme="minorHAnsi" w:hAnsiTheme="minorHAnsi" w:cstheme="minorHAnsi"/>
          <w:i/>
        </w:rPr>
        <w:t>PASC considered that biopsy and histopathology was the relevant reference standard for PICO Set 1.</w:t>
      </w:r>
    </w:p>
    <w:p w14:paraId="58A54350" w14:textId="38F1827B" w:rsidR="00E87907" w:rsidRPr="00DA79F1" w:rsidRDefault="00E87907" w:rsidP="00E87907">
      <w:r>
        <w:rPr>
          <w:rFonts w:asciiTheme="minorHAnsi" w:hAnsiTheme="minorHAnsi" w:cstheme="minorHAnsi"/>
          <w:i/>
        </w:rPr>
        <w:t xml:space="preserve">PASC considered that </w:t>
      </w:r>
      <w:r w:rsidRPr="00944B51">
        <w:rPr>
          <w:rFonts w:asciiTheme="minorHAnsi" w:hAnsiTheme="minorHAnsi" w:cstheme="minorHAnsi"/>
          <w:i/>
        </w:rPr>
        <w:t xml:space="preserve">biopsy and histopathology or </w:t>
      </w:r>
      <w:r w:rsidR="00570208">
        <w:rPr>
          <w:rFonts w:asciiTheme="minorHAnsi" w:hAnsiTheme="minorHAnsi" w:cstheme="minorHAnsi"/>
          <w:i/>
        </w:rPr>
        <w:t>computed</w:t>
      </w:r>
      <w:r w:rsidRPr="00944B51">
        <w:rPr>
          <w:rFonts w:asciiTheme="minorHAnsi" w:hAnsiTheme="minorHAnsi" w:cstheme="minorHAnsi"/>
          <w:i/>
        </w:rPr>
        <w:t xml:space="preserve"> tomography or ultrasound were appropriate reference standards</w:t>
      </w:r>
      <w:r>
        <w:rPr>
          <w:rFonts w:asciiTheme="minorHAnsi" w:hAnsiTheme="minorHAnsi" w:cstheme="minorHAnsi"/>
          <w:i/>
        </w:rPr>
        <w:t xml:space="preserve"> for PICO Set 2.</w:t>
      </w:r>
    </w:p>
    <w:p w14:paraId="29C1EA87" w14:textId="557F8E8D" w:rsidR="007A66C8" w:rsidRPr="00DA79F1" w:rsidRDefault="007A66C8" w:rsidP="005D2196">
      <w:pPr>
        <w:pStyle w:val="Heading3"/>
      </w:pPr>
      <w:r w:rsidRPr="00DA79F1">
        <w:t xml:space="preserve">Outcomes </w:t>
      </w:r>
    </w:p>
    <w:p w14:paraId="435AB4A5" w14:textId="51123487" w:rsidR="00C1640E" w:rsidRPr="00DA79F1" w:rsidRDefault="00E87907" w:rsidP="005D2196">
      <w:r>
        <w:rPr>
          <w:i/>
          <w:iCs w:val="0"/>
        </w:rPr>
        <w:t>PASC suggested amendments to some outcomes and clarified that some outcomes were relevant to only one PICO Set. These changes are noted in italicised text</w:t>
      </w:r>
      <w:r>
        <w:t xml:space="preserve">. </w:t>
      </w:r>
      <w:r w:rsidR="00C1640E" w:rsidRPr="00DA79F1">
        <w:t>The following outcomes</w:t>
      </w:r>
      <w:r w:rsidR="00B52757">
        <w:t xml:space="preserve"> are relevant</w:t>
      </w:r>
      <w:r>
        <w:t xml:space="preserve"> to both PICO Sets, unless otherwise specified:</w:t>
      </w:r>
    </w:p>
    <w:p w14:paraId="2D7EF9CC" w14:textId="77777777" w:rsidR="00B52757" w:rsidRPr="00DA79F1" w:rsidRDefault="00B52757" w:rsidP="00B819D7">
      <w:pPr>
        <w:spacing w:after="0"/>
      </w:pPr>
      <w:r>
        <w:t>Safety</w:t>
      </w:r>
      <w:r w:rsidRPr="00DA79F1">
        <w:t xml:space="preserve"> outcomes:</w:t>
      </w:r>
    </w:p>
    <w:p w14:paraId="7B41C872" w14:textId="77777777" w:rsidR="00B52757" w:rsidRPr="00B819D7" w:rsidRDefault="00B52757" w:rsidP="00AA4DCC">
      <w:pPr>
        <w:pStyle w:val="ListParagraph"/>
        <w:numPr>
          <w:ilvl w:val="0"/>
          <w:numId w:val="15"/>
        </w:numPr>
        <w:spacing w:after="0"/>
        <w:ind w:left="426" w:hanging="426"/>
      </w:pPr>
      <w:r w:rsidRPr="00B819D7">
        <w:t>Adverse reaction to contrast agent. </w:t>
      </w:r>
    </w:p>
    <w:p w14:paraId="25B3A63E" w14:textId="77777777" w:rsidR="00B52757" w:rsidRPr="00E02CEB" w:rsidRDefault="00B52757" w:rsidP="00AA4DCC">
      <w:pPr>
        <w:pStyle w:val="paragraph"/>
        <w:numPr>
          <w:ilvl w:val="0"/>
          <w:numId w:val="15"/>
        </w:numPr>
        <w:ind w:left="426" w:hanging="426"/>
        <w:rPr>
          <w:rFonts w:ascii="Segoe UI" w:hAnsi="Segoe UI" w:cs="Segoe UI"/>
        </w:rPr>
      </w:pPr>
      <w:r w:rsidRPr="00E02CEB">
        <w:rPr>
          <w:rStyle w:val="normaltextrun"/>
          <w:rFonts w:ascii="Calibri" w:hAnsi="Calibri" w:cs="Calibri"/>
          <w:sz w:val="22"/>
        </w:rPr>
        <w:t>Cumulative effects of multiple contrast agent injections</w:t>
      </w:r>
      <w:r>
        <w:rPr>
          <w:rStyle w:val="normaltextrun"/>
          <w:rFonts w:ascii="Calibri" w:hAnsi="Calibri" w:cs="Calibri"/>
          <w:sz w:val="22"/>
        </w:rPr>
        <w:t>.</w:t>
      </w:r>
      <w:r w:rsidRPr="00E02CEB">
        <w:rPr>
          <w:rStyle w:val="eop"/>
          <w:rFonts w:eastAsia="MS Gothic" w:cs="Calibri"/>
          <w:sz w:val="22"/>
        </w:rPr>
        <w:t> </w:t>
      </w:r>
    </w:p>
    <w:p w14:paraId="77FD507E" w14:textId="77777777" w:rsidR="00B52757" w:rsidRPr="00E02CEB" w:rsidRDefault="00B52757" w:rsidP="00AA4DCC">
      <w:pPr>
        <w:pStyle w:val="paragraph"/>
        <w:numPr>
          <w:ilvl w:val="0"/>
          <w:numId w:val="15"/>
        </w:numPr>
        <w:ind w:left="426" w:hanging="426"/>
        <w:rPr>
          <w:rFonts w:ascii="Segoe UI" w:hAnsi="Segoe UI" w:cs="Segoe UI"/>
        </w:rPr>
      </w:pPr>
      <w:r w:rsidRPr="00E02CEB">
        <w:rPr>
          <w:rStyle w:val="normaltextrun"/>
          <w:rFonts w:ascii="Calibri" w:hAnsi="Calibri" w:cs="Calibri"/>
          <w:sz w:val="22"/>
        </w:rPr>
        <w:t>Claustrophobia requiring the administration of sedation or general anaesthetic</w:t>
      </w:r>
      <w:r>
        <w:rPr>
          <w:rStyle w:val="normaltextrun"/>
          <w:rFonts w:ascii="Calibri" w:hAnsi="Calibri" w:cs="Calibri"/>
          <w:sz w:val="22"/>
        </w:rPr>
        <w:t>.</w:t>
      </w:r>
      <w:r w:rsidRPr="00E02CEB">
        <w:rPr>
          <w:rStyle w:val="eop"/>
          <w:rFonts w:eastAsia="MS Gothic" w:cs="Calibri"/>
          <w:sz w:val="22"/>
        </w:rPr>
        <w:t> </w:t>
      </w:r>
    </w:p>
    <w:p w14:paraId="4C05E5E9" w14:textId="77777777" w:rsidR="00B52757" w:rsidRPr="00E02CEB" w:rsidRDefault="00B52757" w:rsidP="00AA4DCC">
      <w:pPr>
        <w:pStyle w:val="paragraph"/>
        <w:numPr>
          <w:ilvl w:val="0"/>
          <w:numId w:val="15"/>
        </w:numPr>
        <w:ind w:left="426" w:hanging="426"/>
        <w:rPr>
          <w:rFonts w:ascii="Segoe UI" w:hAnsi="Segoe UI" w:cs="Segoe UI"/>
        </w:rPr>
      </w:pPr>
      <w:r>
        <w:rPr>
          <w:rStyle w:val="normaltextrun"/>
          <w:rFonts w:ascii="Calibri" w:hAnsi="Calibri" w:cs="Calibri"/>
          <w:sz w:val="22"/>
        </w:rPr>
        <w:t>H</w:t>
      </w:r>
      <w:r w:rsidRPr="00E02CEB">
        <w:rPr>
          <w:rStyle w:val="normaltextrun"/>
          <w:rFonts w:ascii="Calibri" w:hAnsi="Calibri" w:cs="Calibri"/>
          <w:sz w:val="22"/>
        </w:rPr>
        <w:t>arms from follow-up testing</w:t>
      </w:r>
      <w:r>
        <w:rPr>
          <w:rStyle w:val="normaltextrun"/>
          <w:rFonts w:ascii="Calibri" w:hAnsi="Calibri" w:cs="Calibri"/>
          <w:sz w:val="22"/>
        </w:rPr>
        <w:t>.</w:t>
      </w:r>
      <w:r w:rsidRPr="00E02CEB">
        <w:rPr>
          <w:rStyle w:val="eop"/>
          <w:rFonts w:eastAsia="MS Gothic" w:cs="Calibri"/>
          <w:sz w:val="22"/>
        </w:rPr>
        <w:t> </w:t>
      </w:r>
    </w:p>
    <w:p w14:paraId="19520A77" w14:textId="77777777" w:rsidR="00B52757" w:rsidRPr="00E02CEB" w:rsidRDefault="00B52757" w:rsidP="00AA4DCC">
      <w:pPr>
        <w:pStyle w:val="paragraph"/>
        <w:numPr>
          <w:ilvl w:val="0"/>
          <w:numId w:val="15"/>
        </w:numPr>
        <w:ind w:left="426" w:hanging="426"/>
        <w:rPr>
          <w:rStyle w:val="eop"/>
          <w:rFonts w:ascii="Segoe UI" w:hAnsi="Segoe UI" w:cs="Segoe UI"/>
          <w:sz w:val="22"/>
        </w:rPr>
      </w:pPr>
      <w:r w:rsidRPr="00E02CEB">
        <w:rPr>
          <w:rStyle w:val="normaltextrun"/>
          <w:rFonts w:ascii="Calibri" w:hAnsi="Calibri" w:cs="Calibri"/>
          <w:sz w:val="22"/>
        </w:rPr>
        <w:t>Other adverse events arising from</w:t>
      </w:r>
      <w:r>
        <w:rPr>
          <w:rStyle w:val="normaltextrun"/>
          <w:rFonts w:ascii="Calibri" w:hAnsi="Calibri" w:cs="Calibri"/>
          <w:sz w:val="22"/>
        </w:rPr>
        <w:t xml:space="preserve"> </w:t>
      </w:r>
      <w:r w:rsidRPr="00E02CEB">
        <w:rPr>
          <w:rStyle w:val="normaltextrun"/>
          <w:rFonts w:ascii="Calibri" w:hAnsi="Calibri" w:cs="Calibri"/>
          <w:sz w:val="22"/>
        </w:rPr>
        <w:t>MRI</w:t>
      </w:r>
      <w:r>
        <w:rPr>
          <w:rStyle w:val="normaltextrun"/>
          <w:rFonts w:ascii="Calibri" w:hAnsi="Calibri" w:cs="Calibri"/>
          <w:sz w:val="22"/>
        </w:rPr>
        <w:t>.</w:t>
      </w:r>
      <w:r w:rsidRPr="00E02CEB">
        <w:rPr>
          <w:rStyle w:val="eop"/>
          <w:rFonts w:eastAsia="MS Gothic" w:cs="Calibri"/>
          <w:sz w:val="22"/>
        </w:rPr>
        <w:t> </w:t>
      </w:r>
    </w:p>
    <w:p w14:paraId="7B684381" w14:textId="77777777" w:rsidR="00B52757" w:rsidRPr="00E02CEB" w:rsidRDefault="00B52757" w:rsidP="00AA4DCC">
      <w:pPr>
        <w:pStyle w:val="ListParagraph"/>
        <w:numPr>
          <w:ilvl w:val="0"/>
          <w:numId w:val="15"/>
        </w:numPr>
        <w:ind w:left="426" w:hanging="426"/>
      </w:pPr>
      <w:r w:rsidRPr="00E02CEB">
        <w:t>Exposure to ioni</w:t>
      </w:r>
      <w:r>
        <w:t>s</w:t>
      </w:r>
      <w:r w:rsidRPr="00E02CEB">
        <w:t>ing radiation.</w:t>
      </w:r>
    </w:p>
    <w:p w14:paraId="1D3B9FE0" w14:textId="77777777" w:rsidR="00B52757" w:rsidRPr="00E02CEB" w:rsidRDefault="00B52757" w:rsidP="00B819D7">
      <w:pPr>
        <w:spacing w:after="0"/>
      </w:pPr>
      <w:r>
        <w:t>Effectiveness outcomes:</w:t>
      </w:r>
    </w:p>
    <w:p w14:paraId="13710C20" w14:textId="77777777" w:rsidR="00B52757" w:rsidRPr="00AD60AE" w:rsidRDefault="00B52757" w:rsidP="00AA4DCC">
      <w:pPr>
        <w:pStyle w:val="ListParagraph"/>
        <w:numPr>
          <w:ilvl w:val="0"/>
          <w:numId w:val="15"/>
        </w:numPr>
        <w:ind w:left="360"/>
      </w:pPr>
      <w:r>
        <w:t>M</w:t>
      </w:r>
      <w:r w:rsidRPr="00AD60AE">
        <w:t>ortality.</w:t>
      </w:r>
    </w:p>
    <w:p w14:paraId="72EAE07E" w14:textId="77777777" w:rsidR="00B52757" w:rsidRDefault="00B52757" w:rsidP="00AA4DCC">
      <w:pPr>
        <w:pStyle w:val="ListParagraph"/>
        <w:numPr>
          <w:ilvl w:val="0"/>
          <w:numId w:val="15"/>
        </w:numPr>
        <w:ind w:left="360"/>
      </w:pPr>
      <w:r>
        <w:t>T</w:t>
      </w:r>
      <w:r w:rsidRPr="00AD60AE">
        <w:t>ime to diagnosis of tumours.</w:t>
      </w:r>
    </w:p>
    <w:p w14:paraId="37B33CCE" w14:textId="55C84224" w:rsidR="00B52757" w:rsidRPr="00CC7D3E" w:rsidRDefault="00B52757" w:rsidP="00AA4DCC">
      <w:pPr>
        <w:pStyle w:val="ListParagraph"/>
        <w:numPr>
          <w:ilvl w:val="0"/>
          <w:numId w:val="15"/>
        </w:numPr>
        <w:ind w:left="360"/>
      </w:pPr>
      <w:r w:rsidRPr="00CC7D3E">
        <w:t xml:space="preserve">Monitoring growth </w:t>
      </w:r>
      <w:r w:rsidR="00E87907" w:rsidRPr="00CC7D3E">
        <w:rPr>
          <w:rFonts w:asciiTheme="minorHAnsi" w:hAnsiTheme="minorHAnsi" w:cstheme="minorHAnsi"/>
        </w:rPr>
        <w:t xml:space="preserve">and number </w:t>
      </w:r>
      <w:r w:rsidRPr="00CC7D3E">
        <w:t>of tumours</w:t>
      </w:r>
      <w:r w:rsidR="00E87907" w:rsidRPr="00CC7D3E">
        <w:t xml:space="preserve">; </w:t>
      </w:r>
      <w:r w:rsidR="00E87907" w:rsidRPr="00CC7D3E">
        <w:rPr>
          <w:rFonts w:asciiTheme="minorHAnsi" w:hAnsiTheme="minorHAnsi" w:cstheme="minorHAnsi"/>
        </w:rPr>
        <w:t>relevant to PICO Set 1</w:t>
      </w:r>
      <w:r w:rsidRPr="00CC7D3E">
        <w:t>.</w:t>
      </w:r>
    </w:p>
    <w:p w14:paraId="7E9E425B" w14:textId="5D10AA63" w:rsidR="00E87907" w:rsidRPr="00CC7D3E" w:rsidRDefault="00E87907" w:rsidP="00AA4DCC">
      <w:pPr>
        <w:pStyle w:val="ListParagraph"/>
        <w:numPr>
          <w:ilvl w:val="0"/>
          <w:numId w:val="15"/>
        </w:numPr>
        <w:ind w:left="360"/>
      </w:pPr>
      <w:r w:rsidRPr="00CC7D3E">
        <w:t xml:space="preserve">Monitoring growth, </w:t>
      </w:r>
      <w:r w:rsidRPr="00CC7D3E">
        <w:rPr>
          <w:rFonts w:asciiTheme="minorHAnsi" w:hAnsiTheme="minorHAnsi" w:cstheme="minorHAnsi"/>
        </w:rPr>
        <w:t xml:space="preserve">complications or recurrence of tumours; relevant to PICO Set </w:t>
      </w:r>
      <w:r w:rsidR="00840416" w:rsidRPr="00CC7D3E">
        <w:rPr>
          <w:rFonts w:asciiTheme="minorHAnsi" w:hAnsiTheme="minorHAnsi" w:cstheme="minorHAnsi"/>
        </w:rPr>
        <w:t>2</w:t>
      </w:r>
      <w:r w:rsidRPr="00CC7D3E">
        <w:rPr>
          <w:rFonts w:asciiTheme="minorHAnsi" w:hAnsiTheme="minorHAnsi"/>
        </w:rPr>
        <w:t>.</w:t>
      </w:r>
    </w:p>
    <w:p w14:paraId="72308E90" w14:textId="77777777" w:rsidR="00B52757" w:rsidRPr="00CC7D3E" w:rsidRDefault="00B52757" w:rsidP="00AA4DCC">
      <w:pPr>
        <w:pStyle w:val="ListParagraph"/>
        <w:numPr>
          <w:ilvl w:val="0"/>
          <w:numId w:val="15"/>
        </w:numPr>
        <w:ind w:left="360"/>
      </w:pPr>
      <w:r w:rsidRPr="00CC7D3E">
        <w:t>Time from diagnosis to treatment.</w:t>
      </w:r>
    </w:p>
    <w:p w14:paraId="4BDA2173" w14:textId="5436AEB7" w:rsidR="00B52757" w:rsidRPr="00CC7D3E" w:rsidRDefault="00B52757" w:rsidP="00AA4DCC">
      <w:pPr>
        <w:pStyle w:val="ListParagraph"/>
        <w:numPr>
          <w:ilvl w:val="0"/>
          <w:numId w:val="15"/>
        </w:numPr>
        <w:ind w:left="360"/>
      </w:pPr>
      <w:r w:rsidRPr="00CC7D3E">
        <w:t>Assessing tumour response to treatment</w:t>
      </w:r>
      <w:r w:rsidR="00E87907" w:rsidRPr="00CC7D3E">
        <w:t xml:space="preserve">; </w:t>
      </w:r>
      <w:r w:rsidR="00E87907" w:rsidRPr="00CC7D3E">
        <w:rPr>
          <w:rFonts w:asciiTheme="minorHAnsi" w:hAnsiTheme="minorHAnsi" w:cstheme="minorHAnsi"/>
        </w:rPr>
        <w:t>relevant to PICO Set 2</w:t>
      </w:r>
      <w:r w:rsidRPr="00CC7D3E">
        <w:t xml:space="preserve">. </w:t>
      </w:r>
    </w:p>
    <w:p w14:paraId="0A420B6D" w14:textId="77777777" w:rsidR="00B52757" w:rsidRDefault="00B52757" w:rsidP="00AA4DCC">
      <w:pPr>
        <w:pStyle w:val="ListParagraph"/>
        <w:numPr>
          <w:ilvl w:val="0"/>
          <w:numId w:val="15"/>
        </w:numPr>
        <w:ind w:left="360"/>
      </w:pPr>
      <w:r>
        <w:t>Changes to</w:t>
      </w:r>
      <w:r w:rsidRPr="00AD60AE">
        <w:t xml:space="preserve"> management of treatment</w:t>
      </w:r>
      <w:r>
        <w:t>, for example</w:t>
      </w:r>
      <w:r w:rsidRPr="00AD60AE">
        <w:t xml:space="preserve">: </w:t>
      </w:r>
    </w:p>
    <w:p w14:paraId="22BD157D" w14:textId="77777777" w:rsidR="00B52757" w:rsidRDefault="00B52757" w:rsidP="00CC7D3E">
      <w:pPr>
        <w:pStyle w:val="ListParagraph"/>
        <w:numPr>
          <w:ilvl w:val="1"/>
          <w:numId w:val="28"/>
        </w:numPr>
        <w:ind w:left="709" w:hanging="283"/>
      </w:pPr>
      <w:r>
        <w:t>use</w:t>
      </w:r>
      <w:r w:rsidRPr="00AD60AE">
        <w:t xml:space="preserve"> of mammalian target of rapamycin inhibitor (</w:t>
      </w:r>
      <w:proofErr w:type="spellStart"/>
      <w:r w:rsidRPr="00AD60AE">
        <w:t>mTORi</w:t>
      </w:r>
      <w:proofErr w:type="spellEnd"/>
      <w:r w:rsidRPr="00AD60AE">
        <w:t>) therapy (TSC)</w:t>
      </w:r>
      <w:r>
        <w:t xml:space="preserve">; </w:t>
      </w:r>
    </w:p>
    <w:p w14:paraId="4AEE1B6D" w14:textId="77777777" w:rsidR="00B52757" w:rsidRDefault="00B52757" w:rsidP="00CC7D3E">
      <w:pPr>
        <w:pStyle w:val="ListParagraph"/>
        <w:numPr>
          <w:ilvl w:val="1"/>
          <w:numId w:val="28"/>
        </w:numPr>
        <w:ind w:left="709" w:hanging="283"/>
      </w:pPr>
      <w:r>
        <w:t xml:space="preserve">impacts on </w:t>
      </w:r>
      <w:r w:rsidRPr="00E02CEB">
        <w:t>emergency presentations for spontaneous</w:t>
      </w:r>
      <w:r>
        <w:t xml:space="preserve"> </w:t>
      </w:r>
      <w:r w:rsidRPr="00482E22">
        <w:rPr>
          <w:noProof/>
        </w:rPr>
        <w:t>angiomyolipomas</w:t>
      </w:r>
      <w:r w:rsidRPr="00E02CEB">
        <w:t xml:space="preserve"> </w:t>
      </w:r>
      <w:r>
        <w:t>(</w:t>
      </w:r>
      <w:r w:rsidRPr="00E02CEB">
        <w:t>AML</w:t>
      </w:r>
      <w:r>
        <w:t>)</w:t>
      </w:r>
      <w:r w:rsidRPr="00E02CEB">
        <w:t xml:space="preserve"> bleeding (TSC)</w:t>
      </w:r>
      <w:r>
        <w:t xml:space="preserve">; </w:t>
      </w:r>
    </w:p>
    <w:p w14:paraId="2B9EF539" w14:textId="77777777" w:rsidR="00B52757" w:rsidRPr="00E02CEB" w:rsidRDefault="00B52757" w:rsidP="00CC7D3E">
      <w:pPr>
        <w:pStyle w:val="ListParagraph"/>
        <w:numPr>
          <w:ilvl w:val="1"/>
          <w:numId w:val="28"/>
        </w:numPr>
        <w:ind w:left="709" w:hanging="283"/>
      </w:pPr>
      <w:r w:rsidRPr="00AD60AE">
        <w:t>curative management</w:t>
      </w:r>
      <w:r>
        <w:t xml:space="preserve"> (surgical and/or </w:t>
      </w:r>
      <w:r w:rsidRPr="00AD60AE">
        <w:t>systemic cytotoxic therapy</w:t>
      </w:r>
      <w:r>
        <w:t>) for malignant tumours</w:t>
      </w:r>
      <w:r w:rsidRPr="00AD60AE">
        <w:t>.</w:t>
      </w:r>
    </w:p>
    <w:p w14:paraId="0C325045" w14:textId="77777777" w:rsidR="00B52757" w:rsidRPr="00AD60AE" w:rsidRDefault="00B52757" w:rsidP="00AA4DCC">
      <w:pPr>
        <w:pStyle w:val="ListParagraph"/>
        <w:numPr>
          <w:ilvl w:val="0"/>
          <w:numId w:val="15"/>
        </w:numPr>
        <w:ind w:left="360"/>
      </w:pPr>
      <w:r>
        <w:t>Q</w:t>
      </w:r>
      <w:r w:rsidRPr="00AD60AE">
        <w:t>uality of life.</w:t>
      </w:r>
    </w:p>
    <w:p w14:paraId="47B52AD9" w14:textId="77777777" w:rsidR="00B52757" w:rsidRDefault="00B52757" w:rsidP="00B819D7">
      <w:pPr>
        <w:spacing w:after="0"/>
      </w:pPr>
      <w:r>
        <w:t>Test accuracy outcomes:</w:t>
      </w:r>
    </w:p>
    <w:p w14:paraId="0C399DC1" w14:textId="77777777" w:rsidR="00B52757" w:rsidRPr="00E02CEB" w:rsidRDefault="00B52757" w:rsidP="00AA4DCC">
      <w:pPr>
        <w:pStyle w:val="ListParagraph"/>
        <w:numPr>
          <w:ilvl w:val="0"/>
          <w:numId w:val="15"/>
        </w:numPr>
        <w:ind w:left="426" w:hanging="426"/>
      </w:pPr>
      <w:r>
        <w:t>S</w:t>
      </w:r>
      <w:r w:rsidRPr="00AD60AE">
        <w:t>ensitivity and specificity compared to existing modalities.</w:t>
      </w:r>
    </w:p>
    <w:p w14:paraId="6C045A65" w14:textId="77777777" w:rsidR="00B52757" w:rsidRDefault="00B52757" w:rsidP="00B819D7">
      <w:pPr>
        <w:spacing w:after="0"/>
      </w:pPr>
      <w:r>
        <w:t>Economic outcomes:</w:t>
      </w:r>
    </w:p>
    <w:p w14:paraId="7E0CD052" w14:textId="77777777" w:rsidR="00B52757" w:rsidRPr="00447205" w:rsidRDefault="00B52757" w:rsidP="00AA4DCC">
      <w:pPr>
        <w:pStyle w:val="ListParagraph"/>
        <w:numPr>
          <w:ilvl w:val="0"/>
          <w:numId w:val="15"/>
        </w:numPr>
        <w:tabs>
          <w:tab w:val="left" w:pos="426"/>
        </w:tabs>
        <w:ind w:left="426" w:hanging="426"/>
      </w:pPr>
      <w:r w:rsidRPr="00447205">
        <w:t>Healthcare resources.</w:t>
      </w:r>
    </w:p>
    <w:p w14:paraId="4CA0CEE7" w14:textId="77777777" w:rsidR="00B52757" w:rsidRPr="00447205" w:rsidRDefault="00B52757" w:rsidP="00AA4DCC">
      <w:pPr>
        <w:pStyle w:val="ListParagraph"/>
        <w:numPr>
          <w:ilvl w:val="0"/>
          <w:numId w:val="15"/>
        </w:numPr>
        <w:tabs>
          <w:tab w:val="left" w:pos="426"/>
        </w:tabs>
        <w:ind w:left="426" w:hanging="426"/>
      </w:pPr>
      <w:r w:rsidRPr="00447205">
        <w:t>Cost-</w:t>
      </w:r>
      <w:r w:rsidRPr="00125730">
        <w:t>effectiveness</w:t>
      </w:r>
      <w:r w:rsidRPr="00447205">
        <w:t>.</w:t>
      </w:r>
    </w:p>
    <w:p w14:paraId="02894445" w14:textId="77777777" w:rsidR="00B52757" w:rsidRDefault="00B52757" w:rsidP="00AA4DCC">
      <w:pPr>
        <w:pStyle w:val="ListParagraph"/>
        <w:numPr>
          <w:ilvl w:val="0"/>
          <w:numId w:val="15"/>
        </w:numPr>
        <w:tabs>
          <w:tab w:val="left" w:pos="426"/>
        </w:tabs>
        <w:ind w:left="426" w:hanging="426"/>
      </w:pPr>
      <w:r w:rsidRPr="00447205">
        <w:t xml:space="preserve">Total </w:t>
      </w:r>
      <w:r w:rsidRPr="00125730">
        <w:rPr>
          <w:color w:val="000000" w:themeColor="text1"/>
        </w:rPr>
        <w:t>Australian</w:t>
      </w:r>
      <w:r w:rsidRPr="00447205">
        <w:t xml:space="preserve"> </w:t>
      </w:r>
      <w:r w:rsidRPr="003636A2">
        <w:rPr>
          <w:color w:val="000000" w:themeColor="text1"/>
        </w:rPr>
        <w:t>Government</w:t>
      </w:r>
      <w:r w:rsidRPr="00447205">
        <w:t xml:space="preserve"> healthcare costs.</w:t>
      </w:r>
    </w:p>
    <w:p w14:paraId="30DEE0FE" w14:textId="576E6408" w:rsidR="00CA0EA5" w:rsidRPr="00DA79F1" w:rsidRDefault="00CA0EA5" w:rsidP="005D2196">
      <w:r w:rsidRPr="00DA79F1">
        <w:t xml:space="preserve">The application </w:t>
      </w:r>
      <w:r w:rsidR="007310C1" w:rsidRPr="00DA79F1">
        <w:t>makes</w:t>
      </w:r>
      <w:r w:rsidRPr="00DA79F1">
        <w:t xml:space="preserve"> no claims regarding the value of knowing.</w:t>
      </w:r>
      <w:r w:rsidR="00E87907">
        <w:t xml:space="preserve"> </w:t>
      </w:r>
      <w:r w:rsidR="00E87907">
        <w:rPr>
          <w:rFonts w:asciiTheme="minorHAnsi" w:hAnsiTheme="minorHAnsi" w:cstheme="minorHAnsi"/>
          <w:i/>
          <w:iCs w:val="0"/>
        </w:rPr>
        <w:t>PASC questioned whether ‘value of knowing’ would be a relevant outcome.</w:t>
      </w:r>
    </w:p>
    <w:p w14:paraId="46D78481" w14:textId="3384B05B" w:rsidR="00C56B42" w:rsidRDefault="009B31CC" w:rsidP="00B819D7">
      <w:pPr>
        <w:pStyle w:val="Heading2"/>
      </w:pPr>
      <w:r w:rsidRPr="00DA79F1">
        <w:lastRenderedPageBreak/>
        <w:t>Assessment framework (for investigative technologies)</w:t>
      </w:r>
    </w:p>
    <w:p w14:paraId="57511AD6" w14:textId="1CD1088B" w:rsidR="00BD4A6F" w:rsidRPr="00DA79F1" w:rsidRDefault="00482269" w:rsidP="005D2196">
      <w:pPr>
        <w:pStyle w:val="Heading3"/>
      </w:pPr>
      <w:r w:rsidRPr="00DA79F1">
        <w:t>Exemplar approach</w:t>
      </w:r>
    </w:p>
    <w:p w14:paraId="271F3917" w14:textId="18DFC74E" w:rsidR="00C375B2" w:rsidRDefault="00C375B2" w:rsidP="005D2196">
      <w:r>
        <w:t>As noted under ‘</w:t>
      </w:r>
      <w:r w:rsidR="00F145B1">
        <w:t>P</w:t>
      </w:r>
      <w:r>
        <w:t>opulation’, patients with a number of different syndromes would be eligible for these services.</w:t>
      </w:r>
    </w:p>
    <w:p w14:paraId="797DF713" w14:textId="6C95EC2F" w:rsidR="00BD4A6F" w:rsidRDefault="00BD4A6F" w:rsidP="005D2196">
      <w:r w:rsidRPr="00DA79F1">
        <w:t>Given that TSC is substantially more frequent than the other syndromes for which listing is sought</w:t>
      </w:r>
      <w:r w:rsidR="00B8564E" w:rsidRPr="00DA79F1">
        <w:t xml:space="preserve"> and that up to 80% of patients with TSC will have AML (</w:t>
      </w:r>
      <w:r w:rsidR="00A61676" w:rsidRPr="00DA79F1">
        <w:t>Lee 2019, Kingswood 2016 cited in Restrepo 2022</w:t>
      </w:r>
      <w:r w:rsidR="00B8564E" w:rsidRPr="00DA79F1">
        <w:t>)</w:t>
      </w:r>
      <w:r w:rsidRPr="00DA79F1">
        <w:t xml:space="preserve">, and </w:t>
      </w:r>
      <w:r w:rsidR="00B8564E" w:rsidRPr="00DA79F1">
        <w:t xml:space="preserve">that </w:t>
      </w:r>
      <w:r w:rsidRPr="00DA79F1">
        <w:t xml:space="preserve">evidence for </w:t>
      </w:r>
      <w:r w:rsidR="00B8564E" w:rsidRPr="00DA79F1">
        <w:t>these rare</w:t>
      </w:r>
      <w:r w:rsidRPr="00DA79F1">
        <w:t xml:space="preserve"> syndromes is generally sparse, it may </w:t>
      </w:r>
      <w:r w:rsidR="00337A60" w:rsidRPr="00DA79F1">
        <w:t xml:space="preserve">be </w:t>
      </w:r>
      <w:r w:rsidRPr="00DA79F1">
        <w:t xml:space="preserve">advisable to select TSC as an exemplar for assessment of effectiveness and cost-effectiveness of MRI in detecting benign kidney </w:t>
      </w:r>
      <w:r w:rsidR="00C375B2">
        <w:t>tumours</w:t>
      </w:r>
      <w:r w:rsidRPr="00DA79F1">
        <w:t xml:space="preserve"> associated with hereditary kidney </w:t>
      </w:r>
      <w:r w:rsidR="00C375B2">
        <w:t>tumour</w:t>
      </w:r>
      <w:r w:rsidRPr="00DA79F1">
        <w:t xml:space="preserve"> syndromes.</w:t>
      </w:r>
    </w:p>
    <w:p w14:paraId="1D68BB40" w14:textId="6C44EAF5" w:rsidR="00B8564E" w:rsidRDefault="00B8564E" w:rsidP="005D2196">
      <w:r w:rsidRPr="00DA79F1">
        <w:t xml:space="preserve">However, given that the treatment pathway for benign AML lesions differs substantially from that of malignant kidney tumours, </w:t>
      </w:r>
      <w:r w:rsidR="00EC0A06" w:rsidRPr="00DA79F1">
        <w:t>it</w:t>
      </w:r>
      <w:r w:rsidR="00BD4A6F" w:rsidRPr="00DA79F1">
        <w:t xml:space="preserve"> may also be advisable to select VHL, the next most common syndrome for which listing is sought, to serve as an exemplar for assessment in detecting malignant kidney cancers associated with </w:t>
      </w:r>
      <w:r w:rsidR="00CC5C4A" w:rsidRPr="00DA79F1">
        <w:t>hereditary</w:t>
      </w:r>
      <w:r w:rsidR="00BD4A6F" w:rsidRPr="00DA79F1">
        <w:t xml:space="preserve"> kidney </w:t>
      </w:r>
      <w:r w:rsidR="00C375B2">
        <w:t>tumour</w:t>
      </w:r>
      <w:r w:rsidR="00BD4A6F" w:rsidRPr="00DA79F1">
        <w:t xml:space="preserve"> syndromes</w:t>
      </w:r>
      <w:r w:rsidRPr="00DA79F1">
        <w:t>.</w:t>
      </w:r>
    </w:p>
    <w:p w14:paraId="39665DFF" w14:textId="23A74F23" w:rsidR="00BD4A6F" w:rsidRPr="00DA79F1" w:rsidRDefault="00B8564E" w:rsidP="005D2196">
      <w:r w:rsidRPr="00DA79F1">
        <w:t xml:space="preserve">It is acknowledged that syndromes with a predisposition to malignant tumours may also require treatment for benign tumours and vice versa. However, given the variety of </w:t>
      </w:r>
      <w:r w:rsidR="00482269" w:rsidRPr="00DA79F1">
        <w:t>distinct syndromes with distinct prognoses and treatment and a sparseness of evidence for these syndromes, a pragmatic distinction may be reasonable.</w:t>
      </w:r>
    </w:p>
    <w:p w14:paraId="1C8C3BED" w14:textId="2198DDB2" w:rsidR="00583482" w:rsidRPr="00DA79F1" w:rsidRDefault="00482269" w:rsidP="005D2196">
      <w:pPr>
        <w:pStyle w:val="Heading3"/>
      </w:pPr>
      <w:r w:rsidRPr="00DA79F1">
        <w:t xml:space="preserve">Assessment </w:t>
      </w:r>
    </w:p>
    <w:p w14:paraId="1EAD36B5" w14:textId="5D29B23A" w:rsidR="00583482" w:rsidRDefault="00583482" w:rsidP="005D2196">
      <w:r w:rsidRPr="00841B3B">
        <w:t>No randomised trials were identified comparing MRI to CT or US in any of the requested populations. Consequently, a linked evidence approach may be required. However, a linked approach poses several challenges as well.</w:t>
      </w:r>
    </w:p>
    <w:p w14:paraId="70A64FC4" w14:textId="0A2D84A1" w:rsidR="00CA0EA5" w:rsidRDefault="00CA0EA5" w:rsidP="005D2196">
      <w:r w:rsidRPr="00841B3B">
        <w:t>An initial search found no studies comparing</w:t>
      </w:r>
      <w:r w:rsidR="00F62FC1">
        <w:t xml:space="preserve"> the</w:t>
      </w:r>
      <w:r w:rsidRPr="00841B3B">
        <w:t xml:space="preserve"> diagnostic </w:t>
      </w:r>
      <w:r w:rsidR="00BD4A6F" w:rsidRPr="00841B3B">
        <w:t xml:space="preserve">accuracy of abdominal MRI to other modalities in detecting </w:t>
      </w:r>
      <w:r w:rsidR="00337A60" w:rsidRPr="00841B3B">
        <w:t>k</w:t>
      </w:r>
      <w:r w:rsidR="00BD4A6F" w:rsidRPr="00841B3B">
        <w:t>idney tumours in TSC or VHL.</w:t>
      </w:r>
      <w:r w:rsidR="00C23CD5" w:rsidRPr="00841B3B">
        <w:t xml:space="preserve"> The International</w:t>
      </w:r>
      <w:r w:rsidR="007310C1" w:rsidRPr="00841B3B">
        <w:t xml:space="preserve"> TSC </w:t>
      </w:r>
      <w:r w:rsidR="00C23CD5" w:rsidRPr="00841B3B">
        <w:t xml:space="preserve">guidelines recommend MRI over CT based </w:t>
      </w:r>
      <w:r w:rsidR="00660DD6" w:rsidRPr="00841B3B">
        <w:t xml:space="preserve">imaging, </w:t>
      </w:r>
      <w:r w:rsidR="00C23CD5" w:rsidRPr="00841B3B">
        <w:t>not on empirical comparisons but on the consideration that 25% to 30% can be fat poor and may be missed when abdominal ultrasonography is performed (Northrup 2021)</w:t>
      </w:r>
      <w:r w:rsidR="00660DD6" w:rsidRPr="00841B3B">
        <w:t>.</w:t>
      </w:r>
    </w:p>
    <w:p w14:paraId="30A3AB53" w14:textId="5BEDBA6D" w:rsidR="00786CCF" w:rsidRDefault="00786CCF" w:rsidP="005D2196">
      <w:r w:rsidRPr="00841B3B">
        <w:t>Further complicating assessment, Gaur (2017) considers that low dose CT continues to play an important role in surveillance as the disease may not be well characterised by MRI in all cases. A policy of alternating CT and MRI on serial surveillance imaging markedly reduces ioni</w:t>
      </w:r>
      <w:r w:rsidR="00007DFA">
        <w:t>s</w:t>
      </w:r>
      <w:r w:rsidRPr="00841B3B">
        <w:t>ing radiation while benefiting from the complementary nature of CT and MRI.</w:t>
      </w:r>
    </w:p>
    <w:p w14:paraId="65A04F78" w14:textId="4780F0B2" w:rsidR="008A52EC" w:rsidRDefault="008A52EC" w:rsidP="005D2196">
      <w:r w:rsidRPr="00841B3B">
        <w:t xml:space="preserve">In terms of estimating effect on health and clinical management, </w:t>
      </w:r>
      <w:r w:rsidR="00786CCF" w:rsidRPr="00841B3B">
        <w:t xml:space="preserve">given that even within the more prevalent conditions of TSC and VHL, the applicant has stressed </w:t>
      </w:r>
      <w:r w:rsidR="00583482" w:rsidRPr="00841B3B">
        <w:t xml:space="preserve">that </w:t>
      </w:r>
      <w:r w:rsidR="00786CCF" w:rsidRPr="00841B3B">
        <w:t>assessment of treatment options specifically is made on the basis of several factors on a patient by patient basis, suggesting that accurately estimating effect on treatment management in practice will be challenging.</w:t>
      </w:r>
    </w:p>
    <w:p w14:paraId="686E5A59" w14:textId="054C4633" w:rsidR="00A43DF1" w:rsidRDefault="00786CCF" w:rsidP="005D2196">
      <w:r w:rsidRPr="00841B3B">
        <w:t xml:space="preserve">In terms of patient relevant outcomes, </w:t>
      </w:r>
      <w:r w:rsidR="00660DD6" w:rsidRPr="00841B3B">
        <w:t>r</w:t>
      </w:r>
      <w:r w:rsidR="00677454" w:rsidRPr="00841B3B">
        <w:t>enal tumours are only one, important, clinical manifestation of</w:t>
      </w:r>
      <w:r w:rsidR="008A52EC" w:rsidRPr="00841B3B">
        <w:t xml:space="preserve"> </w:t>
      </w:r>
      <w:r w:rsidR="00677454" w:rsidRPr="00841B3B">
        <w:t>syndromes</w:t>
      </w:r>
      <w:r w:rsidR="008A52EC" w:rsidRPr="00841B3B">
        <w:t xml:space="preserve"> that </w:t>
      </w:r>
      <w:r w:rsidR="00677454" w:rsidRPr="00841B3B">
        <w:t xml:space="preserve">present </w:t>
      </w:r>
      <w:r w:rsidR="008A52EC" w:rsidRPr="00841B3B">
        <w:t xml:space="preserve">across </w:t>
      </w:r>
      <w:r w:rsidR="00677454" w:rsidRPr="00841B3B">
        <w:t xml:space="preserve">several organ systems. Thus, kidney health and even kidney tumour-specific </w:t>
      </w:r>
      <w:r w:rsidR="00677454" w:rsidRPr="00841B3B">
        <w:lastRenderedPageBreak/>
        <w:t>survival may be difficult to translate into health related quality of life and overall survival estimates, in the absence of randomised clinical trials.</w:t>
      </w:r>
    </w:p>
    <w:p w14:paraId="400EB972" w14:textId="58E59883" w:rsidR="004007B0" w:rsidRDefault="004007B0" w:rsidP="005D2196">
      <w:r w:rsidRPr="00DA79F1">
        <w:t>For patients requiring MRI for the assessment of treatment response, there is a general sparseness of evidence across all of the kidney cancer syndromes. No comparative evidence was found in any of the cancer syndromes for MRI of the abdomen in assessment of response to treatment.</w:t>
      </w:r>
    </w:p>
    <w:p w14:paraId="7B18AD22" w14:textId="4124A903" w:rsidR="0093191E" w:rsidRPr="00840416" w:rsidRDefault="0093191E" w:rsidP="00840416">
      <w:pPr>
        <w:rPr>
          <w:i/>
          <w:iCs w:val="0"/>
        </w:rPr>
      </w:pPr>
      <w:r w:rsidRPr="00840416">
        <w:rPr>
          <w:i/>
          <w:iCs w:val="0"/>
        </w:rPr>
        <w:t>PASC noted that no comparative evidence between MRI and CT/US were identified in this patient population. PASC suggested that as diagnostic performance data (</w:t>
      </w:r>
      <w:r w:rsidR="00BA55DC" w:rsidRPr="00840416">
        <w:rPr>
          <w:i/>
          <w:iCs w:val="0"/>
        </w:rPr>
        <w:t>e.g.,</w:t>
      </w:r>
      <w:r w:rsidRPr="00840416">
        <w:rPr>
          <w:i/>
          <w:iCs w:val="0"/>
        </w:rPr>
        <w:t xml:space="preserve"> sensitivity and specificity) exist for MRI </w:t>
      </w:r>
      <w:r w:rsidR="00E70D05">
        <w:rPr>
          <w:i/>
          <w:iCs w:val="0"/>
        </w:rPr>
        <w:t>and</w:t>
      </w:r>
      <w:r w:rsidRPr="00840416">
        <w:rPr>
          <w:i/>
          <w:iCs w:val="0"/>
        </w:rPr>
        <w:t xml:space="preserve"> the comparator imaging modalities in the sporadic (as opposed to genetic) forms of renal tumours, this could be used. PASC also considered there was no reason to suspect that these estimates would not be applicable to this population, but that this could be investigated in the assessment report.</w:t>
      </w:r>
    </w:p>
    <w:p w14:paraId="7981C1F5" w14:textId="1A918E66" w:rsidR="00A43DF1" w:rsidRPr="00DA79F1" w:rsidRDefault="00034BE6" w:rsidP="005D2196">
      <w:r>
        <w:t xml:space="preserve">Figure 2 </w:t>
      </w:r>
      <w:r w:rsidR="00A43DF1" w:rsidRPr="00DA79F1">
        <w:t>presents an illustration of the assessment framework.</w:t>
      </w:r>
    </w:p>
    <w:p w14:paraId="12F2305D" w14:textId="4A15BF30" w:rsidR="00717443" w:rsidRDefault="00364D5F" w:rsidP="005D2196">
      <w:r w:rsidRPr="00364D5F">
        <w:t xml:space="preserve"> </w:t>
      </w:r>
      <w:r w:rsidRPr="00364D5F">
        <w:rPr>
          <w:noProof/>
          <w:lang w:eastAsia="en-AU"/>
        </w:rPr>
        <w:drawing>
          <wp:inline distT="0" distB="0" distL="0" distR="0" wp14:anchorId="564BD896" wp14:editId="17CB41C1">
            <wp:extent cx="6421041" cy="2286000"/>
            <wp:effectExtent l="0" t="0" r="0" b="0"/>
            <wp:docPr id="6" name="Picture 6" descr="Figure 2 Assessment frame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2 Assessment framework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37603" cy="2291897"/>
                    </a:xfrm>
                    <a:prstGeom prst="rect">
                      <a:avLst/>
                    </a:prstGeom>
                    <a:noFill/>
                    <a:ln>
                      <a:noFill/>
                    </a:ln>
                  </pic:spPr>
                </pic:pic>
              </a:graphicData>
            </a:graphic>
          </wp:inline>
        </w:drawing>
      </w:r>
    </w:p>
    <w:p w14:paraId="58E23E9A" w14:textId="4BA94B9E" w:rsidR="009B31CC" w:rsidRPr="00DA79F1" w:rsidRDefault="00AE6FE0" w:rsidP="005D2196">
      <w:pPr>
        <w:pStyle w:val="Caption"/>
      </w:pPr>
      <w:bookmarkStart w:id="12" w:name="_Ref68327593"/>
      <w:bookmarkStart w:id="13" w:name="_Ref68327680"/>
      <w:r w:rsidRPr="00DA79F1">
        <w:t>Figure</w:t>
      </w:r>
      <w:bookmarkEnd w:id="12"/>
      <w:r w:rsidR="00E607F3" w:rsidRPr="00DA79F1">
        <w:t> </w:t>
      </w:r>
      <w:r w:rsidRPr="00DA79F1">
        <w:fldChar w:fldCharType="begin"/>
      </w:r>
      <w:r w:rsidRPr="00DA79F1">
        <w:instrText xml:space="preserve"> SEQ Figure \* ARABIC </w:instrText>
      </w:r>
      <w:r w:rsidRPr="00DA79F1">
        <w:fldChar w:fldCharType="separate"/>
      </w:r>
      <w:r w:rsidR="0069673F">
        <w:rPr>
          <w:noProof/>
        </w:rPr>
        <w:t>2</w:t>
      </w:r>
      <w:r w:rsidRPr="00DA79F1">
        <w:fldChar w:fldCharType="end"/>
      </w:r>
      <w:bookmarkEnd w:id="13"/>
      <w:r w:rsidR="009B31CC" w:rsidRPr="00DA79F1">
        <w:tab/>
      </w:r>
      <w:r w:rsidR="00A43DF1" w:rsidRPr="00DA79F1">
        <w:t>A</w:t>
      </w:r>
      <w:r w:rsidR="009B31CC" w:rsidRPr="00DA79F1">
        <w:t xml:space="preserve">ssessment framework </w:t>
      </w:r>
    </w:p>
    <w:p w14:paraId="534738C5" w14:textId="31816DB2" w:rsidR="00C40CC4" w:rsidRPr="00DA79F1" w:rsidRDefault="00C40CC4" w:rsidP="00B819D7">
      <w:pPr>
        <w:pStyle w:val="Tablenotes"/>
        <w:spacing w:line="240" w:lineRule="auto"/>
      </w:pPr>
      <w:r w:rsidRPr="00DA79F1">
        <w:t>Figure notes: 1: direct from test to health outcomes evidence; 2: test accuracy; 3: change in diagnosis/treatment/management; 4: influence of the change in management on health outcomes; 5: influence of the change in management on intermediate outcomes; 6: association of intermediate outcomes with health outcomes; 7: adverse events due to testing; 8: adverse events due to treatment</w:t>
      </w:r>
    </w:p>
    <w:p w14:paraId="6069F0B5" w14:textId="3ABF5D01" w:rsidR="00D73332" w:rsidRPr="00DA79F1" w:rsidRDefault="00D73332" w:rsidP="005D2196">
      <w:pPr>
        <w:pStyle w:val="Heading2"/>
        <w:rPr>
          <w:b/>
          <w:bCs/>
          <w:i/>
        </w:rPr>
      </w:pPr>
      <w:r w:rsidRPr="00DA79F1">
        <w:t>Clinical management algorithms</w:t>
      </w:r>
    </w:p>
    <w:p w14:paraId="3EC99260" w14:textId="5D2804FA" w:rsidR="00841B3B" w:rsidRPr="00CC7D3E" w:rsidRDefault="00841B3B" w:rsidP="005D2196">
      <w:pPr>
        <w:rPr>
          <w:i/>
        </w:rPr>
      </w:pPr>
      <w:r w:rsidRPr="00DA79F1">
        <w:t xml:space="preserve">The application provides a current and proposed clinical management algorithm in p21 and p22 of the application, respectively. </w:t>
      </w:r>
      <w:r w:rsidRPr="00841B3B">
        <w:t xml:space="preserve">Amended current and proposed algorithms developed for the PICO Confirmation for the exemplar populations of TSC and VHL are presented in </w:t>
      </w:r>
      <w:r w:rsidR="00034BE6">
        <w:t xml:space="preserve">Figure 3 and Figure 4 </w:t>
      </w:r>
      <w:r w:rsidRPr="00841B3B">
        <w:t>respectively.</w:t>
      </w:r>
      <w:r w:rsidR="0093191E">
        <w:t xml:space="preserve"> </w:t>
      </w:r>
      <w:r w:rsidR="0093191E">
        <w:rPr>
          <w:i/>
          <w:iCs w:val="0"/>
        </w:rPr>
        <w:t>The algorithms capture further changes suggested by PASC.</w:t>
      </w:r>
    </w:p>
    <w:p w14:paraId="71DBD9E1" w14:textId="17CFE46F" w:rsidR="0033303A" w:rsidRPr="00DA79F1" w:rsidRDefault="0033303A" w:rsidP="005D2196">
      <w:r w:rsidRPr="00DA79F1">
        <w:t>As discussed in the ‘Assessment framework’ section above</w:t>
      </w:r>
      <w:r>
        <w:t>, t</w:t>
      </w:r>
      <w:r w:rsidRPr="00DA79F1">
        <w:t xml:space="preserve">he </w:t>
      </w:r>
      <w:r w:rsidR="00007DFA">
        <w:t>e</w:t>
      </w:r>
      <w:r w:rsidRPr="00DA79F1">
        <w:t xml:space="preserve">xemplars do not necessarily reflect clinical management for other conditions, even those </w:t>
      </w:r>
      <w:r>
        <w:t xml:space="preserve">that </w:t>
      </w:r>
      <w:r w:rsidRPr="00DA79F1">
        <w:t>share a tumour type (benign or malignant) predisposition with the exemplar population.</w:t>
      </w:r>
    </w:p>
    <w:p w14:paraId="1F4A9D77" w14:textId="77777777" w:rsidR="00034BE6" w:rsidRDefault="00034BE6">
      <w:pPr>
        <w:spacing w:after="160" w:line="259" w:lineRule="auto"/>
      </w:pPr>
      <w:r>
        <w:br w:type="page"/>
      </w:r>
    </w:p>
    <w:p w14:paraId="038AE94E" w14:textId="5D1095D3" w:rsidR="0033303A" w:rsidRPr="00DA79F1" w:rsidRDefault="0033303A" w:rsidP="005D2196">
      <w:r w:rsidRPr="00DA79F1">
        <w:lastRenderedPageBreak/>
        <w:t>For example</w:t>
      </w:r>
      <w:r w:rsidR="00034BE6">
        <w:t>,</w:t>
      </w:r>
      <w:r w:rsidRPr="00DA79F1">
        <w:t xml:space="preserve"> Gaur (2017) notes that:</w:t>
      </w:r>
    </w:p>
    <w:p w14:paraId="03250C56" w14:textId="5333ADC7" w:rsidR="0033303A" w:rsidRPr="00DA79F1" w:rsidRDefault="0033303A" w:rsidP="00AA4DCC">
      <w:pPr>
        <w:pStyle w:val="ListParagraph"/>
        <w:numPr>
          <w:ilvl w:val="0"/>
          <w:numId w:val="11"/>
        </w:numPr>
      </w:pPr>
      <w:r>
        <w:t>F</w:t>
      </w:r>
      <w:r w:rsidRPr="00DA79F1">
        <w:t xml:space="preserve">or </w:t>
      </w:r>
      <w:r w:rsidRPr="00841B3B">
        <w:t xml:space="preserve">HLRCC </w:t>
      </w:r>
      <w:r w:rsidRPr="0033303A">
        <w:t xml:space="preserve">and </w:t>
      </w:r>
      <w:r w:rsidRPr="00DA79F1">
        <w:rPr>
          <w:i/>
        </w:rPr>
        <w:t>SDHB</w:t>
      </w:r>
      <w:r w:rsidRPr="00DA79F1">
        <w:t xml:space="preserve"> tumours, aggressive loco-regional surgery is recommended as these tumours tend to be locally invasive. Complete resection is the best chance for a long term survival and therefore, radical nephrectomy may be indicated.</w:t>
      </w:r>
    </w:p>
    <w:p w14:paraId="7CA8C6B4" w14:textId="4669A07D" w:rsidR="0033303A" w:rsidRPr="00841B3B" w:rsidRDefault="0033303A" w:rsidP="0069673F">
      <w:pPr>
        <w:pStyle w:val="ListParagraph"/>
        <w:numPr>
          <w:ilvl w:val="0"/>
          <w:numId w:val="11"/>
        </w:numPr>
      </w:pPr>
      <w:r w:rsidRPr="00DA79F1">
        <w:t>For the intermediate and low risk tumour types, emphasis is placed on nephron sparing techniques including robotic nephron sparing surgery and focal ablations. In this manner the tumours can be controlled while renal function is maintained for the maximal period. The risks associated with chronic dialysis or transplantation caused by overly aggressive surgical or ablative therapy can be nearly as high as the tumour itself so a balanced approach between treatment and active surveillance is warranted. In this regard, for the syndromes that pose intermediate and low risk, a threshold diameter of 3</w:t>
      </w:r>
      <w:r w:rsidR="00007DFA">
        <w:t xml:space="preserve"> </w:t>
      </w:r>
      <w:r w:rsidRPr="00DA79F1">
        <w:t>cm for a solid renal tumour has proven successful in avoiding metastatic disease while spacing out surgical procedures so as to delay loss of renal function. This strategy has proven successful over a variety of hereditary conditions as will be described.</w:t>
      </w:r>
    </w:p>
    <w:p w14:paraId="1986758F" w14:textId="77777777" w:rsidR="0033303A" w:rsidRDefault="0033303A" w:rsidP="005D2196">
      <w:pPr>
        <w:pStyle w:val="Instructionaltext"/>
      </w:pPr>
    </w:p>
    <w:p w14:paraId="06B11469" w14:textId="77777777" w:rsidR="00034BE6" w:rsidRDefault="00034BE6" w:rsidP="00034BE6">
      <w:pPr>
        <w:pStyle w:val="Instructionaltext"/>
      </w:pPr>
      <w:r w:rsidRPr="00F63F28">
        <w:rPr>
          <w:noProof/>
          <w:lang w:eastAsia="en-AU"/>
        </w:rPr>
        <w:drawing>
          <wp:inline distT="0" distB="0" distL="0" distR="0" wp14:anchorId="212563BB" wp14:editId="4A92C913">
            <wp:extent cx="6175012" cy="3490799"/>
            <wp:effectExtent l="0" t="0" r="0" b="0"/>
            <wp:docPr id="7" name="Picture 7" descr="Figure 3 Current and proposed clinical management algorithm for patient with suspected or newly diagnosed T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3 Current and proposed clinical management algorithm for patient with suspected or newly diagnosed TSC"/>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99710" cy="3504761"/>
                    </a:xfrm>
                    <a:prstGeom prst="rect">
                      <a:avLst/>
                    </a:prstGeom>
                    <a:noFill/>
                    <a:ln>
                      <a:noFill/>
                    </a:ln>
                  </pic:spPr>
                </pic:pic>
              </a:graphicData>
            </a:graphic>
          </wp:inline>
        </w:drawing>
      </w:r>
    </w:p>
    <w:p w14:paraId="5268B15F" w14:textId="3B69C70C" w:rsidR="00034BE6" w:rsidRPr="00DA79F1" w:rsidRDefault="00034BE6" w:rsidP="00034BE6">
      <w:pPr>
        <w:pStyle w:val="Caption"/>
        <w:spacing w:before="0" w:after="60"/>
      </w:pPr>
      <w:r w:rsidRPr="00DA79F1">
        <w:t>Figure </w:t>
      </w:r>
      <w:r w:rsidRPr="00DA79F1">
        <w:fldChar w:fldCharType="begin"/>
      </w:r>
      <w:r w:rsidRPr="00DA79F1">
        <w:instrText xml:space="preserve"> SEQ Figure \* ARABIC </w:instrText>
      </w:r>
      <w:r w:rsidRPr="00DA79F1">
        <w:fldChar w:fldCharType="separate"/>
      </w:r>
      <w:r w:rsidR="0069673F">
        <w:rPr>
          <w:noProof/>
        </w:rPr>
        <w:t>3</w:t>
      </w:r>
      <w:r w:rsidRPr="00DA79F1">
        <w:fldChar w:fldCharType="end"/>
      </w:r>
      <w:r w:rsidRPr="00DA79F1">
        <w:tab/>
        <w:t xml:space="preserve">Current </w:t>
      </w:r>
      <w:r>
        <w:t xml:space="preserve">and proposed </w:t>
      </w:r>
      <w:r w:rsidRPr="00DA79F1">
        <w:t>clinical management algorithm for patient with suspected or newly diagnosed TSC</w:t>
      </w:r>
    </w:p>
    <w:p w14:paraId="15697051" w14:textId="77777777" w:rsidR="00034BE6" w:rsidRPr="00D25D74" w:rsidRDefault="00034BE6" w:rsidP="00034BE6">
      <w:pPr>
        <w:spacing w:after="0" w:line="240" w:lineRule="auto"/>
        <w:rPr>
          <w:rFonts w:ascii="Arial Narrow" w:hAnsi="Arial Narrow"/>
          <w:sz w:val="18"/>
          <w:szCs w:val="18"/>
          <w:lang w:eastAsia="ja-JP"/>
        </w:rPr>
      </w:pPr>
      <w:r w:rsidRPr="00D25D74">
        <w:rPr>
          <w:rFonts w:ascii="Arial Narrow" w:hAnsi="Arial Narrow"/>
          <w:sz w:val="18"/>
          <w:szCs w:val="18"/>
          <w:lang w:eastAsia="ja-JP"/>
        </w:rPr>
        <w:t>Red lines depict that patients return to annual surveillance</w:t>
      </w:r>
    </w:p>
    <w:p w14:paraId="09068EFF" w14:textId="77777777" w:rsidR="00034BE6" w:rsidRPr="00D25D74" w:rsidRDefault="00034BE6" w:rsidP="00034BE6">
      <w:pPr>
        <w:tabs>
          <w:tab w:val="left" w:pos="284"/>
        </w:tabs>
        <w:spacing w:after="0" w:line="240" w:lineRule="auto"/>
        <w:rPr>
          <w:rFonts w:ascii="Arial Narrow" w:hAnsi="Arial Narrow"/>
          <w:sz w:val="18"/>
          <w:szCs w:val="18"/>
          <w:lang w:eastAsia="ja-JP"/>
        </w:rPr>
      </w:pPr>
      <w:r w:rsidRPr="00D25D74">
        <w:rPr>
          <w:rFonts w:ascii="Arial Narrow" w:hAnsi="Arial Narrow"/>
          <w:sz w:val="18"/>
          <w:szCs w:val="18"/>
          <w:vertAlign w:val="superscript"/>
          <w:lang w:eastAsia="ja-JP"/>
        </w:rPr>
        <w:t>a</w:t>
      </w:r>
      <w:r w:rsidRPr="00D25D74">
        <w:rPr>
          <w:rFonts w:ascii="Arial Narrow" w:hAnsi="Arial Narrow"/>
          <w:sz w:val="18"/>
          <w:szCs w:val="18"/>
          <w:lang w:eastAsia="ja-JP"/>
        </w:rPr>
        <w:tab/>
        <w:t>phenotypic or genetic diagnosis</w:t>
      </w:r>
    </w:p>
    <w:p w14:paraId="5BA88F9F" w14:textId="77777777" w:rsidR="00034BE6" w:rsidRPr="00D25D74" w:rsidRDefault="00034BE6" w:rsidP="00034BE6">
      <w:pPr>
        <w:tabs>
          <w:tab w:val="left" w:pos="284"/>
        </w:tabs>
        <w:spacing w:after="0" w:line="240" w:lineRule="auto"/>
        <w:ind w:left="284" w:hanging="284"/>
        <w:rPr>
          <w:rFonts w:ascii="Arial Narrow" w:hAnsi="Arial Narrow"/>
          <w:sz w:val="18"/>
          <w:szCs w:val="18"/>
          <w:lang w:eastAsia="ja-JP"/>
        </w:rPr>
      </w:pPr>
      <w:r w:rsidRPr="00D25D74">
        <w:rPr>
          <w:rFonts w:ascii="Arial Narrow" w:hAnsi="Arial Narrow"/>
          <w:sz w:val="18"/>
          <w:szCs w:val="18"/>
          <w:vertAlign w:val="superscript"/>
          <w:lang w:eastAsia="ja-JP"/>
        </w:rPr>
        <w:t>b</w:t>
      </w:r>
      <w:r w:rsidRPr="00D25D74">
        <w:rPr>
          <w:rFonts w:ascii="Arial Narrow" w:hAnsi="Arial Narrow"/>
          <w:sz w:val="18"/>
          <w:szCs w:val="18"/>
          <w:lang w:eastAsia="ja-JP"/>
        </w:rPr>
        <w:tab/>
        <w:t xml:space="preserve">many factors besides tumour size may affect initial treatment for AML, and </w:t>
      </w:r>
      <w:proofErr w:type="spellStart"/>
      <w:r w:rsidRPr="00D25D74">
        <w:rPr>
          <w:rFonts w:ascii="Arial Narrow" w:hAnsi="Arial Narrow"/>
          <w:sz w:val="18"/>
          <w:szCs w:val="18"/>
          <w:lang w:eastAsia="ja-JP"/>
        </w:rPr>
        <w:t>mTORi</w:t>
      </w:r>
      <w:proofErr w:type="spellEnd"/>
      <w:r w:rsidRPr="00D25D74">
        <w:rPr>
          <w:rFonts w:ascii="Arial Narrow" w:hAnsi="Arial Narrow"/>
          <w:sz w:val="18"/>
          <w:szCs w:val="18"/>
          <w:lang w:eastAsia="ja-JP"/>
        </w:rPr>
        <w:t xml:space="preserve"> may not always be the appropriate first line therapy for tumours ≥3 cm. Likewise, surveillance may not always be the most appropriate option for patients with AML &lt;3 cm. Tumour growth may also be a major factor. Consequently, in some cases, two CT, US or MRI tests 3 to 6 months apart may be appropriate to assess tumour growth.</w:t>
      </w:r>
    </w:p>
    <w:p w14:paraId="6C9AAF6F" w14:textId="23B27964" w:rsidR="00034BE6" w:rsidRDefault="00034BE6" w:rsidP="00034BE6">
      <w:pPr>
        <w:tabs>
          <w:tab w:val="left" w:pos="284"/>
        </w:tabs>
        <w:spacing w:after="0" w:line="240" w:lineRule="auto"/>
        <w:rPr>
          <w:rFonts w:ascii="Arial Narrow" w:hAnsi="Arial Narrow"/>
          <w:sz w:val="18"/>
          <w:szCs w:val="18"/>
          <w:lang w:eastAsia="ja-JP"/>
        </w:rPr>
      </w:pPr>
      <w:r w:rsidRPr="00D25D74">
        <w:rPr>
          <w:rFonts w:ascii="Arial Narrow" w:hAnsi="Arial Narrow"/>
          <w:sz w:val="18"/>
          <w:szCs w:val="18"/>
          <w:vertAlign w:val="superscript"/>
          <w:lang w:eastAsia="ja-JP"/>
        </w:rPr>
        <w:t>c</w:t>
      </w:r>
      <w:r w:rsidRPr="00D25D74">
        <w:rPr>
          <w:rFonts w:ascii="Arial Narrow" w:hAnsi="Arial Narrow"/>
          <w:sz w:val="18"/>
          <w:szCs w:val="18"/>
          <w:lang w:eastAsia="ja-JP"/>
        </w:rPr>
        <w:tab/>
      </w:r>
      <w:proofErr w:type="spellStart"/>
      <w:r w:rsidRPr="00D25D74">
        <w:rPr>
          <w:rFonts w:ascii="Arial Narrow" w:hAnsi="Arial Narrow"/>
          <w:sz w:val="18"/>
          <w:szCs w:val="18"/>
          <w:lang w:eastAsia="ja-JP"/>
        </w:rPr>
        <w:t>everolimus</w:t>
      </w:r>
      <w:proofErr w:type="spellEnd"/>
      <w:r w:rsidRPr="00D25D74">
        <w:rPr>
          <w:rFonts w:ascii="Arial Narrow" w:hAnsi="Arial Narrow"/>
          <w:sz w:val="18"/>
          <w:szCs w:val="18"/>
          <w:lang w:eastAsia="ja-JP"/>
        </w:rPr>
        <w:t xml:space="preserve"> or sirolimus</w:t>
      </w:r>
    </w:p>
    <w:p w14:paraId="10E7BA3D" w14:textId="77777777" w:rsidR="00034BE6" w:rsidRDefault="00034BE6">
      <w:pPr>
        <w:spacing w:after="160" w:line="259" w:lineRule="auto"/>
        <w:rPr>
          <w:rFonts w:ascii="Arial Narrow" w:hAnsi="Arial Narrow"/>
          <w:sz w:val="18"/>
          <w:szCs w:val="18"/>
          <w:lang w:eastAsia="ja-JP"/>
        </w:rPr>
      </w:pPr>
      <w:r>
        <w:rPr>
          <w:rFonts w:ascii="Arial Narrow" w:hAnsi="Arial Narrow"/>
          <w:sz w:val="18"/>
          <w:szCs w:val="18"/>
          <w:lang w:eastAsia="ja-JP"/>
        </w:rPr>
        <w:br w:type="page"/>
      </w:r>
    </w:p>
    <w:p w14:paraId="24E05F86" w14:textId="77777777" w:rsidR="00034BE6" w:rsidRPr="00DA79F1" w:rsidRDefault="00034BE6" w:rsidP="00F822F2">
      <w:pPr>
        <w:spacing w:after="0"/>
        <w:rPr>
          <w:lang w:eastAsia="ja-JP"/>
        </w:rPr>
      </w:pPr>
      <w:r w:rsidRPr="00B23867">
        <w:rPr>
          <w:noProof/>
          <w:lang w:eastAsia="en-AU"/>
        </w:rPr>
        <w:lastRenderedPageBreak/>
        <w:drawing>
          <wp:inline distT="0" distB="0" distL="0" distR="0" wp14:anchorId="508E2C89" wp14:editId="4699103B">
            <wp:extent cx="5534128" cy="3847381"/>
            <wp:effectExtent l="0" t="0" r="0" b="1270"/>
            <wp:docPr id="5" name="Picture 5" descr="Figure 4 Current and proposed clinical management algorithm for patients with suspected or newly diagnosed VH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4 Current and proposed clinical management algorithm for patients with suspected or newly diagnosed VH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43980" cy="3854230"/>
                    </a:xfrm>
                    <a:prstGeom prst="rect">
                      <a:avLst/>
                    </a:prstGeom>
                    <a:noFill/>
                    <a:ln>
                      <a:noFill/>
                    </a:ln>
                  </pic:spPr>
                </pic:pic>
              </a:graphicData>
            </a:graphic>
          </wp:inline>
        </w:drawing>
      </w:r>
    </w:p>
    <w:p w14:paraId="4EBD5558" w14:textId="233B5277" w:rsidR="00034BE6" w:rsidRPr="00E55EA7" w:rsidRDefault="00034BE6" w:rsidP="00034BE6">
      <w:pPr>
        <w:pStyle w:val="Caption"/>
        <w:spacing w:before="60" w:after="0" w:line="240" w:lineRule="auto"/>
      </w:pPr>
      <w:bookmarkStart w:id="14" w:name="_Ref98172773"/>
      <w:r w:rsidRPr="00E55EA7">
        <w:t>Figure </w:t>
      </w:r>
      <w:r w:rsidRPr="00E55EA7">
        <w:fldChar w:fldCharType="begin"/>
      </w:r>
      <w:r w:rsidRPr="00E55EA7">
        <w:instrText xml:space="preserve"> SEQ Figure \* ARABIC </w:instrText>
      </w:r>
      <w:r w:rsidRPr="00E55EA7">
        <w:fldChar w:fldCharType="separate"/>
      </w:r>
      <w:r w:rsidR="0069673F">
        <w:rPr>
          <w:noProof/>
        </w:rPr>
        <w:t>4</w:t>
      </w:r>
      <w:r w:rsidRPr="00E55EA7">
        <w:fldChar w:fldCharType="end"/>
      </w:r>
      <w:bookmarkEnd w:id="14"/>
      <w:r w:rsidRPr="00E55EA7">
        <w:tab/>
        <w:t>Current and proposed clinical management algorithm for patients with suspected or newly diagnosed VHL</w:t>
      </w:r>
    </w:p>
    <w:p w14:paraId="507FFD9D" w14:textId="77777777" w:rsidR="00034BE6" w:rsidRPr="00E55EA7" w:rsidRDefault="00034BE6" w:rsidP="00034BE6">
      <w:pPr>
        <w:spacing w:before="120" w:after="0" w:line="240" w:lineRule="auto"/>
        <w:rPr>
          <w:rFonts w:ascii="Arial Narrow" w:hAnsi="Arial Narrow"/>
          <w:sz w:val="18"/>
          <w:szCs w:val="18"/>
          <w:lang w:eastAsia="ja-JP"/>
        </w:rPr>
      </w:pPr>
      <w:r w:rsidRPr="00E55EA7">
        <w:rPr>
          <w:rFonts w:ascii="Arial Narrow" w:hAnsi="Arial Narrow"/>
          <w:sz w:val="18"/>
          <w:szCs w:val="18"/>
          <w:lang w:eastAsia="ja-JP"/>
        </w:rPr>
        <w:t>Red lines depict that patients return to annual surveillance</w:t>
      </w:r>
    </w:p>
    <w:p w14:paraId="59315869" w14:textId="77777777" w:rsidR="00034BE6" w:rsidRPr="00E55EA7" w:rsidRDefault="00034BE6" w:rsidP="00034BE6">
      <w:pPr>
        <w:tabs>
          <w:tab w:val="left" w:pos="284"/>
        </w:tabs>
        <w:spacing w:after="0" w:line="240" w:lineRule="auto"/>
        <w:ind w:left="284" w:hanging="284"/>
        <w:rPr>
          <w:rFonts w:ascii="Arial Narrow" w:hAnsi="Arial Narrow"/>
          <w:sz w:val="18"/>
          <w:szCs w:val="18"/>
          <w:lang w:eastAsia="ja-JP"/>
        </w:rPr>
      </w:pPr>
      <w:r w:rsidRPr="00E55EA7">
        <w:rPr>
          <w:rFonts w:ascii="Arial Narrow" w:hAnsi="Arial Narrow"/>
          <w:sz w:val="18"/>
          <w:szCs w:val="18"/>
          <w:vertAlign w:val="superscript"/>
          <w:lang w:eastAsia="ja-JP"/>
        </w:rPr>
        <w:t>a</w:t>
      </w:r>
      <w:r w:rsidRPr="00E55EA7">
        <w:rPr>
          <w:rFonts w:ascii="Arial Narrow" w:hAnsi="Arial Narrow"/>
          <w:sz w:val="18"/>
          <w:szCs w:val="18"/>
          <w:lang w:eastAsia="ja-JP"/>
        </w:rPr>
        <w:tab/>
        <w:t>phenotypic or genetic diagnosis</w:t>
      </w:r>
    </w:p>
    <w:p w14:paraId="55198EF5" w14:textId="77777777" w:rsidR="00034BE6" w:rsidRPr="00E55EA7" w:rsidRDefault="00034BE6" w:rsidP="00034BE6">
      <w:pPr>
        <w:tabs>
          <w:tab w:val="left" w:pos="284"/>
        </w:tabs>
        <w:spacing w:after="0" w:line="240" w:lineRule="auto"/>
        <w:ind w:left="284" w:hanging="284"/>
        <w:rPr>
          <w:rFonts w:ascii="Arial Narrow" w:hAnsi="Arial Narrow"/>
          <w:color w:val="000000" w:themeColor="text1"/>
          <w:sz w:val="18"/>
          <w:szCs w:val="18"/>
        </w:rPr>
      </w:pPr>
      <w:r w:rsidRPr="00E55EA7">
        <w:rPr>
          <w:rFonts w:ascii="Arial Narrow" w:hAnsi="Arial Narrow"/>
          <w:sz w:val="18"/>
          <w:szCs w:val="18"/>
          <w:vertAlign w:val="superscript"/>
          <w:lang w:eastAsia="ja-JP"/>
        </w:rPr>
        <w:t>b</w:t>
      </w:r>
      <w:r w:rsidRPr="00E55EA7">
        <w:rPr>
          <w:rFonts w:ascii="Arial Narrow" w:hAnsi="Arial Narrow"/>
          <w:sz w:val="18"/>
          <w:szCs w:val="18"/>
          <w:lang w:eastAsia="ja-JP"/>
        </w:rPr>
        <w:tab/>
        <w:t>many factors besides tumour size may affect initial treatment for malignant tumours. Tumour growth may also be a major factor. Consequently, in some cases, two CT, US or MRI tests 3 to 6 months apart may be appropriate to assess tumour growth.</w:t>
      </w:r>
    </w:p>
    <w:p w14:paraId="7DD65CC9" w14:textId="77777777" w:rsidR="00034BE6" w:rsidRPr="00D25D74" w:rsidRDefault="00034BE6" w:rsidP="00034BE6">
      <w:pPr>
        <w:tabs>
          <w:tab w:val="left" w:pos="284"/>
        </w:tabs>
        <w:spacing w:after="0" w:line="240" w:lineRule="auto"/>
        <w:rPr>
          <w:rFonts w:ascii="Arial Narrow" w:hAnsi="Arial Narrow"/>
          <w:sz w:val="18"/>
          <w:szCs w:val="18"/>
          <w:lang w:eastAsia="ja-JP"/>
        </w:rPr>
      </w:pPr>
    </w:p>
    <w:p w14:paraId="2BDE22B9" w14:textId="77777777" w:rsidR="00D73332" w:rsidRPr="00DA79F1" w:rsidRDefault="00D73332" w:rsidP="005D2196">
      <w:pPr>
        <w:pStyle w:val="Heading2"/>
        <w:rPr>
          <w:b/>
          <w:bCs/>
          <w:i/>
        </w:rPr>
      </w:pPr>
      <w:r w:rsidRPr="00DA79F1">
        <w:t>Proposed economic evaluation</w:t>
      </w:r>
    </w:p>
    <w:p w14:paraId="61A41047" w14:textId="27BF2EB5" w:rsidR="005A16C1" w:rsidRPr="00E55EA7" w:rsidRDefault="005A16C1" w:rsidP="005D2196">
      <w:pPr>
        <w:pStyle w:val="Instructionaltext"/>
        <w:rPr>
          <w:iCs w:val="0"/>
          <w:color w:val="auto"/>
        </w:rPr>
      </w:pPr>
      <w:r w:rsidRPr="00E55EA7">
        <w:rPr>
          <w:color w:val="auto"/>
        </w:rPr>
        <w:t xml:space="preserve">Considering that the clinical claim is that abdominal MRI </w:t>
      </w:r>
      <w:r w:rsidR="00371C59" w:rsidRPr="00E55EA7">
        <w:rPr>
          <w:color w:val="auto"/>
        </w:rPr>
        <w:t xml:space="preserve">has </w:t>
      </w:r>
      <w:r w:rsidRPr="00E55EA7">
        <w:rPr>
          <w:color w:val="auto"/>
        </w:rPr>
        <w:t xml:space="preserve">superior </w:t>
      </w:r>
      <w:r w:rsidR="00371C59" w:rsidRPr="00E55EA7">
        <w:rPr>
          <w:color w:val="auto"/>
        </w:rPr>
        <w:t>effectiveness outcomes and</w:t>
      </w:r>
      <w:r w:rsidR="00634061" w:rsidRPr="00E55EA7">
        <w:rPr>
          <w:color w:val="auto"/>
        </w:rPr>
        <w:t xml:space="preserve"> superior </w:t>
      </w:r>
      <w:r w:rsidR="00371C59" w:rsidRPr="00E55EA7">
        <w:rPr>
          <w:color w:val="auto"/>
        </w:rPr>
        <w:t xml:space="preserve">safety outcomes relative </w:t>
      </w:r>
      <w:r w:rsidRPr="00E55EA7">
        <w:rPr>
          <w:color w:val="auto"/>
        </w:rPr>
        <w:t xml:space="preserve">to </w:t>
      </w:r>
      <w:r w:rsidR="00371C59" w:rsidRPr="00E55EA7">
        <w:rPr>
          <w:color w:val="auto"/>
        </w:rPr>
        <w:t xml:space="preserve">the comparators of </w:t>
      </w:r>
      <w:r w:rsidRPr="00E55EA7">
        <w:rPr>
          <w:color w:val="auto"/>
        </w:rPr>
        <w:t xml:space="preserve">CT scan or ultrasound, a cost effectiveness or cost-utility analysis would be appropriate. </w:t>
      </w:r>
      <w:r w:rsidR="00B23867" w:rsidRPr="008404A1">
        <w:rPr>
          <w:i/>
          <w:iCs w:val="0"/>
          <w:color w:val="auto"/>
        </w:rPr>
        <w:t>PASC agreed that a cost-effectiveness or cost-utility analysis would be appropriate based on the clinical claim.</w:t>
      </w:r>
      <w:r w:rsidR="00B23867" w:rsidRPr="008404A1">
        <w:rPr>
          <w:color w:val="auto"/>
        </w:rPr>
        <w:t xml:space="preserve"> </w:t>
      </w:r>
    </w:p>
    <w:p w14:paraId="4465F3B3" w14:textId="2DC10AE7" w:rsidR="005A16C1" w:rsidRPr="00E55EA7" w:rsidRDefault="00F822F2" w:rsidP="005D2196">
      <w:pPr>
        <w:pStyle w:val="Instructionaltext"/>
        <w:rPr>
          <w:color w:val="auto"/>
        </w:rPr>
      </w:pPr>
      <w:r>
        <w:rPr>
          <w:color w:val="auto"/>
        </w:rPr>
        <w:t>Table 10</w:t>
      </w:r>
      <w:r w:rsidR="00686EED" w:rsidRPr="00E55EA7">
        <w:rPr>
          <w:color w:val="auto"/>
        </w:rPr>
        <w:t xml:space="preserve"> provides a guide for determining which type of economic evaluation is appropriate.</w:t>
      </w:r>
    </w:p>
    <w:p w14:paraId="699E2BD8" w14:textId="77777777" w:rsidR="00F822F2" w:rsidRDefault="00F822F2">
      <w:pPr>
        <w:spacing w:after="160" w:line="259" w:lineRule="auto"/>
        <w:rPr>
          <w:rFonts w:ascii="Arial Narrow" w:hAnsi="Arial Narrow" w:cs="Tahoma"/>
          <w:b/>
          <w:sz w:val="20"/>
          <w:szCs w:val="20"/>
          <w:lang w:val="en-GB" w:eastAsia="ja-JP"/>
        </w:rPr>
      </w:pPr>
      <w:bookmarkStart w:id="15" w:name="_Ref54260209"/>
      <w:bookmarkStart w:id="16" w:name="_Toc423450289"/>
      <w:r>
        <w:br w:type="page"/>
      </w:r>
    </w:p>
    <w:p w14:paraId="6DAB2DBD" w14:textId="61CBFC62" w:rsidR="000939E0" w:rsidRPr="00E55EA7" w:rsidRDefault="000939E0" w:rsidP="00E55EA7">
      <w:pPr>
        <w:pStyle w:val="Caption"/>
        <w:spacing w:before="0" w:after="0" w:line="240" w:lineRule="auto"/>
      </w:pPr>
      <w:r w:rsidRPr="00E55EA7">
        <w:t>Table</w:t>
      </w:r>
      <w:r w:rsidR="00DE762F" w:rsidRPr="00E55EA7">
        <w:t> </w:t>
      </w:r>
      <w:r w:rsidRPr="00E55EA7">
        <w:fldChar w:fldCharType="begin"/>
      </w:r>
      <w:r w:rsidRPr="00E55EA7">
        <w:instrText xml:space="preserve"> SEQ Table \* ARABIC </w:instrText>
      </w:r>
      <w:r w:rsidRPr="00E55EA7">
        <w:fldChar w:fldCharType="separate"/>
      </w:r>
      <w:r w:rsidR="0069673F">
        <w:rPr>
          <w:noProof/>
        </w:rPr>
        <w:t>10</w:t>
      </w:r>
      <w:r w:rsidRPr="00E55EA7">
        <w:fldChar w:fldCharType="end"/>
      </w:r>
      <w:bookmarkEnd w:id="15"/>
      <w:r w:rsidR="001A5D2F" w:rsidRPr="00E55EA7">
        <w:tab/>
        <w:t>Classification of</w:t>
      </w:r>
      <w:r w:rsidRPr="00E55EA7">
        <w:t xml:space="preserve"> comparative effectiveness and safety of the proposed intervention</w:t>
      </w:r>
      <w:r w:rsidR="001A5D2F" w:rsidRPr="00E55EA7">
        <w:t>,</w:t>
      </w:r>
      <w:r w:rsidRPr="00E55EA7">
        <w:t xml:space="preserve"> compared with its main comparator</w:t>
      </w:r>
      <w:r w:rsidR="001A5D2F" w:rsidRPr="00E55EA7">
        <w:t>,</w:t>
      </w:r>
      <w:r w:rsidRPr="00E55EA7">
        <w:t xml:space="preserve"> and guide to the suitable type of economic evaluation</w:t>
      </w:r>
      <w:bookmarkEnd w:id="16"/>
    </w:p>
    <w:tbl>
      <w:tblPr>
        <w:tblW w:w="4872" w:type="pct"/>
        <w:tblInd w:w="115" w:type="dxa"/>
        <w:tblLayout w:type="fixed"/>
        <w:tblCellMar>
          <w:left w:w="115" w:type="dxa"/>
          <w:right w:w="115" w:type="dxa"/>
        </w:tblCellMar>
        <w:tblLook w:val="01E0" w:firstRow="1" w:lastRow="1" w:firstColumn="1" w:lastColumn="1" w:noHBand="0" w:noVBand="0"/>
      </w:tblPr>
      <w:tblGrid>
        <w:gridCol w:w="2012"/>
        <w:gridCol w:w="1905"/>
        <w:gridCol w:w="2227"/>
        <w:gridCol w:w="1748"/>
        <w:gridCol w:w="1434"/>
      </w:tblGrid>
      <w:tr w:rsidR="00686EED" w:rsidRPr="00E55EA7" w14:paraId="5238F44C" w14:textId="77777777" w:rsidTr="00686EED">
        <w:trPr>
          <w:cantSplit/>
          <w:tblHeader/>
        </w:trPr>
        <w:tc>
          <w:tcPr>
            <w:tcW w:w="2012" w:type="dxa"/>
            <w:vMerge w:val="restart"/>
            <w:tcBorders>
              <w:top w:val="single" w:sz="4" w:space="0" w:color="auto"/>
              <w:left w:val="single" w:sz="4" w:space="0" w:color="auto"/>
              <w:right w:val="single" w:sz="4" w:space="0" w:color="auto"/>
            </w:tcBorders>
          </w:tcPr>
          <w:p w14:paraId="5B06A6EA" w14:textId="730AFFCD" w:rsidR="00686EED" w:rsidRPr="00E55EA7" w:rsidRDefault="00686EED" w:rsidP="00E55EA7">
            <w:pPr>
              <w:pStyle w:val="TableHeading"/>
              <w:spacing w:before="0" w:after="0" w:line="240" w:lineRule="auto"/>
            </w:pPr>
            <w:bookmarkStart w:id="17" w:name="Title_Table2" w:colFirst="0" w:colLast="0"/>
            <w:r w:rsidRPr="00E55EA7">
              <w:t>Comparative safety</w:t>
            </w:r>
            <w:r w:rsidRPr="00E55EA7">
              <w:rPr>
                <w:color w:val="FFFFFF" w:themeColor="background1"/>
              </w:rPr>
              <w:t>-</w:t>
            </w:r>
          </w:p>
        </w:tc>
        <w:tc>
          <w:tcPr>
            <w:tcW w:w="1905" w:type="dxa"/>
            <w:tcBorders>
              <w:top w:val="single" w:sz="4" w:space="0" w:color="auto"/>
              <w:left w:val="single" w:sz="4" w:space="0" w:color="auto"/>
              <w:bottom w:val="single" w:sz="4" w:space="0" w:color="auto"/>
              <w:right w:val="nil"/>
            </w:tcBorders>
          </w:tcPr>
          <w:p w14:paraId="293E5792" w14:textId="77777777" w:rsidR="00686EED" w:rsidRPr="00E55EA7" w:rsidRDefault="00686EED" w:rsidP="00E55EA7">
            <w:pPr>
              <w:pStyle w:val="TableHeading"/>
              <w:spacing w:before="0" w:after="0" w:line="240" w:lineRule="auto"/>
            </w:pPr>
          </w:p>
        </w:tc>
        <w:tc>
          <w:tcPr>
            <w:tcW w:w="2227" w:type="dxa"/>
            <w:tcBorders>
              <w:top w:val="single" w:sz="4" w:space="0" w:color="auto"/>
              <w:left w:val="nil"/>
              <w:bottom w:val="single" w:sz="4" w:space="0" w:color="auto"/>
            </w:tcBorders>
          </w:tcPr>
          <w:p w14:paraId="57B2397B" w14:textId="77777777" w:rsidR="00686EED" w:rsidRPr="00E55EA7" w:rsidRDefault="00686EED" w:rsidP="00E55EA7">
            <w:pPr>
              <w:pStyle w:val="TableHeading"/>
              <w:spacing w:before="0" w:after="0" w:line="240" w:lineRule="auto"/>
            </w:pPr>
            <w:r w:rsidRPr="00E55EA7">
              <w:t>Comparative effectiveness</w:t>
            </w:r>
          </w:p>
        </w:tc>
        <w:tc>
          <w:tcPr>
            <w:tcW w:w="1748" w:type="dxa"/>
            <w:tcBorders>
              <w:top w:val="single" w:sz="4" w:space="0" w:color="auto"/>
              <w:left w:val="nil"/>
              <w:bottom w:val="single" w:sz="4" w:space="0" w:color="auto"/>
            </w:tcBorders>
          </w:tcPr>
          <w:p w14:paraId="6B53FB6C" w14:textId="77777777" w:rsidR="00686EED" w:rsidRPr="00E55EA7" w:rsidRDefault="00686EED" w:rsidP="00E55EA7">
            <w:pPr>
              <w:pStyle w:val="TableHeading"/>
              <w:spacing w:before="0" w:after="0" w:line="240" w:lineRule="auto"/>
            </w:pPr>
          </w:p>
        </w:tc>
        <w:tc>
          <w:tcPr>
            <w:tcW w:w="1434" w:type="dxa"/>
            <w:tcBorders>
              <w:top w:val="single" w:sz="4" w:space="0" w:color="auto"/>
              <w:left w:val="nil"/>
              <w:bottom w:val="single" w:sz="4" w:space="0" w:color="auto"/>
              <w:right w:val="single" w:sz="4" w:space="0" w:color="auto"/>
            </w:tcBorders>
          </w:tcPr>
          <w:p w14:paraId="0FE152FA" w14:textId="77777777" w:rsidR="00686EED" w:rsidRPr="00E55EA7" w:rsidRDefault="00686EED" w:rsidP="00E55EA7">
            <w:pPr>
              <w:pStyle w:val="TableHeading"/>
              <w:spacing w:before="0" w:after="0" w:line="240" w:lineRule="auto"/>
            </w:pPr>
          </w:p>
        </w:tc>
      </w:tr>
      <w:bookmarkEnd w:id="17"/>
      <w:tr w:rsidR="00686EED" w:rsidRPr="00E55EA7" w14:paraId="78A8F3F1" w14:textId="77777777" w:rsidTr="00686EED">
        <w:trPr>
          <w:cantSplit/>
          <w:tblHeader/>
        </w:trPr>
        <w:tc>
          <w:tcPr>
            <w:tcW w:w="2012" w:type="dxa"/>
            <w:vMerge/>
            <w:tcBorders>
              <w:left w:val="single" w:sz="4" w:space="0" w:color="auto"/>
              <w:bottom w:val="single" w:sz="4" w:space="0" w:color="auto"/>
              <w:right w:val="single" w:sz="4" w:space="0" w:color="auto"/>
            </w:tcBorders>
          </w:tcPr>
          <w:p w14:paraId="6E00D947" w14:textId="57BEC7DE" w:rsidR="00686EED" w:rsidRPr="00E55EA7" w:rsidRDefault="00686EED" w:rsidP="00E55EA7">
            <w:pPr>
              <w:pStyle w:val="TableHeading"/>
              <w:spacing w:before="0" w:after="0" w:line="240" w:lineRule="auto"/>
            </w:pPr>
          </w:p>
        </w:tc>
        <w:tc>
          <w:tcPr>
            <w:tcW w:w="1905" w:type="dxa"/>
            <w:tcBorders>
              <w:left w:val="single" w:sz="4" w:space="0" w:color="auto"/>
              <w:bottom w:val="single" w:sz="4" w:space="0" w:color="auto"/>
              <w:right w:val="single" w:sz="4" w:space="0" w:color="auto"/>
            </w:tcBorders>
          </w:tcPr>
          <w:p w14:paraId="319C788C" w14:textId="77777777" w:rsidR="00686EED" w:rsidRPr="00E55EA7" w:rsidRDefault="00686EED" w:rsidP="00E55EA7">
            <w:pPr>
              <w:pStyle w:val="TableHeading"/>
              <w:spacing w:before="0" w:after="0" w:line="240" w:lineRule="auto"/>
            </w:pPr>
            <w:r w:rsidRPr="00E55EA7">
              <w:t>Inferior</w:t>
            </w:r>
          </w:p>
        </w:tc>
        <w:tc>
          <w:tcPr>
            <w:tcW w:w="2227" w:type="dxa"/>
            <w:tcBorders>
              <w:top w:val="single" w:sz="4" w:space="0" w:color="auto"/>
              <w:left w:val="single" w:sz="4" w:space="0" w:color="auto"/>
              <w:bottom w:val="single" w:sz="4" w:space="0" w:color="auto"/>
              <w:right w:val="single" w:sz="4" w:space="0" w:color="auto"/>
            </w:tcBorders>
          </w:tcPr>
          <w:p w14:paraId="5AC96128" w14:textId="77777777" w:rsidR="00686EED" w:rsidRPr="00E55EA7" w:rsidRDefault="00686EED" w:rsidP="00E55EA7">
            <w:pPr>
              <w:pStyle w:val="TableHeading"/>
              <w:spacing w:before="0" w:after="0" w:line="240" w:lineRule="auto"/>
            </w:pPr>
            <w:proofErr w:type="spellStart"/>
            <w:r w:rsidRPr="00E55EA7">
              <w:t>Uncertain</w:t>
            </w:r>
            <w:r w:rsidRPr="00E55EA7">
              <w:rPr>
                <w:vertAlign w:val="superscript"/>
              </w:rPr>
              <w:t>a</w:t>
            </w:r>
            <w:proofErr w:type="spellEnd"/>
          </w:p>
        </w:tc>
        <w:tc>
          <w:tcPr>
            <w:tcW w:w="1748" w:type="dxa"/>
            <w:tcBorders>
              <w:top w:val="single" w:sz="4" w:space="0" w:color="auto"/>
              <w:left w:val="single" w:sz="4" w:space="0" w:color="auto"/>
              <w:bottom w:val="single" w:sz="4" w:space="0" w:color="auto"/>
              <w:right w:val="single" w:sz="4" w:space="0" w:color="auto"/>
            </w:tcBorders>
          </w:tcPr>
          <w:p w14:paraId="7AA1349D" w14:textId="4BA1ADFE" w:rsidR="00686EED" w:rsidRPr="00E55EA7" w:rsidRDefault="00686EED" w:rsidP="00E55EA7">
            <w:pPr>
              <w:pStyle w:val="TableHeading"/>
              <w:spacing w:before="0" w:after="0" w:line="240" w:lineRule="auto"/>
            </w:pPr>
            <w:proofErr w:type="spellStart"/>
            <w:r w:rsidRPr="00E55EA7">
              <w:t>Noninferior</w:t>
            </w:r>
            <w:r w:rsidRPr="00E55EA7">
              <w:rPr>
                <w:vertAlign w:val="superscript"/>
              </w:rPr>
              <w:t>b</w:t>
            </w:r>
            <w:proofErr w:type="spellEnd"/>
          </w:p>
        </w:tc>
        <w:tc>
          <w:tcPr>
            <w:tcW w:w="1434" w:type="dxa"/>
            <w:tcBorders>
              <w:top w:val="single" w:sz="4" w:space="0" w:color="auto"/>
              <w:left w:val="single" w:sz="4" w:space="0" w:color="auto"/>
              <w:bottom w:val="single" w:sz="4" w:space="0" w:color="auto"/>
              <w:right w:val="single" w:sz="4" w:space="0" w:color="auto"/>
            </w:tcBorders>
          </w:tcPr>
          <w:p w14:paraId="156C5942" w14:textId="77777777" w:rsidR="00686EED" w:rsidRPr="00E55EA7" w:rsidRDefault="00686EED" w:rsidP="00E55EA7">
            <w:pPr>
              <w:pStyle w:val="TableHeading"/>
              <w:spacing w:before="0" w:after="0" w:line="240" w:lineRule="auto"/>
            </w:pPr>
            <w:r w:rsidRPr="00E55EA7">
              <w:t>Superior</w:t>
            </w:r>
          </w:p>
        </w:tc>
      </w:tr>
      <w:tr w:rsidR="000939E0" w:rsidRPr="00E55EA7" w14:paraId="1E111DC3"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04A362E2" w14:textId="77777777" w:rsidR="000939E0" w:rsidRPr="00E55EA7" w:rsidRDefault="000939E0" w:rsidP="00E55EA7">
            <w:pPr>
              <w:pStyle w:val="Tabletext0"/>
              <w:spacing w:before="0" w:after="0" w:line="240" w:lineRule="auto"/>
            </w:pPr>
            <w:r w:rsidRPr="00E55EA7">
              <w:t>Inferior</w:t>
            </w:r>
          </w:p>
        </w:tc>
        <w:tc>
          <w:tcPr>
            <w:tcW w:w="1905" w:type="dxa"/>
            <w:tcBorders>
              <w:top w:val="single" w:sz="4" w:space="0" w:color="auto"/>
              <w:left w:val="single" w:sz="4" w:space="0" w:color="auto"/>
              <w:bottom w:val="single" w:sz="4" w:space="0" w:color="auto"/>
              <w:right w:val="single" w:sz="4" w:space="0" w:color="auto"/>
            </w:tcBorders>
            <w:vAlign w:val="center"/>
          </w:tcPr>
          <w:p w14:paraId="0B15352C" w14:textId="77777777" w:rsidR="000939E0" w:rsidRPr="00E55EA7" w:rsidRDefault="000939E0" w:rsidP="00E55EA7">
            <w:pPr>
              <w:pStyle w:val="Tabletext0"/>
              <w:spacing w:before="0" w:after="0" w:line="240" w:lineRule="auto"/>
            </w:pPr>
            <w:r w:rsidRPr="00E55EA7">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7A58DE2" w14:textId="77777777" w:rsidR="000939E0" w:rsidRPr="00E55EA7" w:rsidRDefault="000939E0" w:rsidP="00E55EA7">
            <w:pPr>
              <w:pStyle w:val="Tabletext0"/>
              <w:spacing w:before="0" w:after="0" w:line="240" w:lineRule="auto"/>
            </w:pPr>
            <w:r w:rsidRPr="00E55EA7">
              <w:t>Health forgone possible: need other supportive factors</w:t>
            </w:r>
          </w:p>
        </w:tc>
        <w:tc>
          <w:tcPr>
            <w:tcW w:w="1748" w:type="dxa"/>
            <w:tcBorders>
              <w:top w:val="single" w:sz="4" w:space="0" w:color="auto"/>
              <w:left w:val="single" w:sz="4" w:space="0" w:color="auto"/>
              <w:bottom w:val="single" w:sz="4" w:space="0" w:color="auto"/>
              <w:right w:val="single" w:sz="4" w:space="0" w:color="auto"/>
            </w:tcBorders>
            <w:vAlign w:val="center"/>
          </w:tcPr>
          <w:p w14:paraId="3540FA15" w14:textId="77777777" w:rsidR="000939E0" w:rsidRPr="00E55EA7" w:rsidRDefault="000939E0" w:rsidP="00E55EA7">
            <w:pPr>
              <w:pStyle w:val="Tabletext0"/>
              <w:spacing w:before="0" w:after="0" w:line="240" w:lineRule="auto"/>
            </w:pPr>
            <w:r w:rsidRPr="00E55EA7">
              <w:t>Health forgone: need other supportive factors</w:t>
            </w:r>
          </w:p>
        </w:tc>
        <w:tc>
          <w:tcPr>
            <w:tcW w:w="1434" w:type="dxa"/>
            <w:tcBorders>
              <w:top w:val="single" w:sz="4" w:space="0" w:color="auto"/>
              <w:left w:val="single" w:sz="4" w:space="0" w:color="auto"/>
              <w:bottom w:val="single" w:sz="4" w:space="0" w:color="auto"/>
              <w:right w:val="single" w:sz="4" w:space="0" w:color="auto"/>
            </w:tcBorders>
            <w:vAlign w:val="center"/>
          </w:tcPr>
          <w:p w14:paraId="18C6CF73" w14:textId="77777777" w:rsidR="000939E0" w:rsidRPr="00E55EA7" w:rsidRDefault="000939E0" w:rsidP="00E55EA7">
            <w:pPr>
              <w:pStyle w:val="Tabletext0"/>
              <w:spacing w:before="0" w:after="0" w:line="240" w:lineRule="auto"/>
            </w:pPr>
            <w:r w:rsidRPr="00E55EA7">
              <w:t>? Likely CUA</w:t>
            </w:r>
          </w:p>
        </w:tc>
      </w:tr>
      <w:tr w:rsidR="000939E0" w:rsidRPr="00E55EA7" w14:paraId="463C2753"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11AF710C" w14:textId="77777777" w:rsidR="000939E0" w:rsidRPr="00E55EA7" w:rsidRDefault="000939E0" w:rsidP="00E55EA7">
            <w:pPr>
              <w:pStyle w:val="Tabletext0"/>
              <w:spacing w:before="0" w:after="0" w:line="240" w:lineRule="auto"/>
            </w:pPr>
            <w:proofErr w:type="spellStart"/>
            <w:r w:rsidRPr="00E55EA7">
              <w:t>Uncertain</w:t>
            </w:r>
            <w:r w:rsidRPr="00E55EA7">
              <w:rPr>
                <w:vertAlign w:val="superscript"/>
              </w:rPr>
              <w:t>a</w:t>
            </w:r>
            <w:proofErr w:type="spellEnd"/>
          </w:p>
        </w:tc>
        <w:tc>
          <w:tcPr>
            <w:tcW w:w="1905" w:type="dxa"/>
            <w:tcBorders>
              <w:top w:val="single" w:sz="4" w:space="0" w:color="auto"/>
              <w:left w:val="single" w:sz="4" w:space="0" w:color="auto"/>
              <w:bottom w:val="single" w:sz="4" w:space="0" w:color="auto"/>
              <w:right w:val="single" w:sz="4" w:space="0" w:color="auto"/>
            </w:tcBorders>
            <w:vAlign w:val="center"/>
          </w:tcPr>
          <w:p w14:paraId="12909D79" w14:textId="77777777" w:rsidR="000939E0" w:rsidRPr="00E55EA7" w:rsidRDefault="000939E0" w:rsidP="00E55EA7">
            <w:pPr>
              <w:pStyle w:val="Tabletext0"/>
              <w:spacing w:before="0" w:after="0" w:line="240" w:lineRule="auto"/>
            </w:pPr>
            <w:r w:rsidRPr="00E55EA7">
              <w:t>Health forgone possible: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50F5E2B4" w14:textId="77777777" w:rsidR="000939E0" w:rsidRPr="00E55EA7" w:rsidRDefault="000939E0" w:rsidP="00E55EA7">
            <w:pPr>
              <w:pStyle w:val="Tabletext0"/>
              <w:spacing w:before="0" w:after="0" w:line="240" w:lineRule="auto"/>
            </w:pPr>
            <w:r w:rsidRPr="00E55EA7">
              <w:t>?</w:t>
            </w:r>
          </w:p>
        </w:tc>
        <w:tc>
          <w:tcPr>
            <w:tcW w:w="1748" w:type="dxa"/>
            <w:tcBorders>
              <w:top w:val="single" w:sz="4" w:space="0" w:color="auto"/>
              <w:left w:val="single" w:sz="4" w:space="0" w:color="auto"/>
              <w:bottom w:val="single" w:sz="4" w:space="0" w:color="auto"/>
              <w:right w:val="single" w:sz="4" w:space="0" w:color="auto"/>
            </w:tcBorders>
            <w:vAlign w:val="center"/>
          </w:tcPr>
          <w:p w14:paraId="0406F2A1" w14:textId="77777777" w:rsidR="000939E0" w:rsidRPr="00E55EA7" w:rsidRDefault="000939E0" w:rsidP="00E55EA7">
            <w:pPr>
              <w:pStyle w:val="Tabletext0"/>
              <w:spacing w:before="0" w:after="0" w:line="240" w:lineRule="auto"/>
            </w:pPr>
            <w:r w:rsidRPr="00E55EA7">
              <w:t>?</w:t>
            </w:r>
          </w:p>
        </w:tc>
        <w:tc>
          <w:tcPr>
            <w:tcW w:w="1434" w:type="dxa"/>
            <w:tcBorders>
              <w:top w:val="single" w:sz="4" w:space="0" w:color="auto"/>
              <w:left w:val="single" w:sz="4" w:space="0" w:color="auto"/>
              <w:bottom w:val="single" w:sz="4" w:space="0" w:color="auto"/>
              <w:right w:val="single" w:sz="4" w:space="0" w:color="auto"/>
            </w:tcBorders>
            <w:vAlign w:val="center"/>
          </w:tcPr>
          <w:p w14:paraId="1996B8CC" w14:textId="77777777" w:rsidR="000939E0" w:rsidRPr="00E55EA7" w:rsidRDefault="000939E0" w:rsidP="00E55EA7">
            <w:pPr>
              <w:pStyle w:val="Tabletext0"/>
              <w:spacing w:before="0" w:after="0" w:line="240" w:lineRule="auto"/>
            </w:pPr>
            <w:r w:rsidRPr="00E55EA7">
              <w:t>? Likely CEA/CUA</w:t>
            </w:r>
          </w:p>
        </w:tc>
      </w:tr>
      <w:tr w:rsidR="000939E0" w:rsidRPr="00E55EA7" w14:paraId="47335FF9"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0CBD845B" w14:textId="149CC18B" w:rsidR="000939E0" w:rsidRPr="00E55EA7" w:rsidRDefault="000939E0" w:rsidP="00E55EA7">
            <w:pPr>
              <w:pStyle w:val="Tabletext0"/>
              <w:spacing w:before="0" w:after="0" w:line="240" w:lineRule="auto"/>
            </w:pPr>
            <w:proofErr w:type="spellStart"/>
            <w:r w:rsidRPr="00E55EA7">
              <w:t>Noninferior</w:t>
            </w:r>
            <w:r w:rsidRPr="00E55EA7">
              <w:rPr>
                <w:vertAlign w:val="superscript"/>
              </w:rPr>
              <w:t>b</w:t>
            </w:r>
            <w:proofErr w:type="spellEnd"/>
          </w:p>
        </w:tc>
        <w:tc>
          <w:tcPr>
            <w:tcW w:w="1905" w:type="dxa"/>
            <w:tcBorders>
              <w:top w:val="single" w:sz="4" w:space="0" w:color="auto"/>
              <w:left w:val="single" w:sz="4" w:space="0" w:color="auto"/>
              <w:bottom w:val="single" w:sz="4" w:space="0" w:color="auto"/>
              <w:right w:val="single" w:sz="4" w:space="0" w:color="auto"/>
            </w:tcBorders>
            <w:vAlign w:val="center"/>
          </w:tcPr>
          <w:p w14:paraId="5D8B4B6F" w14:textId="77777777" w:rsidR="000939E0" w:rsidRPr="00E55EA7" w:rsidRDefault="000939E0" w:rsidP="00E55EA7">
            <w:pPr>
              <w:pStyle w:val="Tabletext0"/>
              <w:spacing w:before="0" w:after="0" w:line="240" w:lineRule="auto"/>
            </w:pPr>
            <w:r w:rsidRPr="00E55EA7">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3D9B9E4" w14:textId="77777777" w:rsidR="000939E0" w:rsidRPr="00E55EA7" w:rsidRDefault="000939E0" w:rsidP="00E55EA7">
            <w:pPr>
              <w:pStyle w:val="Tabletext0"/>
              <w:spacing w:before="0" w:after="0" w:line="240" w:lineRule="auto"/>
            </w:pPr>
            <w:r w:rsidRPr="00E55EA7">
              <w:t>?</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12BD2E22" w14:textId="77777777" w:rsidR="000939E0" w:rsidRPr="00E55EA7" w:rsidRDefault="000939E0" w:rsidP="00E55EA7">
            <w:pPr>
              <w:pStyle w:val="Tabletext0"/>
              <w:spacing w:before="0" w:after="0" w:line="240" w:lineRule="auto"/>
            </w:pPr>
            <w:r w:rsidRPr="00E55EA7">
              <w:t>CMA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7E9F7AB5" w14:textId="77777777" w:rsidR="000939E0" w:rsidRPr="00E55EA7" w:rsidRDefault="000939E0" w:rsidP="00E55EA7">
            <w:pPr>
              <w:pStyle w:val="Tabletext0"/>
              <w:spacing w:before="0" w:after="0" w:line="240" w:lineRule="auto"/>
            </w:pPr>
            <w:r w:rsidRPr="00E55EA7">
              <w:t>CEA/CUA</w:t>
            </w:r>
          </w:p>
        </w:tc>
      </w:tr>
      <w:tr w:rsidR="000939E0" w:rsidRPr="00E55EA7" w14:paraId="41AB5715" w14:textId="77777777" w:rsidTr="00F822F2">
        <w:trPr>
          <w:trHeight w:val="558"/>
        </w:trPr>
        <w:tc>
          <w:tcPr>
            <w:tcW w:w="2012" w:type="dxa"/>
            <w:tcBorders>
              <w:top w:val="single" w:sz="4" w:space="0" w:color="auto"/>
              <w:left w:val="single" w:sz="4" w:space="0" w:color="auto"/>
              <w:bottom w:val="single" w:sz="4" w:space="0" w:color="auto"/>
              <w:right w:val="single" w:sz="4" w:space="0" w:color="auto"/>
            </w:tcBorders>
            <w:vAlign w:val="center"/>
          </w:tcPr>
          <w:p w14:paraId="18F5B4CB" w14:textId="77777777" w:rsidR="000939E0" w:rsidRPr="00F822F2" w:rsidRDefault="000939E0" w:rsidP="00E55EA7">
            <w:pPr>
              <w:pStyle w:val="Tabletext0"/>
              <w:spacing w:before="0" w:after="0" w:line="240" w:lineRule="auto"/>
            </w:pPr>
            <w:r w:rsidRPr="00F822F2">
              <w:t>Superior</w:t>
            </w:r>
          </w:p>
        </w:tc>
        <w:tc>
          <w:tcPr>
            <w:tcW w:w="1905" w:type="dxa"/>
            <w:tcBorders>
              <w:top w:val="single" w:sz="4" w:space="0" w:color="auto"/>
              <w:left w:val="single" w:sz="4" w:space="0" w:color="auto"/>
              <w:bottom w:val="single" w:sz="4" w:space="0" w:color="auto"/>
              <w:right w:val="single" w:sz="4" w:space="0" w:color="auto"/>
            </w:tcBorders>
            <w:vAlign w:val="center"/>
          </w:tcPr>
          <w:p w14:paraId="2525815A" w14:textId="77777777" w:rsidR="000939E0" w:rsidRPr="00F822F2" w:rsidRDefault="000939E0" w:rsidP="00E55EA7">
            <w:pPr>
              <w:pStyle w:val="Tabletext0"/>
              <w:spacing w:before="0" w:after="0" w:line="240" w:lineRule="auto"/>
            </w:pPr>
            <w:r w:rsidRPr="00F822F2">
              <w:t>? Likely CUA</w:t>
            </w:r>
          </w:p>
        </w:tc>
        <w:tc>
          <w:tcPr>
            <w:tcW w:w="2227" w:type="dxa"/>
            <w:tcBorders>
              <w:top w:val="single" w:sz="4" w:space="0" w:color="auto"/>
              <w:left w:val="single" w:sz="4" w:space="0" w:color="auto"/>
              <w:bottom w:val="single" w:sz="4" w:space="0" w:color="auto"/>
              <w:right w:val="single" w:sz="4" w:space="0" w:color="auto"/>
            </w:tcBorders>
            <w:vAlign w:val="center"/>
          </w:tcPr>
          <w:p w14:paraId="2AE0169D" w14:textId="77777777" w:rsidR="000939E0" w:rsidRPr="00F822F2" w:rsidRDefault="000939E0" w:rsidP="00E55EA7">
            <w:pPr>
              <w:pStyle w:val="Tabletext0"/>
              <w:spacing w:before="0" w:after="0" w:line="240" w:lineRule="auto"/>
            </w:pPr>
            <w:r w:rsidRPr="00F822F2">
              <w:t>? Likely CEA/CUA</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71D0525C" w14:textId="77777777" w:rsidR="000939E0" w:rsidRPr="00F822F2" w:rsidRDefault="000939E0" w:rsidP="00E55EA7">
            <w:pPr>
              <w:pStyle w:val="Tabletext0"/>
              <w:spacing w:before="0" w:after="0" w:line="240" w:lineRule="auto"/>
            </w:pPr>
            <w:r w:rsidRPr="00F822F2">
              <w:t>CEA/CUA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5FF47EA5" w14:textId="77777777" w:rsidR="000939E0" w:rsidRPr="00F822F2" w:rsidRDefault="000939E0" w:rsidP="00E55EA7">
            <w:pPr>
              <w:pStyle w:val="Tabletext0"/>
              <w:spacing w:before="0" w:after="0" w:line="240" w:lineRule="auto"/>
            </w:pPr>
            <w:r w:rsidRPr="00F822F2">
              <w:t>CEA/CUA</w:t>
            </w:r>
          </w:p>
        </w:tc>
      </w:tr>
    </w:tbl>
    <w:p w14:paraId="6538A3FB" w14:textId="77777777" w:rsidR="000939E0" w:rsidRPr="00E55EA7" w:rsidRDefault="000939E0" w:rsidP="00E55EA7">
      <w:pPr>
        <w:pStyle w:val="Tablenotes"/>
        <w:spacing w:after="0" w:line="240" w:lineRule="auto"/>
        <w:rPr>
          <w:szCs w:val="18"/>
        </w:rPr>
      </w:pPr>
      <w:r w:rsidRPr="00E55EA7">
        <w:rPr>
          <w:szCs w:val="18"/>
        </w:rPr>
        <w:t>CEA=cost-effectiveness analysis; CMA=cost-minimisation analysis; CUA=cost-utility analysis</w:t>
      </w:r>
    </w:p>
    <w:p w14:paraId="48F7CED7" w14:textId="77777777" w:rsidR="000939E0" w:rsidRPr="00E55EA7" w:rsidRDefault="000939E0" w:rsidP="00E55EA7">
      <w:pPr>
        <w:pStyle w:val="Tablenotes"/>
        <w:spacing w:after="0" w:line="240" w:lineRule="auto"/>
        <w:rPr>
          <w:b/>
          <w:szCs w:val="18"/>
        </w:rPr>
      </w:pPr>
      <w:r w:rsidRPr="00E55EA7">
        <w:rPr>
          <w:szCs w:val="18"/>
        </w:rPr>
        <w:t xml:space="preserve">? = reflect uncertainties and any identified health trade-offs in the economic evaluation, as a minimum in a cost-consequences analysis </w:t>
      </w:r>
    </w:p>
    <w:p w14:paraId="65C6F534" w14:textId="77777777" w:rsidR="000939E0" w:rsidRPr="00E55EA7" w:rsidRDefault="000939E0" w:rsidP="00E55EA7">
      <w:pPr>
        <w:pStyle w:val="Tablenotes"/>
        <w:spacing w:after="0" w:line="240" w:lineRule="auto"/>
        <w:rPr>
          <w:b/>
          <w:szCs w:val="18"/>
        </w:rPr>
      </w:pPr>
      <w:r w:rsidRPr="00E55EA7">
        <w:rPr>
          <w:szCs w:val="18"/>
          <w:vertAlign w:val="superscript"/>
        </w:rPr>
        <w:t>a</w:t>
      </w:r>
      <w:r w:rsidRPr="00E55EA7">
        <w:rPr>
          <w:szCs w:val="18"/>
        </w:rPr>
        <w:t> ‘Uncertainty’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the comparative safety considerations</w:t>
      </w:r>
    </w:p>
    <w:p w14:paraId="1CB9C9B3" w14:textId="5CB9A3EC" w:rsidR="000939E0" w:rsidRPr="00E55EA7" w:rsidRDefault="000939E0" w:rsidP="00E55EA7">
      <w:pPr>
        <w:pStyle w:val="Tablenotes"/>
        <w:spacing w:after="0" w:line="240" w:lineRule="auto"/>
        <w:rPr>
          <w:szCs w:val="18"/>
        </w:rPr>
      </w:pPr>
      <w:r w:rsidRPr="00E55EA7">
        <w:rPr>
          <w:szCs w:val="18"/>
          <w:vertAlign w:val="superscript"/>
        </w:rPr>
        <w:t>b</w:t>
      </w:r>
      <w:r w:rsidRPr="00E55EA7">
        <w:rPr>
          <w:szCs w:val="18"/>
        </w:rPr>
        <w:t> An adequate assessment of ‘noninferiority’ is the preferred basis for demonstrating equivalence</w:t>
      </w:r>
    </w:p>
    <w:p w14:paraId="0D7CE993" w14:textId="1B2E7E56" w:rsidR="00C56B42" w:rsidRDefault="00D73332" w:rsidP="00E55EA7">
      <w:pPr>
        <w:pStyle w:val="Heading2"/>
      </w:pPr>
      <w:r w:rsidRPr="00DA79F1">
        <w:t>Propos</w:t>
      </w:r>
      <w:r w:rsidR="000D1FCF" w:rsidRPr="00DA79F1">
        <w:t>al for public funding</w:t>
      </w:r>
    </w:p>
    <w:p w14:paraId="7BA8355F" w14:textId="77777777" w:rsidR="004007B0" w:rsidRPr="005D2196" w:rsidRDefault="004007B0" w:rsidP="005D2196">
      <w:pPr>
        <w:pStyle w:val="Heading4"/>
        <w:spacing w:after="120"/>
        <w:rPr>
          <w:u w:val="single"/>
        </w:rPr>
      </w:pPr>
      <w:r w:rsidRPr="005D2196">
        <w:rPr>
          <w:u w:val="single"/>
        </w:rPr>
        <w:t>PICO Set 1</w:t>
      </w:r>
    </w:p>
    <w:p w14:paraId="35AE5185" w14:textId="0436147A" w:rsidR="002F3E40" w:rsidRDefault="00EF0817" w:rsidP="005D2196">
      <w:r w:rsidRPr="00DA79F1">
        <w:t>The applicant propose</w:t>
      </w:r>
      <w:r w:rsidR="00B431D4">
        <w:t>s</w:t>
      </w:r>
      <w:r w:rsidRPr="00DA79F1">
        <w:t xml:space="preserve"> public funding for abdominal MRI for patients with a confirmed clinical and/or molecular diagnosis of </w:t>
      </w:r>
      <w:r w:rsidR="004007B0">
        <w:t>those</w:t>
      </w:r>
      <w:r w:rsidRPr="00DA79F1">
        <w:t xml:space="preserve"> known to carry an increased risk of the development of renal tumours. </w:t>
      </w:r>
      <w:r w:rsidR="00C10695">
        <w:t xml:space="preserve">The item descriptor in the application was as follows: </w:t>
      </w:r>
    </w:p>
    <w:tbl>
      <w:tblPr>
        <w:tblStyle w:val="TableGrid"/>
        <w:tblW w:w="0" w:type="auto"/>
        <w:tblInd w:w="0" w:type="dxa"/>
        <w:tblLook w:val="04A0" w:firstRow="1" w:lastRow="0" w:firstColumn="1" w:lastColumn="0" w:noHBand="0" w:noVBand="1"/>
      </w:tblPr>
      <w:tblGrid>
        <w:gridCol w:w="9493"/>
      </w:tblGrid>
      <w:tr w:rsidR="002F3E40" w:rsidRPr="00E55EA7" w14:paraId="4034848D" w14:textId="03717463" w:rsidTr="00CC7D3E">
        <w:trPr>
          <w:cantSplit/>
          <w:tblHeader/>
        </w:trPr>
        <w:tc>
          <w:tcPr>
            <w:tcW w:w="9493" w:type="dxa"/>
            <w:tcBorders>
              <w:top w:val="single" w:sz="4" w:space="0" w:color="auto"/>
              <w:left w:val="single" w:sz="4" w:space="0" w:color="auto"/>
              <w:bottom w:val="single" w:sz="4" w:space="0" w:color="auto"/>
              <w:right w:val="single" w:sz="4" w:space="0" w:color="auto"/>
            </w:tcBorders>
            <w:hideMark/>
          </w:tcPr>
          <w:p w14:paraId="171FF631" w14:textId="3E8B5CBC" w:rsidR="002F3E40" w:rsidRPr="00E55EA7" w:rsidRDefault="002F3E40" w:rsidP="00E55EA7">
            <w:pPr>
              <w:spacing w:after="0"/>
              <w:rPr>
                <w:rFonts w:ascii="Arial Narrow" w:hAnsi="Arial Narrow"/>
                <w:sz w:val="20"/>
                <w:szCs w:val="20"/>
              </w:rPr>
            </w:pPr>
            <w:r w:rsidRPr="00E55EA7">
              <w:rPr>
                <w:rFonts w:ascii="Arial Narrow" w:hAnsi="Arial Narrow"/>
                <w:sz w:val="20"/>
                <w:szCs w:val="20"/>
              </w:rPr>
              <w:t xml:space="preserve">Category </w:t>
            </w:r>
            <w:r w:rsidR="000F35C7" w:rsidRPr="00E55EA7">
              <w:rPr>
                <w:rFonts w:ascii="Arial Narrow" w:hAnsi="Arial Narrow"/>
                <w:sz w:val="20"/>
                <w:szCs w:val="20"/>
              </w:rPr>
              <w:t>5</w:t>
            </w:r>
            <w:r w:rsidRPr="00E55EA7">
              <w:rPr>
                <w:rFonts w:ascii="Arial Narrow" w:hAnsi="Arial Narrow"/>
                <w:sz w:val="20"/>
                <w:szCs w:val="20"/>
              </w:rPr>
              <w:t xml:space="preserve">– </w:t>
            </w:r>
            <w:r w:rsidR="000F35C7" w:rsidRPr="00E55EA7">
              <w:rPr>
                <w:rFonts w:ascii="Arial Narrow" w:hAnsi="Arial Narrow"/>
                <w:sz w:val="20"/>
                <w:szCs w:val="20"/>
              </w:rPr>
              <w:t>Diagnostic Imaging Services</w:t>
            </w:r>
          </w:p>
        </w:tc>
      </w:tr>
      <w:tr w:rsidR="002F3E40" w:rsidRPr="00E55EA7" w14:paraId="028C0CFB" w14:textId="5961A86E" w:rsidTr="00CC7D3E">
        <w:trPr>
          <w:cantSplit/>
          <w:tblHeader/>
        </w:trPr>
        <w:tc>
          <w:tcPr>
            <w:tcW w:w="9493" w:type="dxa"/>
            <w:tcBorders>
              <w:top w:val="single" w:sz="4" w:space="0" w:color="auto"/>
              <w:left w:val="single" w:sz="4" w:space="0" w:color="auto"/>
              <w:bottom w:val="single" w:sz="4" w:space="0" w:color="auto"/>
              <w:right w:val="single" w:sz="4" w:space="0" w:color="auto"/>
            </w:tcBorders>
          </w:tcPr>
          <w:p w14:paraId="7B6862DD" w14:textId="10293C53" w:rsidR="0099548A" w:rsidRPr="00E55EA7" w:rsidRDefault="0099548A" w:rsidP="00E55EA7">
            <w:pPr>
              <w:spacing w:after="0" w:line="240" w:lineRule="auto"/>
              <w:rPr>
                <w:rFonts w:ascii="Arial Narrow" w:hAnsi="Arial Narrow"/>
                <w:sz w:val="20"/>
                <w:szCs w:val="20"/>
              </w:rPr>
            </w:pPr>
            <w:r w:rsidRPr="00E55EA7">
              <w:rPr>
                <w:rFonts w:ascii="Arial Narrow" w:hAnsi="Arial Narrow"/>
                <w:sz w:val="20"/>
                <w:szCs w:val="20"/>
              </w:rPr>
              <w:t xml:space="preserve">Magnetic Resonance Imaging using gadolinium-based contrast performed under the professional supervision of an eligible provider at an eligible location where the patient is referred by a specialist (nephrologist or geneticist) or consultant physician scan of abdomen for patients aged under 85 years with a confirmed clinical and/or molecular diagnosis of a condition known to carry an increased risk of the development of renal tumours. Conditions include tuberous sclerosis complex, </w:t>
            </w:r>
            <w:proofErr w:type="spellStart"/>
            <w:r w:rsidRPr="00E55EA7">
              <w:rPr>
                <w:rFonts w:ascii="Arial Narrow" w:hAnsi="Arial Narrow"/>
                <w:sz w:val="20"/>
                <w:szCs w:val="20"/>
              </w:rPr>
              <w:t>Birt</w:t>
            </w:r>
            <w:proofErr w:type="spellEnd"/>
            <w:r w:rsidRPr="00E55EA7">
              <w:rPr>
                <w:rFonts w:ascii="Arial Narrow" w:hAnsi="Arial Narrow"/>
                <w:sz w:val="20"/>
                <w:szCs w:val="20"/>
              </w:rPr>
              <w:t xml:space="preserve">-Hogg-Dube syndrome, Von Hippel Lindau syndrome, HLRCC, Cowden syndrome, </w:t>
            </w:r>
            <w:r w:rsidRPr="00E55EA7">
              <w:rPr>
                <w:rFonts w:ascii="Arial Narrow" w:hAnsi="Arial Narrow"/>
                <w:i/>
                <w:sz w:val="20"/>
                <w:szCs w:val="20"/>
              </w:rPr>
              <w:t>BAP1</w:t>
            </w:r>
            <w:r w:rsidRPr="00E55EA7">
              <w:rPr>
                <w:rFonts w:ascii="Arial Narrow" w:hAnsi="Arial Narrow"/>
                <w:sz w:val="20"/>
                <w:szCs w:val="20"/>
              </w:rPr>
              <w:t>-associated cancer syndrome and paraganglioma and other rare genetic disorders associated with increased risk of the development of renal tumours;</w:t>
            </w:r>
          </w:p>
          <w:p w14:paraId="6EA5C167" w14:textId="15B45330" w:rsidR="0099548A" w:rsidRPr="00E55EA7" w:rsidRDefault="0099548A" w:rsidP="00E55EA7">
            <w:pPr>
              <w:spacing w:after="0" w:line="240" w:lineRule="auto"/>
              <w:rPr>
                <w:rFonts w:ascii="Arial Narrow" w:hAnsi="Arial Narrow"/>
                <w:sz w:val="20"/>
                <w:szCs w:val="20"/>
              </w:rPr>
            </w:pPr>
            <w:r w:rsidRPr="00E55EA7">
              <w:rPr>
                <w:rFonts w:ascii="Arial Narrow" w:hAnsi="Arial Narrow"/>
                <w:sz w:val="20"/>
                <w:szCs w:val="20"/>
              </w:rPr>
              <w:t>And</w:t>
            </w:r>
          </w:p>
          <w:p w14:paraId="5379CBCB" w14:textId="7E713DED" w:rsidR="002F3E40" w:rsidRPr="00E55EA7" w:rsidRDefault="0099548A" w:rsidP="00E55EA7">
            <w:pPr>
              <w:spacing w:after="0" w:line="240" w:lineRule="auto"/>
              <w:rPr>
                <w:rFonts w:ascii="Arial Narrow" w:hAnsi="Arial Narrow"/>
                <w:sz w:val="20"/>
                <w:szCs w:val="20"/>
              </w:rPr>
            </w:pPr>
            <w:r w:rsidRPr="00E55EA7">
              <w:rPr>
                <w:rFonts w:ascii="Arial Narrow" w:hAnsi="Arial Narrow"/>
                <w:sz w:val="20"/>
                <w:szCs w:val="20"/>
              </w:rPr>
              <w:t xml:space="preserve">Maximum of once per year </w:t>
            </w:r>
          </w:p>
        </w:tc>
      </w:tr>
      <w:tr w:rsidR="00D2670B" w:rsidRPr="00E55EA7" w14:paraId="4130676A" w14:textId="3969103C" w:rsidTr="00CC7D3E">
        <w:trPr>
          <w:cantSplit/>
          <w:tblHeader/>
        </w:trPr>
        <w:tc>
          <w:tcPr>
            <w:tcW w:w="9493" w:type="dxa"/>
            <w:tcBorders>
              <w:top w:val="single" w:sz="4" w:space="0" w:color="auto"/>
              <w:left w:val="single" w:sz="4" w:space="0" w:color="auto"/>
              <w:bottom w:val="single" w:sz="4" w:space="0" w:color="auto"/>
              <w:right w:val="single" w:sz="4" w:space="0" w:color="auto"/>
            </w:tcBorders>
            <w:vAlign w:val="center"/>
          </w:tcPr>
          <w:p w14:paraId="56A2DE20" w14:textId="66FAAA6D" w:rsidR="00D2670B" w:rsidRPr="00E55EA7" w:rsidRDefault="0099548A" w:rsidP="00E55EA7">
            <w:pPr>
              <w:spacing w:after="0" w:line="240" w:lineRule="auto"/>
              <w:rPr>
                <w:rFonts w:ascii="Arial Narrow" w:hAnsi="Arial Narrow"/>
                <w:sz w:val="20"/>
                <w:szCs w:val="20"/>
              </w:rPr>
            </w:pPr>
            <w:r w:rsidRPr="00E55EA7">
              <w:rPr>
                <w:rFonts w:ascii="Arial Narrow" w:hAnsi="Arial Narrow"/>
                <w:sz w:val="20"/>
                <w:szCs w:val="20"/>
              </w:rPr>
              <w:t>Fee:  $450 (MRI) and $120</w:t>
            </w:r>
            <w:r w:rsidR="00B431D4" w:rsidRPr="00E55EA7">
              <w:rPr>
                <w:rFonts w:ascii="Arial Narrow" w:hAnsi="Arial Narrow"/>
                <w:sz w:val="20"/>
                <w:szCs w:val="20"/>
              </w:rPr>
              <w:t xml:space="preserve"> </w:t>
            </w:r>
            <w:r w:rsidRPr="00E55EA7">
              <w:rPr>
                <w:rFonts w:ascii="Arial Narrow" w:hAnsi="Arial Narrow"/>
                <w:sz w:val="20"/>
                <w:szCs w:val="20"/>
              </w:rPr>
              <w:t>(contrast agent)</w:t>
            </w:r>
          </w:p>
        </w:tc>
      </w:tr>
    </w:tbl>
    <w:p w14:paraId="25982B7E" w14:textId="77777777" w:rsidR="00594BA8" w:rsidRDefault="00594BA8" w:rsidP="00E55EA7">
      <w:pPr>
        <w:spacing w:line="240" w:lineRule="auto"/>
      </w:pPr>
    </w:p>
    <w:p w14:paraId="00CA45E0" w14:textId="59C9372C" w:rsidR="00A84FB1" w:rsidRDefault="00C10695" w:rsidP="00E55EA7">
      <w:pPr>
        <w:spacing w:line="240" w:lineRule="auto"/>
      </w:pPr>
      <w:r>
        <w:t>Suggested amendments to the item descriptor are proposed as follows:</w:t>
      </w:r>
    </w:p>
    <w:tbl>
      <w:tblPr>
        <w:tblStyle w:val="TableGrid"/>
        <w:tblW w:w="0" w:type="auto"/>
        <w:tblInd w:w="0" w:type="dxa"/>
        <w:tblLook w:val="04A0" w:firstRow="1" w:lastRow="0" w:firstColumn="1" w:lastColumn="0" w:noHBand="0" w:noVBand="1"/>
      </w:tblPr>
      <w:tblGrid>
        <w:gridCol w:w="9514"/>
      </w:tblGrid>
      <w:tr w:rsidR="00A84FB1" w:rsidRPr="00E55EA7" w14:paraId="7422BA3F" w14:textId="77777777" w:rsidTr="00EC13CD">
        <w:tc>
          <w:tcPr>
            <w:tcW w:w="9514" w:type="dxa"/>
          </w:tcPr>
          <w:p w14:paraId="7176C2F9" w14:textId="77777777" w:rsidR="00A84FB1" w:rsidRPr="00E55EA7" w:rsidRDefault="00A84FB1" w:rsidP="00E55EA7">
            <w:pPr>
              <w:spacing w:after="0" w:line="240" w:lineRule="auto"/>
              <w:rPr>
                <w:rFonts w:ascii="Arial Narrow" w:hAnsi="Arial Narrow"/>
                <w:sz w:val="20"/>
                <w:szCs w:val="20"/>
              </w:rPr>
            </w:pPr>
            <w:r w:rsidRPr="00E55EA7">
              <w:rPr>
                <w:rFonts w:ascii="Arial Narrow" w:hAnsi="Arial Narrow"/>
                <w:sz w:val="20"/>
                <w:szCs w:val="20"/>
              </w:rPr>
              <w:t>Category 5 – Diagnostic Imaging Services</w:t>
            </w:r>
          </w:p>
        </w:tc>
      </w:tr>
      <w:tr w:rsidR="00A84FB1" w:rsidRPr="00E55EA7" w14:paraId="68702AC3" w14:textId="77777777" w:rsidTr="00EC13CD">
        <w:tc>
          <w:tcPr>
            <w:tcW w:w="9514" w:type="dxa"/>
          </w:tcPr>
          <w:p w14:paraId="73500363" w14:textId="10ABBE8F" w:rsidR="00A84FB1" w:rsidRPr="00E55EA7" w:rsidRDefault="00A84FB1" w:rsidP="00E55EA7">
            <w:pPr>
              <w:spacing w:after="0" w:line="240" w:lineRule="auto"/>
              <w:rPr>
                <w:rFonts w:ascii="Arial Narrow" w:hAnsi="Arial Narrow"/>
                <w:sz w:val="20"/>
                <w:szCs w:val="20"/>
              </w:rPr>
            </w:pPr>
            <w:r w:rsidRPr="00E55EA7">
              <w:rPr>
                <w:rFonts w:ascii="Arial Narrow" w:hAnsi="Arial Narrow"/>
                <w:sz w:val="20"/>
                <w:szCs w:val="20"/>
              </w:rPr>
              <w:t xml:space="preserve">MRI – scan of the abdomen, to assess the development </w:t>
            </w:r>
            <w:r w:rsidR="00C47066">
              <w:rPr>
                <w:rFonts w:ascii="Arial Narrow" w:hAnsi="Arial Narrow"/>
                <w:sz w:val="20"/>
                <w:szCs w:val="20"/>
              </w:rPr>
              <w:t xml:space="preserve">and/or growth </w:t>
            </w:r>
            <w:r w:rsidRPr="00E55EA7">
              <w:rPr>
                <w:rFonts w:ascii="Arial Narrow" w:hAnsi="Arial Narrow"/>
                <w:sz w:val="20"/>
                <w:szCs w:val="20"/>
              </w:rPr>
              <w:t>of renal tumours in patients with a confirmed clinical and/or molecular diagnosis of one of the following conditions:</w:t>
            </w:r>
          </w:p>
          <w:p w14:paraId="6D7AF9B4" w14:textId="1019A86A" w:rsidR="00C10695" w:rsidRPr="00E55EA7" w:rsidRDefault="00A84FB1" w:rsidP="00AA4DCC">
            <w:pPr>
              <w:pStyle w:val="ListParagraph"/>
              <w:numPr>
                <w:ilvl w:val="0"/>
                <w:numId w:val="27"/>
              </w:numPr>
              <w:spacing w:after="0" w:line="240" w:lineRule="auto"/>
              <w:rPr>
                <w:rFonts w:ascii="Arial Narrow" w:hAnsi="Arial Narrow"/>
                <w:sz w:val="20"/>
                <w:szCs w:val="20"/>
              </w:rPr>
            </w:pPr>
            <w:r w:rsidRPr="00E55EA7">
              <w:rPr>
                <w:rFonts w:ascii="Arial Narrow" w:hAnsi="Arial Narrow"/>
                <w:sz w:val="20"/>
                <w:szCs w:val="20"/>
              </w:rPr>
              <w:t>Tuberous sclerosis complex</w:t>
            </w:r>
          </w:p>
          <w:p w14:paraId="2C82791F" w14:textId="6837ED89" w:rsidR="00C10695" w:rsidRPr="00E55EA7" w:rsidRDefault="00A84FB1" w:rsidP="00AA4DCC">
            <w:pPr>
              <w:pStyle w:val="ListParagraph"/>
              <w:numPr>
                <w:ilvl w:val="0"/>
                <w:numId w:val="27"/>
              </w:numPr>
              <w:spacing w:after="0" w:line="240" w:lineRule="auto"/>
              <w:rPr>
                <w:rFonts w:ascii="Arial Narrow" w:hAnsi="Arial Narrow"/>
                <w:sz w:val="20"/>
                <w:szCs w:val="20"/>
              </w:rPr>
            </w:pPr>
            <w:r w:rsidRPr="00E55EA7">
              <w:rPr>
                <w:rFonts w:ascii="Arial Narrow" w:hAnsi="Arial Narrow"/>
                <w:sz w:val="20"/>
                <w:szCs w:val="20"/>
              </w:rPr>
              <w:t>Von Hippel Lindau syndrome</w:t>
            </w:r>
          </w:p>
          <w:p w14:paraId="5CED1D8E" w14:textId="44A0943D" w:rsidR="00C10695" w:rsidRPr="00E55EA7" w:rsidRDefault="00A84FB1" w:rsidP="00AA4DCC">
            <w:pPr>
              <w:pStyle w:val="ListParagraph"/>
              <w:numPr>
                <w:ilvl w:val="0"/>
                <w:numId w:val="27"/>
              </w:numPr>
              <w:spacing w:after="0" w:line="240" w:lineRule="auto"/>
              <w:rPr>
                <w:rFonts w:ascii="Arial Narrow" w:hAnsi="Arial Narrow"/>
                <w:sz w:val="20"/>
                <w:szCs w:val="20"/>
              </w:rPr>
            </w:pPr>
            <w:proofErr w:type="spellStart"/>
            <w:r w:rsidRPr="00E55EA7">
              <w:rPr>
                <w:rFonts w:ascii="Arial Narrow" w:hAnsi="Arial Narrow"/>
                <w:sz w:val="20"/>
                <w:szCs w:val="20"/>
              </w:rPr>
              <w:t>Birt</w:t>
            </w:r>
            <w:proofErr w:type="spellEnd"/>
            <w:r w:rsidRPr="00E55EA7">
              <w:rPr>
                <w:rFonts w:ascii="Arial Narrow" w:hAnsi="Arial Narrow"/>
                <w:sz w:val="20"/>
                <w:szCs w:val="20"/>
              </w:rPr>
              <w:t>-Hogg-Dube syndrome</w:t>
            </w:r>
          </w:p>
          <w:p w14:paraId="14A40BCC" w14:textId="5F63AF1E" w:rsidR="00C10695" w:rsidRPr="00E55EA7" w:rsidRDefault="00A84FB1" w:rsidP="00AA4DCC">
            <w:pPr>
              <w:pStyle w:val="ListParagraph"/>
              <w:numPr>
                <w:ilvl w:val="0"/>
                <w:numId w:val="27"/>
              </w:numPr>
              <w:spacing w:after="0" w:line="240" w:lineRule="auto"/>
              <w:rPr>
                <w:rFonts w:ascii="Arial Narrow" w:hAnsi="Arial Narrow"/>
                <w:sz w:val="20"/>
                <w:szCs w:val="20"/>
              </w:rPr>
            </w:pPr>
            <w:r w:rsidRPr="00E55EA7">
              <w:rPr>
                <w:rFonts w:ascii="Arial Narrow" w:hAnsi="Arial Narrow"/>
                <w:sz w:val="20"/>
                <w:szCs w:val="20"/>
              </w:rPr>
              <w:t xml:space="preserve">Hereditary </w:t>
            </w:r>
            <w:proofErr w:type="spellStart"/>
            <w:r w:rsidRPr="00E55EA7">
              <w:rPr>
                <w:rFonts w:ascii="Arial Narrow" w:hAnsi="Arial Narrow"/>
                <w:sz w:val="20"/>
                <w:szCs w:val="20"/>
              </w:rPr>
              <w:t>leiomyomatosis</w:t>
            </w:r>
            <w:proofErr w:type="spellEnd"/>
            <w:r w:rsidRPr="00E55EA7">
              <w:rPr>
                <w:rFonts w:ascii="Arial Narrow" w:hAnsi="Arial Narrow"/>
                <w:sz w:val="20"/>
                <w:szCs w:val="20"/>
              </w:rPr>
              <w:t xml:space="preserve"> and renal cell carcinoma (HLRCC)</w:t>
            </w:r>
          </w:p>
          <w:p w14:paraId="4358DBC3" w14:textId="0E41EC44" w:rsidR="008A6342" w:rsidRPr="00E55EA7" w:rsidRDefault="00A84FB1" w:rsidP="00AA4DCC">
            <w:pPr>
              <w:pStyle w:val="ListParagraph"/>
              <w:numPr>
                <w:ilvl w:val="0"/>
                <w:numId w:val="27"/>
              </w:numPr>
              <w:spacing w:after="0" w:line="240" w:lineRule="auto"/>
              <w:rPr>
                <w:rFonts w:ascii="Arial Narrow" w:hAnsi="Arial Narrow"/>
                <w:sz w:val="20"/>
                <w:szCs w:val="20"/>
              </w:rPr>
            </w:pPr>
            <w:r w:rsidRPr="00E55EA7">
              <w:rPr>
                <w:rFonts w:ascii="Arial Narrow" w:hAnsi="Arial Narrow"/>
                <w:sz w:val="20"/>
                <w:szCs w:val="20"/>
              </w:rPr>
              <w:t>Cowden syndrome</w:t>
            </w:r>
            <w:r w:rsidR="00EA30E9" w:rsidRPr="00E55EA7">
              <w:rPr>
                <w:rFonts w:ascii="Arial Narrow" w:hAnsi="Arial Narrow"/>
                <w:sz w:val="20"/>
                <w:szCs w:val="20"/>
              </w:rPr>
              <w:t xml:space="preserve"> (</w:t>
            </w:r>
            <w:r w:rsidR="00EA30E9" w:rsidRPr="00E55EA7">
              <w:rPr>
                <w:rFonts w:ascii="Arial Narrow" w:hAnsi="Arial Narrow"/>
                <w:i/>
                <w:sz w:val="20"/>
                <w:szCs w:val="20"/>
              </w:rPr>
              <w:t>PTEN</w:t>
            </w:r>
            <w:r w:rsidR="00EA30E9" w:rsidRPr="00E55EA7">
              <w:rPr>
                <w:rFonts w:ascii="Arial Narrow" w:hAnsi="Arial Narrow"/>
                <w:sz w:val="20"/>
                <w:szCs w:val="20"/>
              </w:rPr>
              <w:t xml:space="preserve"> Hamartoma Tumour Syndrome spectrum)</w:t>
            </w:r>
          </w:p>
          <w:p w14:paraId="22F839E0" w14:textId="77777777" w:rsidR="00C10695" w:rsidRPr="00E55EA7" w:rsidRDefault="00A84FB1" w:rsidP="00AA4DCC">
            <w:pPr>
              <w:pStyle w:val="ListParagraph"/>
              <w:numPr>
                <w:ilvl w:val="0"/>
                <w:numId w:val="27"/>
              </w:numPr>
              <w:spacing w:after="0" w:line="240" w:lineRule="auto"/>
              <w:rPr>
                <w:rFonts w:ascii="Arial Narrow" w:hAnsi="Arial Narrow"/>
                <w:sz w:val="20"/>
                <w:szCs w:val="20"/>
              </w:rPr>
            </w:pPr>
            <w:r w:rsidRPr="00E55EA7">
              <w:rPr>
                <w:rFonts w:ascii="Arial Narrow" w:hAnsi="Arial Narrow"/>
                <w:i/>
                <w:sz w:val="20"/>
                <w:szCs w:val="20"/>
              </w:rPr>
              <w:t>BAP1</w:t>
            </w:r>
            <w:r w:rsidRPr="00E55EA7">
              <w:rPr>
                <w:rFonts w:ascii="Arial Narrow" w:hAnsi="Arial Narrow"/>
                <w:sz w:val="20"/>
                <w:szCs w:val="20"/>
              </w:rPr>
              <w:t>-associated cancer syndrome</w:t>
            </w:r>
          </w:p>
          <w:p w14:paraId="35E932D2" w14:textId="7D52B850" w:rsidR="00EA30E9" w:rsidRPr="00E55EA7" w:rsidRDefault="00EA30E9" w:rsidP="00AA4DCC">
            <w:pPr>
              <w:pStyle w:val="ListParagraph"/>
              <w:numPr>
                <w:ilvl w:val="0"/>
                <w:numId w:val="27"/>
              </w:numPr>
              <w:spacing w:after="0" w:line="240" w:lineRule="auto"/>
              <w:rPr>
                <w:rFonts w:ascii="Arial Narrow" w:hAnsi="Arial Narrow"/>
                <w:sz w:val="20"/>
                <w:szCs w:val="20"/>
              </w:rPr>
            </w:pPr>
            <w:r w:rsidRPr="00E55EA7">
              <w:rPr>
                <w:rFonts w:ascii="Arial Narrow" w:hAnsi="Arial Narrow"/>
                <w:i/>
                <w:sz w:val="20"/>
                <w:szCs w:val="20"/>
              </w:rPr>
              <w:t>SDH</w:t>
            </w:r>
            <w:r w:rsidRPr="00E55EA7">
              <w:rPr>
                <w:rFonts w:ascii="Arial Narrow" w:hAnsi="Arial Narrow"/>
                <w:sz w:val="20"/>
                <w:szCs w:val="20"/>
              </w:rPr>
              <w:t xml:space="preserve"> associated renal cancer (risk for phaeochromocytoma and paraganglioma)</w:t>
            </w:r>
          </w:p>
          <w:p w14:paraId="283C13EE" w14:textId="49911281" w:rsidR="000C4F46" w:rsidRPr="00E55EA7" w:rsidRDefault="00EA30E9" w:rsidP="00AA4DCC">
            <w:pPr>
              <w:pStyle w:val="ListParagraph"/>
              <w:numPr>
                <w:ilvl w:val="0"/>
                <w:numId w:val="27"/>
              </w:numPr>
              <w:spacing w:after="0" w:line="240" w:lineRule="auto"/>
              <w:rPr>
                <w:rFonts w:ascii="Arial Narrow" w:hAnsi="Arial Narrow"/>
                <w:sz w:val="20"/>
                <w:szCs w:val="20"/>
              </w:rPr>
            </w:pPr>
            <w:r w:rsidRPr="00E55EA7">
              <w:rPr>
                <w:rFonts w:ascii="Arial Narrow" w:hAnsi="Arial Narrow"/>
                <w:sz w:val="20"/>
                <w:szCs w:val="20"/>
              </w:rPr>
              <w:t xml:space="preserve">Familial clear renal cell carcinoma with chromosome 3 translocation, </w:t>
            </w:r>
          </w:p>
          <w:p w14:paraId="306A07B6" w14:textId="0684B296" w:rsidR="00C10695" w:rsidRPr="00E55EA7" w:rsidRDefault="00C10695" w:rsidP="00E55EA7">
            <w:pPr>
              <w:spacing w:after="0" w:line="240" w:lineRule="auto"/>
              <w:rPr>
                <w:rFonts w:ascii="Arial Narrow" w:hAnsi="Arial Narrow"/>
                <w:sz w:val="20"/>
                <w:szCs w:val="20"/>
              </w:rPr>
            </w:pPr>
            <w:r w:rsidRPr="00E55EA7">
              <w:rPr>
                <w:rFonts w:ascii="Arial Narrow" w:hAnsi="Arial Narrow"/>
                <w:sz w:val="20"/>
                <w:szCs w:val="20"/>
              </w:rPr>
              <w:t>or</w:t>
            </w:r>
          </w:p>
          <w:p w14:paraId="06D3B0D8" w14:textId="0237C415" w:rsidR="00A84FB1" w:rsidRPr="00E55EA7" w:rsidRDefault="00A84FB1" w:rsidP="00E55EA7">
            <w:pPr>
              <w:spacing w:after="0" w:line="240" w:lineRule="auto"/>
              <w:rPr>
                <w:rFonts w:ascii="Arial Narrow" w:hAnsi="Arial Narrow"/>
                <w:sz w:val="20"/>
                <w:szCs w:val="20"/>
              </w:rPr>
            </w:pPr>
            <w:r w:rsidRPr="00E55EA7">
              <w:rPr>
                <w:rFonts w:ascii="Arial Narrow" w:hAnsi="Arial Narrow"/>
                <w:sz w:val="20"/>
                <w:szCs w:val="20"/>
              </w:rPr>
              <w:t>other rare genetic disorders associated with the increased risk of developing renal tumours.</w:t>
            </w:r>
          </w:p>
          <w:p w14:paraId="0234131B" w14:textId="77777777" w:rsidR="00A84FB1" w:rsidRPr="00E55EA7" w:rsidRDefault="00A84FB1" w:rsidP="00E55EA7">
            <w:pPr>
              <w:spacing w:after="0" w:line="240" w:lineRule="auto"/>
              <w:rPr>
                <w:rFonts w:ascii="Arial Narrow" w:hAnsi="Arial Narrow"/>
                <w:sz w:val="20"/>
                <w:szCs w:val="20"/>
              </w:rPr>
            </w:pPr>
          </w:p>
          <w:p w14:paraId="32626490" w14:textId="430BB0F4" w:rsidR="00A84FB1" w:rsidRPr="00E55EA7" w:rsidRDefault="000C4F46" w:rsidP="00E55EA7">
            <w:pPr>
              <w:spacing w:after="0" w:line="240" w:lineRule="auto"/>
              <w:rPr>
                <w:rFonts w:ascii="Arial Narrow" w:hAnsi="Arial Narrow"/>
                <w:i/>
                <w:sz w:val="20"/>
                <w:szCs w:val="20"/>
              </w:rPr>
            </w:pPr>
            <w:r w:rsidRPr="00E55EA7">
              <w:rPr>
                <w:rFonts w:ascii="Arial Narrow" w:hAnsi="Arial Narrow"/>
                <w:sz w:val="20"/>
                <w:szCs w:val="20"/>
              </w:rPr>
              <w:t xml:space="preserve">For any particular patient – applicable not more than once in a 12 month period. </w:t>
            </w:r>
            <w:r w:rsidR="00A84FB1" w:rsidRPr="00E55EA7">
              <w:rPr>
                <w:rFonts w:ascii="Arial Narrow" w:hAnsi="Arial Narrow"/>
                <w:i/>
                <w:sz w:val="20"/>
                <w:szCs w:val="20"/>
              </w:rPr>
              <w:t>(R) (</w:t>
            </w:r>
            <w:proofErr w:type="spellStart"/>
            <w:r w:rsidR="00A84FB1" w:rsidRPr="00E55EA7">
              <w:rPr>
                <w:rFonts w:ascii="Arial Narrow" w:hAnsi="Arial Narrow"/>
                <w:i/>
                <w:sz w:val="20"/>
                <w:szCs w:val="20"/>
              </w:rPr>
              <w:t>Anaes</w:t>
            </w:r>
            <w:proofErr w:type="spellEnd"/>
            <w:r w:rsidR="00A84FB1" w:rsidRPr="00E55EA7">
              <w:rPr>
                <w:rFonts w:ascii="Arial Narrow" w:hAnsi="Arial Narrow"/>
                <w:i/>
                <w:sz w:val="20"/>
                <w:szCs w:val="20"/>
              </w:rPr>
              <w:t>)</w:t>
            </w:r>
            <w:r w:rsidR="00F37279" w:rsidRPr="00E55EA7">
              <w:rPr>
                <w:rFonts w:ascii="Arial Narrow" w:hAnsi="Arial Narrow"/>
                <w:i/>
                <w:sz w:val="20"/>
                <w:szCs w:val="20"/>
              </w:rPr>
              <w:t xml:space="preserve"> (Contrast)</w:t>
            </w:r>
            <w:r w:rsidR="00A84FB1" w:rsidRPr="00E55EA7">
              <w:rPr>
                <w:rFonts w:ascii="Arial Narrow" w:hAnsi="Arial Narrow"/>
                <w:i/>
                <w:sz w:val="20"/>
                <w:szCs w:val="20"/>
              </w:rPr>
              <w:t xml:space="preserve"> </w:t>
            </w:r>
          </w:p>
          <w:p w14:paraId="61452C1D" w14:textId="77777777" w:rsidR="00A84228" w:rsidRPr="00E55EA7" w:rsidRDefault="00A84228" w:rsidP="00E55EA7">
            <w:pPr>
              <w:spacing w:after="0" w:line="240" w:lineRule="auto"/>
              <w:rPr>
                <w:rFonts w:ascii="Arial Narrow" w:hAnsi="Arial Narrow"/>
                <w:sz w:val="20"/>
                <w:szCs w:val="20"/>
              </w:rPr>
            </w:pPr>
          </w:p>
          <w:p w14:paraId="35BA4F7E" w14:textId="77777777" w:rsidR="00A84228" w:rsidRPr="00E55EA7" w:rsidRDefault="0069673F" w:rsidP="00E55EA7">
            <w:pPr>
              <w:spacing w:after="0" w:line="240" w:lineRule="auto"/>
              <w:rPr>
                <w:rFonts w:ascii="Arial Narrow" w:hAnsi="Arial Narrow"/>
                <w:sz w:val="20"/>
                <w:szCs w:val="20"/>
              </w:rPr>
            </w:pPr>
            <w:hyperlink r:id="rId17" w:history="1">
              <w:r w:rsidR="00A84228" w:rsidRPr="00E55EA7">
                <w:rPr>
                  <w:rStyle w:val="Hyperlink"/>
                  <w:rFonts w:ascii="Arial Narrow" w:hAnsi="Arial Narrow"/>
                  <w:sz w:val="20"/>
                  <w:szCs w:val="20"/>
                  <w:lang w:val="en-GB"/>
                </w:rPr>
                <w:t>Bulk bill incentive</w:t>
              </w:r>
            </w:hyperlink>
          </w:p>
          <w:p w14:paraId="47887162" w14:textId="77777777" w:rsidR="00A84228" w:rsidRPr="00E55EA7" w:rsidRDefault="00A84228" w:rsidP="00E55EA7">
            <w:pPr>
              <w:spacing w:after="0" w:line="240" w:lineRule="auto"/>
              <w:rPr>
                <w:rFonts w:ascii="Arial Narrow" w:hAnsi="Arial Narrow"/>
                <w:sz w:val="20"/>
                <w:szCs w:val="20"/>
                <w:lang w:val="en-GB"/>
              </w:rPr>
            </w:pPr>
          </w:p>
          <w:p w14:paraId="0FA9F1C9" w14:textId="77777777" w:rsidR="00A84228" w:rsidRPr="00E55EA7" w:rsidRDefault="00A84228" w:rsidP="00E55EA7">
            <w:pPr>
              <w:spacing w:after="0" w:line="240" w:lineRule="auto"/>
              <w:rPr>
                <w:rFonts w:ascii="Arial Narrow" w:hAnsi="Arial Narrow"/>
                <w:sz w:val="20"/>
                <w:szCs w:val="20"/>
                <w:lang w:val="en-GB"/>
              </w:rPr>
            </w:pPr>
            <w:r w:rsidRPr="00E55EA7">
              <w:rPr>
                <w:rFonts w:ascii="Arial Narrow" w:hAnsi="Arial Narrow"/>
                <w:b/>
                <w:bCs/>
                <w:sz w:val="20"/>
                <w:szCs w:val="20"/>
                <w:lang w:val="en-GB"/>
              </w:rPr>
              <w:t>Fee:</w:t>
            </w:r>
            <w:r w:rsidRPr="00E55EA7">
              <w:rPr>
                <w:rFonts w:ascii="Arial Narrow" w:hAnsi="Arial Narrow"/>
                <w:sz w:val="20"/>
                <w:szCs w:val="20"/>
                <w:lang w:val="en-GB"/>
              </w:rPr>
              <w:t> $450.00 </w:t>
            </w:r>
            <w:r w:rsidRPr="00E55EA7">
              <w:rPr>
                <w:rFonts w:ascii="Arial Narrow" w:hAnsi="Arial Narrow"/>
                <w:b/>
                <w:bCs/>
                <w:sz w:val="20"/>
                <w:szCs w:val="20"/>
                <w:lang w:val="en-GB"/>
              </w:rPr>
              <w:t>Benefit:</w:t>
            </w:r>
            <w:r w:rsidRPr="00E55EA7">
              <w:rPr>
                <w:rFonts w:ascii="Arial Narrow" w:hAnsi="Arial Narrow"/>
                <w:sz w:val="20"/>
                <w:szCs w:val="20"/>
                <w:lang w:val="en-GB"/>
              </w:rPr>
              <w:t> 75% = $337.50 85% = $382.50</w:t>
            </w:r>
          </w:p>
          <w:p w14:paraId="48A476D8" w14:textId="7AFB243B" w:rsidR="00C10695" w:rsidRPr="00E55EA7" w:rsidRDefault="00C10695" w:rsidP="00E55EA7">
            <w:pPr>
              <w:spacing w:after="0" w:line="240" w:lineRule="auto"/>
              <w:rPr>
                <w:rFonts w:ascii="Arial Narrow" w:hAnsi="Arial Narrow"/>
                <w:sz w:val="20"/>
                <w:szCs w:val="20"/>
                <w:lang w:val="en-GB"/>
              </w:rPr>
            </w:pPr>
          </w:p>
        </w:tc>
      </w:tr>
    </w:tbl>
    <w:p w14:paraId="10D47F93" w14:textId="1D7C41F0" w:rsidR="0036472D" w:rsidRDefault="0036472D" w:rsidP="00E55EA7">
      <w:pPr>
        <w:spacing w:before="360"/>
      </w:pPr>
      <w:r w:rsidRPr="00DA79F1">
        <w:t xml:space="preserve">As discussed in the ‘intervention section’ above, the applicant stressed the importance of assessing tumour growth in addition to tumour size in considering treatment options. Consequently, annual surveillance may require two separate abdominal MRI scans, </w:t>
      </w:r>
      <w:r w:rsidR="00B431D4">
        <w:t xml:space="preserve">three to six </w:t>
      </w:r>
      <w:r w:rsidRPr="00DA79F1">
        <w:t xml:space="preserve">months apart, for </w:t>
      </w:r>
      <w:r w:rsidR="00443DFF">
        <w:t xml:space="preserve">surveillance of </w:t>
      </w:r>
      <w:r w:rsidRPr="00DA79F1">
        <w:t xml:space="preserve">the </w:t>
      </w:r>
      <w:r w:rsidR="00443DFF">
        <w:t xml:space="preserve">change in </w:t>
      </w:r>
      <w:r w:rsidRPr="00DA79F1">
        <w:t xml:space="preserve">size of </w:t>
      </w:r>
      <w:r w:rsidR="00443DFF">
        <w:t xml:space="preserve">known </w:t>
      </w:r>
      <w:r w:rsidRPr="00DA79F1">
        <w:t xml:space="preserve">tumours as well as the </w:t>
      </w:r>
      <w:r w:rsidR="00443DFF">
        <w:t>development of new</w:t>
      </w:r>
      <w:r w:rsidRPr="00DA79F1">
        <w:t xml:space="preserve"> tumours. </w:t>
      </w:r>
      <w:r w:rsidR="000C4F46">
        <w:t>It is proposed that the</w:t>
      </w:r>
      <w:r w:rsidR="007F540A">
        <w:t xml:space="preserve"> surveillance item remain applicable once in a 12 month period, and the</w:t>
      </w:r>
      <w:r w:rsidR="000C4F46">
        <w:t xml:space="preserve"> response to treatment item also include </w:t>
      </w:r>
      <w:r w:rsidR="007F540A">
        <w:t xml:space="preserve">an evaluation of changes in clinical condition for these patients, no more than once in a three month period. </w:t>
      </w:r>
    </w:p>
    <w:p w14:paraId="3E90A3B5" w14:textId="3DADF812" w:rsidR="00A20CF9" w:rsidRDefault="00EF0817" w:rsidP="005D2196">
      <w:r w:rsidRPr="004007B0">
        <w:t xml:space="preserve">The proposed fee is slightly lower than </w:t>
      </w:r>
      <w:r w:rsidR="003957FC" w:rsidRPr="004007B0">
        <w:t>that of MBS listed MRI of the pelvis and abdomen for staging of cervical cancer (MBS Item</w:t>
      </w:r>
      <w:r w:rsidR="00A43DF1" w:rsidRPr="004007B0">
        <w:t xml:space="preserve"> </w:t>
      </w:r>
      <w:r w:rsidR="003957FC" w:rsidRPr="004007B0">
        <w:t xml:space="preserve">63473; Fee $627.20). The </w:t>
      </w:r>
      <w:r w:rsidR="00B431D4" w:rsidRPr="004007B0">
        <w:t>a</w:t>
      </w:r>
      <w:r w:rsidR="003957FC" w:rsidRPr="004007B0">
        <w:t>pplicant did not provide justification for the proposed fee.</w:t>
      </w:r>
    </w:p>
    <w:p w14:paraId="5592D684" w14:textId="132D7E26" w:rsidR="004007B0" w:rsidRPr="005D2196" w:rsidRDefault="004007B0" w:rsidP="005D2196">
      <w:pPr>
        <w:pStyle w:val="Heading4"/>
        <w:spacing w:after="120"/>
        <w:rPr>
          <w:u w:val="single"/>
        </w:rPr>
      </w:pPr>
      <w:r w:rsidRPr="005D2196">
        <w:rPr>
          <w:u w:val="single"/>
        </w:rPr>
        <w:t>PICO Set 2</w:t>
      </w:r>
    </w:p>
    <w:p w14:paraId="549A004A" w14:textId="53204EA7" w:rsidR="004007B0" w:rsidRDefault="004007B0" w:rsidP="005D2196">
      <w:pPr>
        <w:rPr>
          <w:b/>
          <w:bCs/>
        </w:rPr>
      </w:pPr>
      <w:r w:rsidRPr="00DA79F1">
        <w:t xml:space="preserve">The </w:t>
      </w:r>
      <w:r>
        <w:t>a</w:t>
      </w:r>
      <w:r w:rsidRPr="00DA79F1">
        <w:t xml:space="preserve">pplication initially proposed abdominal MRI </w:t>
      </w:r>
      <w:r w:rsidR="005941BB">
        <w:t>a</w:t>
      </w:r>
      <w:r w:rsidRPr="00DA79F1">
        <w:t xml:space="preserve">pproximately </w:t>
      </w:r>
      <w:r>
        <w:t>three to six</w:t>
      </w:r>
      <w:r w:rsidRPr="00DA79F1">
        <w:t xml:space="preserve"> months after disease specific therapeutic intervention is initiated to assess responsiveness (once per lifetime</w:t>
      </w:r>
      <w:r w:rsidRPr="005941BB">
        <w:t>)</w:t>
      </w:r>
      <w:r w:rsidR="005941BB" w:rsidRPr="005941BB">
        <w:t>.</w:t>
      </w:r>
      <w:r w:rsidR="005941BB">
        <w:t xml:space="preserve"> </w:t>
      </w:r>
      <w:r w:rsidR="00431AC7">
        <w:t xml:space="preserve">The item descriptor in the application was as follows: </w:t>
      </w:r>
    </w:p>
    <w:tbl>
      <w:tblPr>
        <w:tblStyle w:val="TableGrid"/>
        <w:tblW w:w="0" w:type="auto"/>
        <w:tblInd w:w="0" w:type="dxa"/>
        <w:tblLook w:val="04A0" w:firstRow="1" w:lastRow="0" w:firstColumn="1" w:lastColumn="0" w:noHBand="0" w:noVBand="1"/>
      </w:tblPr>
      <w:tblGrid>
        <w:gridCol w:w="9493"/>
      </w:tblGrid>
      <w:tr w:rsidR="004007B0" w:rsidRPr="00E55EA7" w14:paraId="1F171E5F" w14:textId="01DB2FE0" w:rsidTr="00CC7D3E">
        <w:trPr>
          <w:cantSplit/>
          <w:tblHeader/>
        </w:trPr>
        <w:tc>
          <w:tcPr>
            <w:tcW w:w="9493" w:type="dxa"/>
            <w:tcBorders>
              <w:top w:val="single" w:sz="4" w:space="0" w:color="auto"/>
              <w:left w:val="single" w:sz="4" w:space="0" w:color="auto"/>
              <w:bottom w:val="single" w:sz="4" w:space="0" w:color="auto"/>
              <w:right w:val="single" w:sz="4" w:space="0" w:color="auto"/>
            </w:tcBorders>
            <w:hideMark/>
          </w:tcPr>
          <w:p w14:paraId="3309EEB3" w14:textId="156C96A0" w:rsidR="004007B0" w:rsidRPr="00E55EA7" w:rsidRDefault="004007B0" w:rsidP="00E55EA7">
            <w:pPr>
              <w:spacing w:after="0" w:line="240" w:lineRule="auto"/>
              <w:rPr>
                <w:rFonts w:ascii="Arial Narrow" w:hAnsi="Arial Narrow"/>
                <w:sz w:val="20"/>
                <w:szCs w:val="20"/>
              </w:rPr>
            </w:pPr>
            <w:r w:rsidRPr="00E55EA7">
              <w:rPr>
                <w:rFonts w:ascii="Arial Narrow" w:hAnsi="Arial Narrow"/>
                <w:sz w:val="20"/>
                <w:szCs w:val="20"/>
              </w:rPr>
              <w:t>Category 5– Diagnostic Imaging Services</w:t>
            </w:r>
          </w:p>
        </w:tc>
      </w:tr>
      <w:tr w:rsidR="004007B0" w:rsidRPr="00E55EA7" w14:paraId="5E4C9DCC" w14:textId="2A2A37EE" w:rsidTr="00CC7D3E">
        <w:trPr>
          <w:cantSplit/>
          <w:tblHeader/>
        </w:trPr>
        <w:tc>
          <w:tcPr>
            <w:tcW w:w="9493" w:type="dxa"/>
            <w:tcBorders>
              <w:top w:val="single" w:sz="4" w:space="0" w:color="auto"/>
              <w:left w:val="single" w:sz="4" w:space="0" w:color="auto"/>
              <w:bottom w:val="single" w:sz="4" w:space="0" w:color="auto"/>
              <w:right w:val="single" w:sz="4" w:space="0" w:color="auto"/>
            </w:tcBorders>
          </w:tcPr>
          <w:p w14:paraId="54F4F814" w14:textId="42FA44BE" w:rsidR="004007B0" w:rsidRPr="00E55EA7" w:rsidRDefault="004007B0" w:rsidP="00E55EA7">
            <w:pPr>
              <w:spacing w:after="0" w:line="240" w:lineRule="auto"/>
              <w:rPr>
                <w:rFonts w:ascii="Arial Narrow" w:hAnsi="Arial Narrow"/>
                <w:sz w:val="20"/>
                <w:szCs w:val="20"/>
              </w:rPr>
            </w:pPr>
            <w:r w:rsidRPr="00E55EA7">
              <w:rPr>
                <w:rFonts w:ascii="Arial Narrow" w:hAnsi="Arial Narrow"/>
                <w:sz w:val="20"/>
                <w:szCs w:val="20"/>
              </w:rPr>
              <w:t xml:space="preserve">Magnetic Resonance Imaging using gadolinium-based contrast performed under the professional supervision of an eligible provider at an eligible location where the patient is referred by a specialist (nephrologist or geneticist) or consultant physician scan of abdomen for patients aged under 85 years with a confirmed clinical and/or molecular diagnosis of a condition known to carry an increased risk of the development of renal tumours. Conditions include tuberous sclerosis complex, </w:t>
            </w:r>
            <w:proofErr w:type="spellStart"/>
            <w:r w:rsidRPr="00E55EA7">
              <w:rPr>
                <w:rFonts w:ascii="Arial Narrow" w:hAnsi="Arial Narrow"/>
                <w:sz w:val="20"/>
                <w:szCs w:val="20"/>
              </w:rPr>
              <w:t>Birt</w:t>
            </w:r>
            <w:proofErr w:type="spellEnd"/>
            <w:r w:rsidRPr="00E55EA7">
              <w:rPr>
                <w:rFonts w:ascii="Arial Narrow" w:hAnsi="Arial Narrow"/>
                <w:sz w:val="20"/>
                <w:szCs w:val="20"/>
              </w:rPr>
              <w:t>-Hogg-Dube syndrome, Von Hippel Lindau syndrome, HLRCC, Cowden syndrome</w:t>
            </w:r>
            <w:r w:rsidR="00A012B9" w:rsidRPr="00E55EA7">
              <w:rPr>
                <w:rFonts w:ascii="Arial Narrow" w:hAnsi="Arial Narrow"/>
                <w:sz w:val="20"/>
                <w:szCs w:val="20"/>
              </w:rPr>
              <w:t xml:space="preserve"> (PTEN Hamartoma Tumour Syndrome spectrum)</w:t>
            </w:r>
            <w:r w:rsidRPr="00E55EA7">
              <w:rPr>
                <w:rFonts w:ascii="Arial Narrow" w:hAnsi="Arial Narrow"/>
                <w:sz w:val="20"/>
                <w:szCs w:val="20"/>
              </w:rPr>
              <w:t xml:space="preserve">, </w:t>
            </w:r>
            <w:r w:rsidRPr="00E55EA7">
              <w:rPr>
                <w:rFonts w:ascii="Arial Narrow" w:hAnsi="Arial Narrow"/>
                <w:i/>
                <w:sz w:val="20"/>
                <w:szCs w:val="20"/>
              </w:rPr>
              <w:t>BAP1</w:t>
            </w:r>
            <w:r w:rsidRPr="00E55EA7">
              <w:rPr>
                <w:rFonts w:ascii="Arial Narrow" w:hAnsi="Arial Narrow"/>
                <w:sz w:val="20"/>
                <w:szCs w:val="20"/>
              </w:rPr>
              <w:t>-associated cancer syndrome</w:t>
            </w:r>
            <w:r w:rsidR="00A012B9" w:rsidRPr="00E55EA7">
              <w:rPr>
                <w:rFonts w:ascii="Arial Narrow" w:hAnsi="Arial Narrow"/>
                <w:sz w:val="20"/>
                <w:szCs w:val="20"/>
              </w:rPr>
              <w:t>, SDH associated renal cancer (risk for phaeochromocytoma and paraganglioma)</w:t>
            </w:r>
            <w:r w:rsidRPr="00E55EA7">
              <w:rPr>
                <w:rFonts w:ascii="Arial Narrow" w:hAnsi="Arial Narrow"/>
                <w:sz w:val="20"/>
                <w:szCs w:val="20"/>
              </w:rPr>
              <w:t xml:space="preserve"> and</w:t>
            </w:r>
            <w:r w:rsidR="00A012B9" w:rsidRPr="00E55EA7">
              <w:rPr>
                <w:rFonts w:ascii="Arial Narrow" w:hAnsi="Arial Narrow"/>
                <w:sz w:val="20"/>
                <w:szCs w:val="20"/>
              </w:rPr>
              <w:t xml:space="preserve"> familial clear renal cell carcinoma with chromosome 3 translocation, or</w:t>
            </w:r>
            <w:r w:rsidRPr="00E55EA7">
              <w:rPr>
                <w:rFonts w:ascii="Arial Narrow" w:hAnsi="Arial Narrow"/>
                <w:sz w:val="20"/>
                <w:szCs w:val="20"/>
              </w:rPr>
              <w:t xml:space="preserve"> other rare genetic disorders associated with increased risk of the development of renal tumours</w:t>
            </w:r>
            <w:r w:rsidR="002E6C8D" w:rsidRPr="00E55EA7">
              <w:rPr>
                <w:rFonts w:ascii="Arial Narrow" w:hAnsi="Arial Narrow"/>
                <w:sz w:val="20"/>
                <w:szCs w:val="20"/>
              </w:rPr>
              <w:t>;</w:t>
            </w:r>
          </w:p>
          <w:p w14:paraId="54DE01BD" w14:textId="15B1F8C6" w:rsidR="004007B0" w:rsidRPr="00E55EA7" w:rsidRDefault="004007B0" w:rsidP="00E55EA7">
            <w:pPr>
              <w:spacing w:after="0" w:line="240" w:lineRule="auto"/>
              <w:rPr>
                <w:rFonts w:ascii="Arial Narrow" w:hAnsi="Arial Narrow"/>
                <w:sz w:val="20"/>
                <w:szCs w:val="20"/>
              </w:rPr>
            </w:pPr>
            <w:r w:rsidRPr="00E55EA7">
              <w:rPr>
                <w:rFonts w:ascii="Arial Narrow" w:hAnsi="Arial Narrow"/>
                <w:sz w:val="20"/>
                <w:szCs w:val="20"/>
              </w:rPr>
              <w:t>And</w:t>
            </w:r>
          </w:p>
          <w:p w14:paraId="63F58DC5" w14:textId="69CD8B99" w:rsidR="004007B0" w:rsidRPr="00E55EA7" w:rsidRDefault="004007B0" w:rsidP="00E55EA7">
            <w:pPr>
              <w:spacing w:after="0" w:line="240" w:lineRule="auto"/>
              <w:rPr>
                <w:rFonts w:ascii="Arial Narrow" w:hAnsi="Arial Narrow"/>
                <w:sz w:val="20"/>
                <w:szCs w:val="20"/>
              </w:rPr>
            </w:pPr>
            <w:r w:rsidRPr="00E55EA7">
              <w:rPr>
                <w:rFonts w:ascii="Arial Narrow" w:hAnsi="Arial Narrow"/>
                <w:sz w:val="20"/>
                <w:szCs w:val="20"/>
              </w:rPr>
              <w:t>Approximately 3</w:t>
            </w:r>
            <w:r w:rsidR="005941BB" w:rsidRPr="00E55EA7">
              <w:rPr>
                <w:rFonts w:ascii="Arial Narrow" w:hAnsi="Arial Narrow"/>
                <w:sz w:val="20"/>
                <w:szCs w:val="20"/>
              </w:rPr>
              <w:t xml:space="preserve"> </w:t>
            </w:r>
            <w:r w:rsidRPr="00E55EA7">
              <w:rPr>
                <w:rFonts w:ascii="Arial Narrow" w:hAnsi="Arial Narrow"/>
                <w:sz w:val="20"/>
                <w:szCs w:val="20"/>
              </w:rPr>
              <w:t>- 6 months after disease specific therapeutic intervention is initiated to assess responsiveness (once per lifetime)</w:t>
            </w:r>
          </w:p>
        </w:tc>
      </w:tr>
      <w:tr w:rsidR="004007B0" w:rsidRPr="00E55EA7" w14:paraId="2DE2C6A9" w14:textId="42E759A7" w:rsidTr="00CC7D3E">
        <w:trPr>
          <w:cantSplit/>
          <w:tblHeader/>
        </w:trPr>
        <w:tc>
          <w:tcPr>
            <w:tcW w:w="9493" w:type="dxa"/>
            <w:tcBorders>
              <w:top w:val="single" w:sz="4" w:space="0" w:color="auto"/>
              <w:left w:val="single" w:sz="4" w:space="0" w:color="auto"/>
              <w:bottom w:val="single" w:sz="4" w:space="0" w:color="auto"/>
              <w:right w:val="single" w:sz="4" w:space="0" w:color="auto"/>
            </w:tcBorders>
            <w:vAlign w:val="center"/>
          </w:tcPr>
          <w:p w14:paraId="3C4E9624" w14:textId="0194C21C" w:rsidR="004007B0" w:rsidRPr="00E55EA7" w:rsidRDefault="004007B0" w:rsidP="00E55EA7">
            <w:pPr>
              <w:spacing w:after="0" w:line="240" w:lineRule="auto"/>
              <w:rPr>
                <w:rFonts w:ascii="Arial Narrow" w:hAnsi="Arial Narrow"/>
                <w:sz w:val="20"/>
                <w:szCs w:val="20"/>
              </w:rPr>
            </w:pPr>
            <w:r w:rsidRPr="00E55EA7">
              <w:rPr>
                <w:rFonts w:ascii="Arial Narrow" w:hAnsi="Arial Narrow"/>
                <w:sz w:val="20"/>
                <w:szCs w:val="20"/>
              </w:rPr>
              <w:t>Fee:  $450 (MRI) and $ 120(contrast agent)</w:t>
            </w:r>
          </w:p>
        </w:tc>
      </w:tr>
    </w:tbl>
    <w:p w14:paraId="00805B49" w14:textId="658BC77F" w:rsidR="005941BB" w:rsidRDefault="00FB795C" w:rsidP="005D2196">
      <w:r>
        <w:tab/>
      </w:r>
    </w:p>
    <w:p w14:paraId="5A3AFCA1" w14:textId="0EB3AF45" w:rsidR="00C10695" w:rsidRDefault="00C10695" w:rsidP="005D2196">
      <w:r w:rsidRPr="00431AC7">
        <w:lastRenderedPageBreak/>
        <w:t>Further discussion with the applicant also highlighted that there is a small group of patients who are not undergoing disease specific treatment but who will require subsequent evaluation of their clinical condition within the 12</w:t>
      </w:r>
      <w:r w:rsidR="00034BE6">
        <w:t>-</w:t>
      </w:r>
      <w:r w:rsidRPr="00431AC7">
        <w:t>month period of their surveillance MRI.</w:t>
      </w:r>
      <w:r>
        <w:t xml:space="preserve"> Suggested amendments to the item descriptor are proposed as follows:</w:t>
      </w:r>
    </w:p>
    <w:tbl>
      <w:tblPr>
        <w:tblStyle w:val="TableGrid"/>
        <w:tblW w:w="0" w:type="auto"/>
        <w:tblInd w:w="0" w:type="dxa"/>
        <w:tblLook w:val="04A0" w:firstRow="1" w:lastRow="0" w:firstColumn="1" w:lastColumn="0" w:noHBand="0" w:noVBand="1"/>
      </w:tblPr>
      <w:tblGrid>
        <w:gridCol w:w="9514"/>
      </w:tblGrid>
      <w:tr w:rsidR="00A84FB1" w:rsidRPr="00E55EA7" w14:paraId="23CC7A52" w14:textId="77777777" w:rsidTr="00EC13CD">
        <w:tc>
          <w:tcPr>
            <w:tcW w:w="9514" w:type="dxa"/>
          </w:tcPr>
          <w:p w14:paraId="453F2DCA" w14:textId="77777777" w:rsidR="00A84FB1" w:rsidRPr="00E55EA7" w:rsidRDefault="00A84FB1" w:rsidP="00E55EA7">
            <w:pPr>
              <w:spacing w:after="0" w:line="240" w:lineRule="auto"/>
              <w:rPr>
                <w:rFonts w:ascii="Arial Narrow" w:hAnsi="Arial Narrow"/>
                <w:sz w:val="20"/>
                <w:szCs w:val="20"/>
              </w:rPr>
            </w:pPr>
            <w:r w:rsidRPr="00E55EA7">
              <w:rPr>
                <w:rFonts w:ascii="Arial Narrow" w:hAnsi="Arial Narrow"/>
                <w:sz w:val="20"/>
                <w:szCs w:val="20"/>
              </w:rPr>
              <w:t>Category 5 – Diagnostic Imaging Services</w:t>
            </w:r>
          </w:p>
        </w:tc>
      </w:tr>
      <w:tr w:rsidR="00A84FB1" w:rsidRPr="00E55EA7" w14:paraId="4CFFEF64" w14:textId="77777777" w:rsidTr="00EC13CD">
        <w:tc>
          <w:tcPr>
            <w:tcW w:w="9514" w:type="dxa"/>
          </w:tcPr>
          <w:p w14:paraId="767D70C1" w14:textId="0D716C7D" w:rsidR="00A84FB1" w:rsidRPr="00E55EA7" w:rsidRDefault="00A84FB1" w:rsidP="00E55EA7">
            <w:pPr>
              <w:spacing w:after="0" w:line="240" w:lineRule="auto"/>
              <w:rPr>
                <w:rFonts w:ascii="Arial Narrow" w:hAnsi="Arial Narrow"/>
                <w:sz w:val="20"/>
                <w:szCs w:val="20"/>
              </w:rPr>
            </w:pPr>
            <w:r w:rsidRPr="00E55EA7">
              <w:rPr>
                <w:rFonts w:ascii="Arial Narrow" w:hAnsi="Arial Narrow"/>
                <w:sz w:val="20"/>
                <w:szCs w:val="20"/>
              </w:rPr>
              <w:t>MRI – scan of the abdomen, to assess response to treatment for a patient:</w:t>
            </w:r>
          </w:p>
          <w:p w14:paraId="455B9B91" w14:textId="77777777" w:rsidR="00A84FB1" w:rsidRPr="00E55EA7" w:rsidRDefault="00A84FB1" w:rsidP="00AA4DCC">
            <w:pPr>
              <w:pStyle w:val="ListParagraph"/>
              <w:numPr>
                <w:ilvl w:val="0"/>
                <w:numId w:val="25"/>
              </w:numPr>
              <w:spacing w:after="0" w:line="240" w:lineRule="auto"/>
              <w:rPr>
                <w:rFonts w:ascii="Arial Narrow" w:hAnsi="Arial Narrow"/>
                <w:sz w:val="20"/>
                <w:szCs w:val="20"/>
              </w:rPr>
            </w:pPr>
            <w:r w:rsidRPr="00E55EA7">
              <w:rPr>
                <w:rFonts w:ascii="Arial Narrow" w:hAnsi="Arial Narrow"/>
                <w:sz w:val="20"/>
                <w:szCs w:val="20"/>
              </w:rPr>
              <w:t>with a confirmed clinical and/or molecular diagnosis of one of the following conditions:</w:t>
            </w:r>
          </w:p>
          <w:p w14:paraId="666BE277" w14:textId="77777777" w:rsidR="00A84FB1" w:rsidRPr="00E55EA7" w:rsidRDefault="00A84FB1" w:rsidP="00AA4DCC">
            <w:pPr>
              <w:pStyle w:val="ListParagraph"/>
              <w:numPr>
                <w:ilvl w:val="0"/>
                <w:numId w:val="26"/>
              </w:numPr>
              <w:spacing w:after="0" w:line="240" w:lineRule="auto"/>
              <w:rPr>
                <w:rFonts w:ascii="Arial Narrow" w:hAnsi="Arial Narrow"/>
                <w:sz w:val="20"/>
                <w:szCs w:val="20"/>
              </w:rPr>
            </w:pPr>
            <w:r w:rsidRPr="00E55EA7">
              <w:rPr>
                <w:rFonts w:ascii="Arial Narrow" w:hAnsi="Arial Narrow"/>
                <w:sz w:val="20"/>
                <w:szCs w:val="20"/>
              </w:rPr>
              <w:t>Tuberous sclerosis complex</w:t>
            </w:r>
          </w:p>
          <w:p w14:paraId="53DBD26F" w14:textId="77777777" w:rsidR="00A84FB1" w:rsidRPr="00E55EA7" w:rsidRDefault="00A84FB1" w:rsidP="00AA4DCC">
            <w:pPr>
              <w:pStyle w:val="ListParagraph"/>
              <w:numPr>
                <w:ilvl w:val="0"/>
                <w:numId w:val="26"/>
              </w:numPr>
              <w:spacing w:after="0" w:line="240" w:lineRule="auto"/>
              <w:rPr>
                <w:rFonts w:ascii="Arial Narrow" w:hAnsi="Arial Narrow"/>
                <w:sz w:val="20"/>
                <w:szCs w:val="20"/>
              </w:rPr>
            </w:pPr>
            <w:r w:rsidRPr="00E55EA7">
              <w:rPr>
                <w:rFonts w:ascii="Arial Narrow" w:hAnsi="Arial Narrow"/>
                <w:sz w:val="20"/>
                <w:szCs w:val="20"/>
              </w:rPr>
              <w:t>Von Hippel Lindau syndrome</w:t>
            </w:r>
          </w:p>
          <w:p w14:paraId="3324D90C" w14:textId="77777777" w:rsidR="00A84FB1" w:rsidRPr="00E55EA7" w:rsidRDefault="00A84FB1" w:rsidP="00AA4DCC">
            <w:pPr>
              <w:pStyle w:val="ListParagraph"/>
              <w:numPr>
                <w:ilvl w:val="0"/>
                <w:numId w:val="26"/>
              </w:numPr>
              <w:spacing w:after="0" w:line="240" w:lineRule="auto"/>
              <w:rPr>
                <w:rFonts w:ascii="Arial Narrow" w:hAnsi="Arial Narrow"/>
                <w:sz w:val="20"/>
                <w:szCs w:val="20"/>
              </w:rPr>
            </w:pPr>
            <w:proofErr w:type="spellStart"/>
            <w:r w:rsidRPr="00E55EA7">
              <w:rPr>
                <w:rFonts w:ascii="Arial Narrow" w:hAnsi="Arial Narrow"/>
                <w:sz w:val="20"/>
                <w:szCs w:val="20"/>
              </w:rPr>
              <w:t>Birt</w:t>
            </w:r>
            <w:proofErr w:type="spellEnd"/>
            <w:r w:rsidRPr="00E55EA7">
              <w:rPr>
                <w:rFonts w:ascii="Arial Narrow" w:hAnsi="Arial Narrow"/>
                <w:sz w:val="20"/>
                <w:szCs w:val="20"/>
              </w:rPr>
              <w:t>-Hogg-Dube syndrome</w:t>
            </w:r>
          </w:p>
          <w:p w14:paraId="27A76A57" w14:textId="77777777" w:rsidR="00A84FB1" w:rsidRPr="00E55EA7" w:rsidRDefault="00A84FB1" w:rsidP="00AA4DCC">
            <w:pPr>
              <w:pStyle w:val="ListParagraph"/>
              <w:numPr>
                <w:ilvl w:val="0"/>
                <w:numId w:val="26"/>
              </w:numPr>
              <w:spacing w:after="0" w:line="240" w:lineRule="auto"/>
              <w:rPr>
                <w:rFonts w:ascii="Arial Narrow" w:hAnsi="Arial Narrow"/>
                <w:sz w:val="20"/>
                <w:szCs w:val="20"/>
              </w:rPr>
            </w:pPr>
            <w:r w:rsidRPr="00E55EA7">
              <w:rPr>
                <w:rFonts w:ascii="Arial Narrow" w:hAnsi="Arial Narrow"/>
                <w:sz w:val="20"/>
                <w:szCs w:val="20"/>
              </w:rPr>
              <w:t xml:space="preserve">Hereditary </w:t>
            </w:r>
            <w:proofErr w:type="spellStart"/>
            <w:r w:rsidRPr="00E55EA7">
              <w:rPr>
                <w:rFonts w:ascii="Arial Narrow" w:hAnsi="Arial Narrow"/>
                <w:sz w:val="20"/>
                <w:szCs w:val="20"/>
              </w:rPr>
              <w:t>leiomyomatosis</w:t>
            </w:r>
            <w:proofErr w:type="spellEnd"/>
            <w:r w:rsidRPr="00E55EA7">
              <w:rPr>
                <w:rFonts w:ascii="Arial Narrow" w:hAnsi="Arial Narrow"/>
                <w:sz w:val="20"/>
                <w:szCs w:val="20"/>
              </w:rPr>
              <w:t xml:space="preserve"> and renal cell carcinoma (HLRCC)</w:t>
            </w:r>
          </w:p>
          <w:p w14:paraId="5CA7624C" w14:textId="49F8AFE3" w:rsidR="00A84FB1" w:rsidRPr="00E55EA7" w:rsidRDefault="00A84FB1" w:rsidP="00AA4DCC">
            <w:pPr>
              <w:pStyle w:val="ListParagraph"/>
              <w:numPr>
                <w:ilvl w:val="0"/>
                <w:numId w:val="26"/>
              </w:numPr>
              <w:spacing w:after="0" w:line="240" w:lineRule="auto"/>
              <w:rPr>
                <w:rFonts w:ascii="Arial Narrow" w:hAnsi="Arial Narrow"/>
                <w:sz w:val="20"/>
                <w:szCs w:val="20"/>
              </w:rPr>
            </w:pPr>
            <w:r w:rsidRPr="00E55EA7">
              <w:rPr>
                <w:rFonts w:ascii="Arial Narrow" w:hAnsi="Arial Narrow"/>
                <w:sz w:val="20"/>
                <w:szCs w:val="20"/>
              </w:rPr>
              <w:t>Cowden syndrome</w:t>
            </w:r>
            <w:r w:rsidR="008A6342" w:rsidRPr="00E55EA7">
              <w:rPr>
                <w:rFonts w:ascii="Arial Narrow" w:hAnsi="Arial Narrow"/>
                <w:sz w:val="20"/>
                <w:szCs w:val="20"/>
              </w:rPr>
              <w:t xml:space="preserve"> (PTEN Hamartoma Tumour Syndrome spectrum)</w:t>
            </w:r>
          </w:p>
          <w:p w14:paraId="1C72DD85" w14:textId="77777777" w:rsidR="00A84FB1" w:rsidRPr="00E55EA7" w:rsidRDefault="00A84FB1" w:rsidP="00AA4DCC">
            <w:pPr>
              <w:pStyle w:val="ListParagraph"/>
              <w:numPr>
                <w:ilvl w:val="0"/>
                <w:numId w:val="26"/>
              </w:numPr>
              <w:spacing w:after="0" w:line="240" w:lineRule="auto"/>
              <w:rPr>
                <w:rFonts w:ascii="Arial Narrow" w:hAnsi="Arial Narrow"/>
                <w:sz w:val="20"/>
                <w:szCs w:val="20"/>
              </w:rPr>
            </w:pPr>
            <w:r w:rsidRPr="00E55EA7">
              <w:rPr>
                <w:rFonts w:ascii="Arial Narrow" w:hAnsi="Arial Narrow"/>
                <w:i/>
                <w:sz w:val="20"/>
                <w:szCs w:val="20"/>
              </w:rPr>
              <w:t>BAP1</w:t>
            </w:r>
            <w:r w:rsidRPr="00E55EA7">
              <w:rPr>
                <w:rFonts w:ascii="Arial Narrow" w:hAnsi="Arial Narrow"/>
                <w:sz w:val="20"/>
                <w:szCs w:val="20"/>
              </w:rPr>
              <w:t>-associated cancer syndrome</w:t>
            </w:r>
          </w:p>
          <w:p w14:paraId="3AD7AE6B" w14:textId="48B5BF80" w:rsidR="008A6342" w:rsidRPr="00E55EA7" w:rsidRDefault="008A6342" w:rsidP="00AA4DCC">
            <w:pPr>
              <w:pStyle w:val="ListParagraph"/>
              <w:numPr>
                <w:ilvl w:val="0"/>
                <w:numId w:val="26"/>
              </w:numPr>
              <w:spacing w:after="0" w:line="240" w:lineRule="auto"/>
              <w:rPr>
                <w:rFonts w:ascii="Arial Narrow" w:hAnsi="Arial Narrow"/>
                <w:sz w:val="20"/>
                <w:szCs w:val="20"/>
              </w:rPr>
            </w:pPr>
            <w:r w:rsidRPr="00E55EA7">
              <w:rPr>
                <w:rFonts w:ascii="Arial Narrow" w:hAnsi="Arial Narrow"/>
                <w:sz w:val="20"/>
                <w:szCs w:val="20"/>
              </w:rPr>
              <w:t>SDH associated renal cancer (risk for phaeochromocytoma and paraganglioma)</w:t>
            </w:r>
          </w:p>
          <w:p w14:paraId="7DA8FDF8" w14:textId="07A81338" w:rsidR="00A84FB1" w:rsidRPr="00E55EA7" w:rsidRDefault="008A6342" w:rsidP="00AA4DCC">
            <w:pPr>
              <w:pStyle w:val="ListParagraph"/>
              <w:numPr>
                <w:ilvl w:val="0"/>
                <w:numId w:val="26"/>
              </w:numPr>
              <w:spacing w:after="0" w:line="240" w:lineRule="auto"/>
              <w:rPr>
                <w:rFonts w:ascii="Arial Narrow" w:hAnsi="Arial Narrow"/>
                <w:sz w:val="20"/>
                <w:szCs w:val="20"/>
              </w:rPr>
            </w:pPr>
            <w:r w:rsidRPr="00E55EA7">
              <w:rPr>
                <w:rFonts w:ascii="Arial Narrow" w:hAnsi="Arial Narrow"/>
                <w:sz w:val="20"/>
                <w:szCs w:val="20"/>
              </w:rPr>
              <w:t xml:space="preserve">Familial clear renal cell carcinoma with chromosome 3 translocation, </w:t>
            </w:r>
            <w:r w:rsidR="00A84FB1" w:rsidRPr="00E55EA7">
              <w:rPr>
                <w:rFonts w:ascii="Arial Narrow" w:hAnsi="Arial Narrow"/>
                <w:sz w:val="20"/>
                <w:szCs w:val="20"/>
              </w:rPr>
              <w:t xml:space="preserve">or </w:t>
            </w:r>
          </w:p>
          <w:p w14:paraId="57241E4F" w14:textId="77777777" w:rsidR="00A84FB1" w:rsidRPr="00E55EA7" w:rsidRDefault="00A84FB1" w:rsidP="00AA4DCC">
            <w:pPr>
              <w:pStyle w:val="ListParagraph"/>
              <w:numPr>
                <w:ilvl w:val="0"/>
                <w:numId w:val="26"/>
              </w:numPr>
              <w:spacing w:after="0" w:line="240" w:lineRule="auto"/>
              <w:rPr>
                <w:rFonts w:ascii="Arial Narrow" w:hAnsi="Arial Narrow"/>
                <w:sz w:val="20"/>
                <w:szCs w:val="20"/>
              </w:rPr>
            </w:pPr>
            <w:r w:rsidRPr="00E55EA7">
              <w:rPr>
                <w:rFonts w:ascii="Arial Narrow" w:hAnsi="Arial Narrow"/>
                <w:sz w:val="20"/>
                <w:szCs w:val="20"/>
              </w:rPr>
              <w:t>other rare genetic disorders associated with the increased risk of developing renal tumours, and</w:t>
            </w:r>
          </w:p>
          <w:p w14:paraId="724A7BA5" w14:textId="53148CE4" w:rsidR="007F540A" w:rsidRPr="00E55EA7" w:rsidRDefault="007F540A" w:rsidP="00AA4DCC">
            <w:pPr>
              <w:pStyle w:val="ListParagraph"/>
              <w:numPr>
                <w:ilvl w:val="0"/>
                <w:numId w:val="25"/>
              </w:numPr>
              <w:spacing w:after="0" w:line="240" w:lineRule="auto"/>
              <w:rPr>
                <w:rFonts w:ascii="Arial Narrow" w:hAnsi="Arial Narrow"/>
                <w:sz w:val="20"/>
                <w:szCs w:val="20"/>
              </w:rPr>
            </w:pPr>
            <w:r w:rsidRPr="00E55EA7">
              <w:rPr>
                <w:rFonts w:ascii="Arial Narrow" w:hAnsi="Arial Narrow"/>
                <w:sz w:val="20"/>
                <w:szCs w:val="20"/>
              </w:rPr>
              <w:t>for the purposes of evaluating changes in clinical condition or suspected complications of known renal tumours arising between an annual surveillance MRI claimed under item INSERT NUMBER FOR ITEM ABOVE; or</w:t>
            </w:r>
          </w:p>
          <w:p w14:paraId="1FABA96C" w14:textId="02AC2922" w:rsidR="00A84FB1" w:rsidRPr="00E55EA7" w:rsidRDefault="007F540A" w:rsidP="00AA4DCC">
            <w:pPr>
              <w:pStyle w:val="ListParagraph"/>
              <w:numPr>
                <w:ilvl w:val="0"/>
                <w:numId w:val="25"/>
              </w:numPr>
              <w:spacing w:after="0" w:line="240" w:lineRule="auto"/>
              <w:rPr>
                <w:rFonts w:ascii="Arial Narrow" w:hAnsi="Arial Narrow"/>
                <w:sz w:val="20"/>
                <w:szCs w:val="20"/>
              </w:rPr>
            </w:pPr>
            <w:r w:rsidRPr="00E55EA7">
              <w:rPr>
                <w:rFonts w:ascii="Arial Narrow" w:hAnsi="Arial Narrow"/>
                <w:sz w:val="20"/>
                <w:szCs w:val="20"/>
              </w:rPr>
              <w:t>where a disease specific line of treatment has been initiated and an assessment of patient responsiveness to this treatment is required</w:t>
            </w:r>
          </w:p>
          <w:p w14:paraId="178F5D38" w14:textId="77777777" w:rsidR="00A84FB1" w:rsidRPr="00E55EA7" w:rsidRDefault="00A84FB1" w:rsidP="00E55EA7">
            <w:pPr>
              <w:spacing w:after="0" w:line="240" w:lineRule="auto"/>
              <w:rPr>
                <w:rFonts w:ascii="Arial Narrow" w:hAnsi="Arial Narrow"/>
                <w:sz w:val="20"/>
                <w:szCs w:val="20"/>
              </w:rPr>
            </w:pPr>
          </w:p>
          <w:p w14:paraId="0D523321" w14:textId="67E6071A" w:rsidR="00A84FB1" w:rsidRPr="00E55EA7" w:rsidRDefault="00A84FB1" w:rsidP="00E55EA7">
            <w:pPr>
              <w:spacing w:after="0" w:line="240" w:lineRule="auto"/>
              <w:rPr>
                <w:rFonts w:ascii="Arial Narrow" w:hAnsi="Arial Narrow"/>
                <w:i/>
                <w:sz w:val="20"/>
                <w:szCs w:val="20"/>
              </w:rPr>
            </w:pPr>
            <w:r w:rsidRPr="00E55EA7">
              <w:rPr>
                <w:rFonts w:ascii="Arial Narrow" w:hAnsi="Arial Narrow"/>
                <w:sz w:val="20"/>
                <w:szCs w:val="20"/>
              </w:rPr>
              <w:t>For any particular patient – applicable</w:t>
            </w:r>
            <w:r w:rsidR="007F540A" w:rsidRPr="00E55EA7">
              <w:rPr>
                <w:rFonts w:ascii="Arial Narrow" w:hAnsi="Arial Narrow"/>
                <w:sz w:val="20"/>
                <w:szCs w:val="20"/>
              </w:rPr>
              <w:t xml:space="preserve"> not more than once in a </w:t>
            </w:r>
            <w:r w:rsidRPr="00E55EA7">
              <w:rPr>
                <w:rFonts w:ascii="Arial Narrow" w:hAnsi="Arial Narrow"/>
                <w:sz w:val="20"/>
                <w:szCs w:val="20"/>
              </w:rPr>
              <w:t>3</w:t>
            </w:r>
            <w:r w:rsidR="007F540A" w:rsidRPr="00E55EA7">
              <w:rPr>
                <w:rFonts w:ascii="Arial Narrow" w:hAnsi="Arial Narrow"/>
                <w:sz w:val="20"/>
                <w:szCs w:val="20"/>
              </w:rPr>
              <w:t xml:space="preserve"> month period. </w:t>
            </w:r>
            <w:r w:rsidRPr="00E55EA7">
              <w:rPr>
                <w:rFonts w:ascii="Arial Narrow" w:hAnsi="Arial Narrow"/>
                <w:i/>
                <w:sz w:val="20"/>
                <w:szCs w:val="20"/>
              </w:rPr>
              <w:t>(R) (</w:t>
            </w:r>
            <w:proofErr w:type="spellStart"/>
            <w:r w:rsidRPr="00E55EA7">
              <w:rPr>
                <w:rFonts w:ascii="Arial Narrow" w:hAnsi="Arial Narrow"/>
                <w:i/>
                <w:sz w:val="20"/>
                <w:szCs w:val="20"/>
              </w:rPr>
              <w:t>Anaes</w:t>
            </w:r>
            <w:proofErr w:type="spellEnd"/>
            <w:r w:rsidRPr="00E55EA7">
              <w:rPr>
                <w:rFonts w:ascii="Arial Narrow" w:hAnsi="Arial Narrow"/>
                <w:i/>
                <w:sz w:val="20"/>
                <w:szCs w:val="20"/>
              </w:rPr>
              <w:t>)</w:t>
            </w:r>
            <w:r w:rsidR="00F37279" w:rsidRPr="00E55EA7">
              <w:rPr>
                <w:rFonts w:ascii="Arial Narrow" w:hAnsi="Arial Narrow"/>
                <w:i/>
                <w:sz w:val="20"/>
                <w:szCs w:val="20"/>
              </w:rPr>
              <w:t xml:space="preserve"> (Contrast)</w:t>
            </w:r>
            <w:r w:rsidRPr="00E55EA7">
              <w:rPr>
                <w:rFonts w:ascii="Arial Narrow" w:hAnsi="Arial Narrow"/>
                <w:i/>
                <w:sz w:val="20"/>
                <w:szCs w:val="20"/>
              </w:rPr>
              <w:t xml:space="preserve"> </w:t>
            </w:r>
          </w:p>
          <w:p w14:paraId="439DC73A" w14:textId="77777777" w:rsidR="00A84228" w:rsidRPr="00E55EA7" w:rsidRDefault="00A84228" w:rsidP="00E55EA7">
            <w:pPr>
              <w:spacing w:after="0" w:line="240" w:lineRule="auto"/>
              <w:rPr>
                <w:rFonts w:ascii="Arial Narrow" w:hAnsi="Arial Narrow"/>
                <w:sz w:val="20"/>
                <w:szCs w:val="20"/>
              </w:rPr>
            </w:pPr>
          </w:p>
          <w:p w14:paraId="4CB085D1" w14:textId="77777777" w:rsidR="00A84228" w:rsidRPr="00E55EA7" w:rsidRDefault="0069673F" w:rsidP="00E55EA7">
            <w:pPr>
              <w:spacing w:after="0" w:line="240" w:lineRule="auto"/>
              <w:rPr>
                <w:rFonts w:ascii="Arial Narrow" w:hAnsi="Arial Narrow"/>
                <w:sz w:val="20"/>
                <w:szCs w:val="20"/>
              </w:rPr>
            </w:pPr>
            <w:hyperlink r:id="rId18" w:history="1">
              <w:r w:rsidR="00A84228" w:rsidRPr="00E55EA7">
                <w:rPr>
                  <w:rStyle w:val="Hyperlink"/>
                  <w:rFonts w:ascii="Arial Narrow" w:hAnsi="Arial Narrow"/>
                  <w:sz w:val="20"/>
                  <w:szCs w:val="20"/>
                  <w:lang w:val="en-GB"/>
                </w:rPr>
                <w:t>Bulk bill incentive</w:t>
              </w:r>
            </w:hyperlink>
          </w:p>
          <w:p w14:paraId="2B0A7127" w14:textId="77777777" w:rsidR="00A84228" w:rsidRPr="00E55EA7" w:rsidRDefault="00A84228" w:rsidP="00E55EA7">
            <w:pPr>
              <w:spacing w:after="0" w:line="240" w:lineRule="auto"/>
              <w:rPr>
                <w:rFonts w:ascii="Arial Narrow" w:hAnsi="Arial Narrow"/>
                <w:sz w:val="20"/>
                <w:szCs w:val="20"/>
                <w:lang w:val="en-GB"/>
              </w:rPr>
            </w:pPr>
          </w:p>
          <w:p w14:paraId="304B1D51" w14:textId="7CCC9EB4" w:rsidR="00A84228" w:rsidRPr="00E55EA7" w:rsidRDefault="00A84228" w:rsidP="00E55EA7">
            <w:pPr>
              <w:spacing w:after="0" w:line="240" w:lineRule="auto"/>
              <w:rPr>
                <w:rFonts w:ascii="Arial Narrow" w:hAnsi="Arial Narrow"/>
                <w:sz w:val="20"/>
                <w:szCs w:val="20"/>
                <w:lang w:val="en-GB"/>
              </w:rPr>
            </w:pPr>
            <w:r w:rsidRPr="00E55EA7">
              <w:rPr>
                <w:rFonts w:ascii="Arial Narrow" w:hAnsi="Arial Narrow"/>
                <w:b/>
                <w:bCs/>
                <w:sz w:val="20"/>
                <w:szCs w:val="20"/>
                <w:lang w:val="en-GB"/>
              </w:rPr>
              <w:t>Fee:</w:t>
            </w:r>
            <w:r w:rsidRPr="00E55EA7">
              <w:rPr>
                <w:rFonts w:ascii="Arial Narrow" w:hAnsi="Arial Narrow"/>
                <w:sz w:val="20"/>
                <w:szCs w:val="20"/>
                <w:lang w:val="en-GB"/>
              </w:rPr>
              <w:t> $450.00 </w:t>
            </w:r>
            <w:r w:rsidRPr="00E55EA7">
              <w:rPr>
                <w:rFonts w:ascii="Arial Narrow" w:hAnsi="Arial Narrow"/>
                <w:b/>
                <w:bCs/>
                <w:sz w:val="20"/>
                <w:szCs w:val="20"/>
                <w:lang w:val="en-GB"/>
              </w:rPr>
              <w:t>Benefit:</w:t>
            </w:r>
            <w:r w:rsidRPr="00E55EA7">
              <w:rPr>
                <w:rFonts w:ascii="Arial Narrow" w:hAnsi="Arial Narrow"/>
                <w:sz w:val="20"/>
                <w:szCs w:val="20"/>
                <w:lang w:val="en-GB"/>
              </w:rPr>
              <w:t> 75% = $337.50 85% = $382.50</w:t>
            </w:r>
          </w:p>
          <w:p w14:paraId="71F7DDAB" w14:textId="16F0D5EA" w:rsidR="00A84228" w:rsidRPr="00E55EA7" w:rsidRDefault="00A84228" w:rsidP="00E55EA7">
            <w:pPr>
              <w:spacing w:after="0" w:line="240" w:lineRule="auto"/>
              <w:rPr>
                <w:rFonts w:ascii="Arial Narrow" w:hAnsi="Arial Narrow"/>
                <w:sz w:val="20"/>
                <w:szCs w:val="20"/>
              </w:rPr>
            </w:pPr>
          </w:p>
        </w:tc>
      </w:tr>
    </w:tbl>
    <w:p w14:paraId="6FEC043A" w14:textId="6EA047EB" w:rsidR="004007B0" w:rsidRPr="005941BB" w:rsidRDefault="004007B0" w:rsidP="00E55EA7">
      <w:pPr>
        <w:spacing w:before="360"/>
      </w:pPr>
      <w:r w:rsidRPr="005941BB">
        <w:t>Further discussion with the applicant indicated that in kidney cancers with both benign and malignant predispositions, abdominal MRI once per new line of therapy may be necessary.</w:t>
      </w:r>
      <w:r w:rsidR="005941BB">
        <w:t xml:space="preserve"> This has been reflected in the changes above.</w:t>
      </w:r>
    </w:p>
    <w:p w14:paraId="4C6B262C" w14:textId="6BC8FB75" w:rsidR="004007B0" w:rsidRDefault="004007B0" w:rsidP="005D2196">
      <w:r w:rsidRPr="00DA79F1">
        <w:t>The proposed fee is slightly lower than that of MBS listed MRI of the pelvis and abdomen for staging of cervical cancer (MBS Item</w:t>
      </w:r>
      <w:r w:rsidR="00B16DBB">
        <w:t xml:space="preserve"> </w:t>
      </w:r>
      <w:r w:rsidRPr="00DA79F1">
        <w:t xml:space="preserve">63473; Fee $627.20). The </w:t>
      </w:r>
      <w:r w:rsidR="005941BB">
        <w:t>a</w:t>
      </w:r>
      <w:r w:rsidRPr="00DA79F1">
        <w:t>pplicant did not provide justification for the proposed fee.</w:t>
      </w:r>
    </w:p>
    <w:p w14:paraId="42666521" w14:textId="77777777" w:rsidR="00840416" w:rsidRPr="008404A1" w:rsidRDefault="00840416" w:rsidP="008404A1">
      <w:pPr>
        <w:rPr>
          <w:i/>
          <w:iCs w:val="0"/>
        </w:rPr>
      </w:pPr>
      <w:r w:rsidRPr="008404A1">
        <w:rPr>
          <w:i/>
          <w:iCs w:val="0"/>
        </w:rPr>
        <w:t>PASC discussed the proposed item descriptors and suggested changes be made for clarity, noting a preference for the proposed item descriptor for PICO Set 2 that was set out by the Department and developed with the applicant.</w:t>
      </w:r>
    </w:p>
    <w:p w14:paraId="6D4269DE" w14:textId="77777777" w:rsidR="00840416" w:rsidRPr="008404A1" w:rsidRDefault="00840416" w:rsidP="008404A1">
      <w:pPr>
        <w:pStyle w:val="ListParagraph"/>
        <w:numPr>
          <w:ilvl w:val="0"/>
          <w:numId w:val="47"/>
        </w:numPr>
        <w:rPr>
          <w:i/>
          <w:iCs w:val="0"/>
        </w:rPr>
      </w:pPr>
      <w:r w:rsidRPr="008404A1">
        <w:rPr>
          <w:i/>
          <w:iCs w:val="0"/>
        </w:rPr>
        <w:t>PASC discussed the requirement for ‘in consultation with geneticist’ for eligibility in the proposed item descriptors tabled by the Department. The applicant stated that geneticists are largely not involved in the management of patients with TSC. PASC indicated that alternative wording should be explored.</w:t>
      </w:r>
    </w:p>
    <w:p w14:paraId="27E46369" w14:textId="162BFB7A" w:rsidR="00840416" w:rsidRPr="008404A1" w:rsidRDefault="00840416" w:rsidP="008404A1">
      <w:pPr>
        <w:pStyle w:val="ListParagraph"/>
        <w:numPr>
          <w:ilvl w:val="0"/>
          <w:numId w:val="47"/>
        </w:numPr>
        <w:rPr>
          <w:i/>
          <w:iCs w:val="0"/>
        </w:rPr>
      </w:pPr>
      <w:r w:rsidRPr="008404A1">
        <w:rPr>
          <w:i/>
          <w:iCs w:val="0"/>
        </w:rPr>
        <w:t xml:space="preserve">PASC noted the fee structure was not consistent with existing fee structures for MRI and either needed to be aligned or justified. The applicant will advise the fee structure they intend to proceed with, in line with existing and similar MRI items listed in the MBS which use gadolinium-based contrast, such as MRI of the </w:t>
      </w:r>
      <w:r w:rsidR="00443DFF">
        <w:rPr>
          <w:i/>
          <w:iCs w:val="0"/>
        </w:rPr>
        <w:t>abdomen and pelvis</w:t>
      </w:r>
      <w:r w:rsidRPr="008404A1">
        <w:rPr>
          <w:i/>
          <w:iCs w:val="0"/>
        </w:rPr>
        <w:t xml:space="preserve"> for cervical cancer.</w:t>
      </w:r>
    </w:p>
    <w:p w14:paraId="1863A966" w14:textId="43E8D0A5" w:rsidR="00840416" w:rsidRPr="008404A1" w:rsidRDefault="00840416" w:rsidP="008404A1">
      <w:pPr>
        <w:pStyle w:val="ListParagraph"/>
        <w:numPr>
          <w:ilvl w:val="0"/>
          <w:numId w:val="47"/>
        </w:numPr>
        <w:rPr>
          <w:i/>
          <w:iCs w:val="0"/>
        </w:rPr>
      </w:pPr>
      <w:r w:rsidRPr="008404A1">
        <w:rPr>
          <w:i/>
          <w:iCs w:val="0"/>
        </w:rPr>
        <w:t xml:space="preserve">PASC suggested as an alternative to listing all eligible conditions in the item descriptors that they refer to ‘a genetic disorder associated with an increased risk of developing renal tumours’ with an </w:t>
      </w:r>
      <w:r w:rsidRPr="008404A1">
        <w:rPr>
          <w:i/>
          <w:iCs w:val="0"/>
        </w:rPr>
        <w:lastRenderedPageBreak/>
        <w:t>explanatory note to either specify eligible conditions or refer to ‘rare genetic disorders associated with a &gt;N% risk of developing renal tumours’</w:t>
      </w:r>
      <w:r w:rsidR="001A01A8">
        <w:rPr>
          <w:i/>
          <w:iCs w:val="0"/>
        </w:rPr>
        <w:t xml:space="preserve"> </w:t>
      </w:r>
      <w:r w:rsidR="00146E2C">
        <w:rPr>
          <w:i/>
          <w:iCs w:val="0"/>
        </w:rPr>
        <w:t>(</w:t>
      </w:r>
      <w:r w:rsidR="001A01A8">
        <w:rPr>
          <w:rFonts w:asciiTheme="minorHAnsi" w:hAnsiTheme="minorHAnsi" w:cstheme="minorHAnsi"/>
          <w:i/>
        </w:rPr>
        <w:t>where the value of the risk threshold N% would be specified</w:t>
      </w:r>
      <w:r w:rsidR="00146E2C">
        <w:rPr>
          <w:rFonts w:asciiTheme="minorHAnsi" w:hAnsiTheme="minorHAnsi" w:cstheme="minorHAnsi"/>
          <w:i/>
        </w:rPr>
        <w:t>)</w:t>
      </w:r>
      <w:r w:rsidRPr="008404A1">
        <w:rPr>
          <w:i/>
          <w:iCs w:val="0"/>
        </w:rPr>
        <w:t>.</w:t>
      </w:r>
    </w:p>
    <w:p w14:paraId="28A63441" w14:textId="7E3017FF" w:rsidR="007F540A" w:rsidRPr="00E55EA7" w:rsidRDefault="007F540A" w:rsidP="005D2196">
      <w:pPr>
        <w:rPr>
          <w:i/>
          <w:iCs w:val="0"/>
          <w:u w:val="single"/>
        </w:rPr>
      </w:pPr>
      <w:r w:rsidRPr="00E55EA7">
        <w:rPr>
          <w:i/>
          <w:iCs w:val="0"/>
          <w:u w:val="single"/>
        </w:rPr>
        <w:t>Separate contrast item</w:t>
      </w:r>
    </w:p>
    <w:p w14:paraId="199D0B37" w14:textId="125B905E" w:rsidR="00A84228" w:rsidRDefault="00A84228" w:rsidP="005D2196">
      <w:r w:rsidRPr="00A84228">
        <w:t>The applicant has advised that contrast would be used for most scans, excepting those where it is contraindicated on the usual criteria (eGFR&lt;30ml/min/1.73m</w:t>
      </w:r>
      <w:r w:rsidRPr="00FC73D9">
        <w:rPr>
          <w:vertAlign w:val="superscript"/>
        </w:rPr>
        <w:t>2</w:t>
      </w:r>
      <w:r w:rsidRPr="00A84228">
        <w:t xml:space="preserve">; non-compatible medical device </w:t>
      </w:r>
      <w:r w:rsidRPr="00FC73D9">
        <w:rPr>
          <w:i/>
        </w:rPr>
        <w:t>in situ</w:t>
      </w:r>
      <w:r w:rsidRPr="00A84228">
        <w:t xml:space="preserve">; metallic foreign body </w:t>
      </w:r>
      <w:r w:rsidRPr="00FC73D9">
        <w:rPr>
          <w:i/>
        </w:rPr>
        <w:t>in situ</w:t>
      </w:r>
      <w:r w:rsidR="00FC73D9">
        <w:rPr>
          <w:i/>
        </w:rPr>
        <w:t>,</w:t>
      </w:r>
      <w:r w:rsidRPr="00A84228">
        <w:t xml:space="preserve"> etc). </w:t>
      </w:r>
      <w:r>
        <w:t xml:space="preserve">It would be an option to </w:t>
      </w:r>
      <w:r w:rsidRPr="00A84228">
        <w:t>list the contrast as a separate item</w:t>
      </w:r>
      <w:r>
        <w:t>, c</w:t>
      </w:r>
      <w:r w:rsidRPr="00A84228">
        <w:t>onsistent with the MBS listing of Liver MRI (63545, 63546, 63496).</w:t>
      </w:r>
      <w:r>
        <w:t xml:space="preserve"> The c</w:t>
      </w:r>
      <w:r w:rsidRPr="00A84228">
        <w:t xml:space="preserve">ontrast item </w:t>
      </w:r>
      <w:r>
        <w:t>can</w:t>
      </w:r>
      <w:r w:rsidRPr="00A84228">
        <w:t xml:space="preserve"> be used with both proposed MBS (surveillance and staging</w:t>
      </w:r>
      <w:r w:rsidR="00FC73D9">
        <w:t>/response</w:t>
      </w:r>
      <w:r w:rsidRPr="00A84228">
        <w:t>) items as required</w:t>
      </w:r>
      <w:r w:rsidR="00431AC7">
        <w:t>, see below</w:t>
      </w:r>
      <w:r>
        <w:t>.</w:t>
      </w:r>
    </w:p>
    <w:tbl>
      <w:tblPr>
        <w:tblStyle w:val="TableGrid"/>
        <w:tblW w:w="0" w:type="auto"/>
        <w:tblInd w:w="0" w:type="dxa"/>
        <w:tblLook w:val="04A0" w:firstRow="1" w:lastRow="0" w:firstColumn="1" w:lastColumn="0" w:noHBand="0" w:noVBand="1"/>
      </w:tblPr>
      <w:tblGrid>
        <w:gridCol w:w="9571"/>
      </w:tblGrid>
      <w:tr w:rsidR="00A84228" w:rsidRPr="00E55EA7" w14:paraId="5E9253B4" w14:textId="77777777" w:rsidTr="00A84228">
        <w:tc>
          <w:tcPr>
            <w:tcW w:w="9571" w:type="dxa"/>
          </w:tcPr>
          <w:p w14:paraId="074AE07A" w14:textId="68FE6213" w:rsidR="00A84228" w:rsidRPr="00E55EA7" w:rsidRDefault="00A84228" w:rsidP="00E55EA7">
            <w:pPr>
              <w:spacing w:after="0" w:line="240" w:lineRule="auto"/>
              <w:rPr>
                <w:rFonts w:ascii="Arial Narrow" w:hAnsi="Arial Narrow"/>
                <w:sz w:val="20"/>
                <w:szCs w:val="20"/>
              </w:rPr>
            </w:pPr>
            <w:r w:rsidRPr="00E55EA7">
              <w:rPr>
                <w:rFonts w:ascii="Arial Narrow" w:hAnsi="Arial Narrow"/>
                <w:sz w:val="20"/>
                <w:szCs w:val="20"/>
              </w:rPr>
              <w:t>Category 5 – Diagnostic Imaging Services</w:t>
            </w:r>
          </w:p>
        </w:tc>
      </w:tr>
      <w:tr w:rsidR="00A84228" w:rsidRPr="00E55EA7" w14:paraId="18038FDB" w14:textId="77777777" w:rsidTr="00A84228">
        <w:tc>
          <w:tcPr>
            <w:tcW w:w="9571" w:type="dxa"/>
          </w:tcPr>
          <w:p w14:paraId="0C0160E3" w14:textId="77777777" w:rsidR="00A84228" w:rsidRPr="00E55EA7" w:rsidRDefault="00A84228" w:rsidP="00E55EA7">
            <w:pPr>
              <w:spacing w:after="0" w:line="240" w:lineRule="auto"/>
              <w:rPr>
                <w:rFonts w:ascii="Arial Narrow" w:hAnsi="Arial Narrow"/>
                <w:sz w:val="20"/>
                <w:szCs w:val="20"/>
              </w:rPr>
            </w:pPr>
            <w:r w:rsidRPr="00E55EA7">
              <w:rPr>
                <w:rFonts w:ascii="Arial Narrow" w:hAnsi="Arial Narrow"/>
                <w:sz w:val="20"/>
                <w:szCs w:val="20"/>
              </w:rPr>
              <w:t xml:space="preserve">NOTE: Benefits in Subgroup 22 are only payable for modifying items where claimed simultaneously with MRI services. Modifiers for sedation and anaesthesia may not be claimed for the same service. </w:t>
            </w:r>
          </w:p>
          <w:p w14:paraId="0B937B13" w14:textId="77777777" w:rsidR="00A84228" w:rsidRPr="00E55EA7" w:rsidRDefault="00A84228" w:rsidP="00E55EA7">
            <w:pPr>
              <w:spacing w:after="0" w:line="240" w:lineRule="auto"/>
              <w:rPr>
                <w:rFonts w:ascii="Arial Narrow" w:hAnsi="Arial Narrow"/>
                <w:sz w:val="20"/>
                <w:szCs w:val="20"/>
              </w:rPr>
            </w:pPr>
          </w:p>
          <w:p w14:paraId="2BEEAAC0" w14:textId="5C001E33" w:rsidR="00A84228" w:rsidRPr="00E55EA7" w:rsidRDefault="00A84228" w:rsidP="00E55EA7">
            <w:pPr>
              <w:spacing w:after="0" w:line="240" w:lineRule="auto"/>
              <w:rPr>
                <w:rFonts w:ascii="Arial Narrow" w:hAnsi="Arial Narrow"/>
                <w:sz w:val="20"/>
                <w:szCs w:val="20"/>
              </w:rPr>
            </w:pPr>
            <w:r w:rsidRPr="00E55EA7">
              <w:rPr>
                <w:rFonts w:ascii="Arial Narrow" w:hAnsi="Arial Narrow"/>
                <w:sz w:val="20"/>
                <w:szCs w:val="20"/>
              </w:rPr>
              <w:t>MRI service to which item XXX or XXX applies if:</w:t>
            </w:r>
          </w:p>
          <w:p w14:paraId="7B21158C" w14:textId="77777777" w:rsidR="00A84228" w:rsidRPr="00E55EA7" w:rsidRDefault="00A84228" w:rsidP="00E55EA7">
            <w:pPr>
              <w:spacing w:after="0" w:line="240" w:lineRule="auto"/>
              <w:rPr>
                <w:rFonts w:ascii="Arial Narrow" w:hAnsi="Arial Narrow"/>
                <w:sz w:val="20"/>
                <w:szCs w:val="20"/>
              </w:rPr>
            </w:pPr>
          </w:p>
          <w:p w14:paraId="7E1949C2" w14:textId="33E534A3" w:rsidR="00A84228" w:rsidRPr="00E55EA7" w:rsidRDefault="00A84228" w:rsidP="00E55EA7">
            <w:pPr>
              <w:spacing w:after="0" w:line="240" w:lineRule="auto"/>
              <w:rPr>
                <w:rFonts w:ascii="Arial Narrow" w:hAnsi="Arial Narrow"/>
                <w:sz w:val="20"/>
                <w:szCs w:val="20"/>
              </w:rPr>
            </w:pPr>
            <w:r w:rsidRPr="00E55EA7">
              <w:rPr>
                <w:rFonts w:ascii="Arial Narrow" w:hAnsi="Arial Narrow"/>
                <w:sz w:val="20"/>
                <w:szCs w:val="20"/>
              </w:rPr>
              <w:t>(a) the service is performed on a person under the supervision of an eligible provider; and</w:t>
            </w:r>
          </w:p>
          <w:p w14:paraId="2B2F98A8" w14:textId="77777777" w:rsidR="00A84228" w:rsidRPr="00E55EA7" w:rsidRDefault="00A84228" w:rsidP="00E55EA7">
            <w:pPr>
              <w:spacing w:after="0" w:line="240" w:lineRule="auto"/>
              <w:rPr>
                <w:rFonts w:ascii="Arial Narrow" w:hAnsi="Arial Narrow"/>
                <w:sz w:val="20"/>
                <w:szCs w:val="20"/>
              </w:rPr>
            </w:pPr>
            <w:r w:rsidRPr="00E55EA7">
              <w:rPr>
                <w:rFonts w:ascii="Arial Narrow" w:hAnsi="Arial Narrow"/>
                <w:sz w:val="20"/>
                <w:szCs w:val="20"/>
              </w:rPr>
              <w:t>(b) the service is performed using a gadolinium based specific contrast agent.</w:t>
            </w:r>
          </w:p>
          <w:p w14:paraId="4429FA52" w14:textId="77777777" w:rsidR="00A84228" w:rsidRPr="00E55EA7" w:rsidRDefault="00A84228" w:rsidP="00E55EA7">
            <w:pPr>
              <w:spacing w:after="0" w:line="240" w:lineRule="auto"/>
              <w:rPr>
                <w:rFonts w:ascii="Arial Narrow" w:hAnsi="Arial Narrow"/>
                <w:sz w:val="20"/>
                <w:szCs w:val="20"/>
              </w:rPr>
            </w:pPr>
          </w:p>
          <w:p w14:paraId="02E74DBA" w14:textId="068D5EBD" w:rsidR="00A84228" w:rsidRPr="00E55EA7" w:rsidRDefault="0069673F" w:rsidP="00E55EA7">
            <w:pPr>
              <w:spacing w:after="0" w:line="240" w:lineRule="auto"/>
              <w:rPr>
                <w:rFonts w:ascii="Arial Narrow" w:hAnsi="Arial Narrow"/>
                <w:sz w:val="20"/>
                <w:szCs w:val="20"/>
              </w:rPr>
            </w:pPr>
            <w:hyperlink r:id="rId19" w:history="1">
              <w:r w:rsidR="00A84228" w:rsidRPr="00E55EA7">
                <w:rPr>
                  <w:rStyle w:val="Hyperlink"/>
                  <w:rFonts w:ascii="Arial Narrow" w:hAnsi="Arial Narrow"/>
                  <w:sz w:val="20"/>
                  <w:szCs w:val="20"/>
                  <w:lang w:val="en-GB"/>
                </w:rPr>
                <w:t>Bulk bill incentive</w:t>
              </w:r>
            </w:hyperlink>
          </w:p>
          <w:p w14:paraId="78783C2B" w14:textId="77777777" w:rsidR="00A84228" w:rsidRPr="00E55EA7" w:rsidRDefault="00A84228" w:rsidP="00E55EA7">
            <w:pPr>
              <w:spacing w:after="0" w:line="240" w:lineRule="auto"/>
              <w:rPr>
                <w:rFonts w:ascii="Arial Narrow" w:hAnsi="Arial Narrow"/>
                <w:sz w:val="20"/>
                <w:szCs w:val="20"/>
                <w:lang w:val="en-GB"/>
              </w:rPr>
            </w:pPr>
          </w:p>
          <w:p w14:paraId="7E9D93FC" w14:textId="77777777" w:rsidR="00A84228" w:rsidRPr="00E55EA7" w:rsidRDefault="00A84228" w:rsidP="00E55EA7">
            <w:pPr>
              <w:spacing w:after="0" w:line="240" w:lineRule="auto"/>
              <w:rPr>
                <w:rFonts w:ascii="Arial Narrow" w:hAnsi="Arial Narrow"/>
                <w:sz w:val="20"/>
                <w:szCs w:val="20"/>
                <w:lang w:val="en-GB"/>
              </w:rPr>
            </w:pPr>
            <w:r w:rsidRPr="00E55EA7">
              <w:rPr>
                <w:rFonts w:ascii="Arial Narrow" w:hAnsi="Arial Narrow"/>
                <w:b/>
                <w:bCs/>
                <w:sz w:val="20"/>
                <w:szCs w:val="20"/>
                <w:lang w:val="en-GB"/>
              </w:rPr>
              <w:t>Fee:</w:t>
            </w:r>
            <w:r w:rsidRPr="00E55EA7">
              <w:rPr>
                <w:rFonts w:ascii="Arial Narrow" w:hAnsi="Arial Narrow"/>
                <w:sz w:val="20"/>
                <w:szCs w:val="20"/>
                <w:lang w:val="en-GB"/>
              </w:rPr>
              <w:t> $120.00 </w:t>
            </w:r>
            <w:r w:rsidRPr="00E55EA7">
              <w:rPr>
                <w:rFonts w:ascii="Arial Narrow" w:hAnsi="Arial Narrow"/>
                <w:b/>
                <w:bCs/>
                <w:sz w:val="20"/>
                <w:szCs w:val="20"/>
                <w:lang w:val="en-GB"/>
              </w:rPr>
              <w:t>Benefit:</w:t>
            </w:r>
            <w:r w:rsidRPr="00E55EA7">
              <w:rPr>
                <w:rFonts w:ascii="Arial Narrow" w:hAnsi="Arial Narrow"/>
                <w:sz w:val="20"/>
                <w:szCs w:val="20"/>
                <w:lang w:val="en-GB"/>
              </w:rPr>
              <w:t> 75% = $90.00 85% = $102.00</w:t>
            </w:r>
          </w:p>
          <w:p w14:paraId="2EA200C0" w14:textId="3F448EE0" w:rsidR="00A84228" w:rsidRPr="00E55EA7" w:rsidRDefault="00A84228" w:rsidP="00E55EA7">
            <w:pPr>
              <w:spacing w:after="0" w:line="240" w:lineRule="auto"/>
              <w:rPr>
                <w:rFonts w:ascii="Arial Narrow" w:hAnsi="Arial Narrow"/>
                <w:sz w:val="20"/>
                <w:szCs w:val="20"/>
              </w:rPr>
            </w:pPr>
          </w:p>
        </w:tc>
      </w:tr>
    </w:tbl>
    <w:p w14:paraId="62338695" w14:textId="5D91E287" w:rsidR="00D37A3F" w:rsidRPr="00DA79F1" w:rsidRDefault="003F0A39" w:rsidP="005D2196">
      <w:pPr>
        <w:pStyle w:val="Heading2"/>
      </w:pPr>
      <w:r w:rsidRPr="00DA79F1">
        <w:t xml:space="preserve">Summary of public consultation </w:t>
      </w:r>
      <w:r w:rsidR="00E470B0" w:rsidRPr="00DA79F1">
        <w:t>input</w:t>
      </w:r>
    </w:p>
    <w:p w14:paraId="7157816E" w14:textId="2C34BC10" w:rsidR="001A382A" w:rsidRPr="001A382A" w:rsidRDefault="001A382A" w:rsidP="001A382A">
      <w:pPr>
        <w:spacing w:after="120"/>
        <w:rPr>
          <w:iCs w:val="0"/>
        </w:rPr>
      </w:pPr>
      <w:r w:rsidRPr="001A382A">
        <w:rPr>
          <w:iCs w:val="0"/>
        </w:rPr>
        <w:t>Consultation feedback was received from five [5] professional organisations, two [2] consumer organisations and ten [10] individuals, all c</w:t>
      </w:r>
      <w:r w:rsidR="001B66EB">
        <w:rPr>
          <w:iCs w:val="0"/>
        </w:rPr>
        <w:t>are givers</w:t>
      </w:r>
      <w:r w:rsidRPr="001A382A">
        <w:rPr>
          <w:iCs w:val="0"/>
        </w:rPr>
        <w:t xml:space="preserve">. The seven [7] organisations that submitted input were: </w:t>
      </w:r>
    </w:p>
    <w:p w14:paraId="450D3DF7" w14:textId="3F10275A" w:rsidR="001A382A" w:rsidRDefault="001A382A" w:rsidP="001A382A">
      <w:pPr>
        <w:pStyle w:val="ListParagraph"/>
        <w:numPr>
          <w:ilvl w:val="0"/>
          <w:numId w:val="35"/>
        </w:numPr>
        <w:spacing w:after="0" w:line="240" w:lineRule="auto"/>
      </w:pPr>
      <w:r>
        <w:t>Australian and New Zealand Society of Nephrology (ANZSN)</w:t>
      </w:r>
    </w:p>
    <w:p w14:paraId="280F00E0" w14:textId="77777777" w:rsidR="001A382A" w:rsidRDefault="001A382A" w:rsidP="001A382A">
      <w:pPr>
        <w:pStyle w:val="ListParagraph"/>
        <w:numPr>
          <w:ilvl w:val="0"/>
          <w:numId w:val="35"/>
        </w:numPr>
        <w:spacing w:after="0" w:line="240" w:lineRule="auto"/>
      </w:pPr>
      <w:r>
        <w:t>Australian Society of Medical Imaging and Radiation</w:t>
      </w:r>
    </w:p>
    <w:p w14:paraId="62A16A8A" w14:textId="77777777" w:rsidR="001A382A" w:rsidRPr="00966724" w:rsidRDefault="001A382A" w:rsidP="001A382A">
      <w:pPr>
        <w:pStyle w:val="ListParagraph"/>
        <w:numPr>
          <w:ilvl w:val="0"/>
          <w:numId w:val="35"/>
        </w:numPr>
        <w:spacing w:after="0" w:line="240" w:lineRule="auto"/>
        <w:rPr>
          <w:color w:val="7030A0"/>
        </w:rPr>
      </w:pPr>
      <w:r>
        <w:t>Kidney Health Australia</w:t>
      </w:r>
    </w:p>
    <w:p w14:paraId="65810FD0" w14:textId="7ED18942" w:rsidR="001A382A" w:rsidRPr="00441CDB" w:rsidRDefault="001A382A" w:rsidP="001A382A">
      <w:pPr>
        <w:pStyle w:val="ListParagraph"/>
        <w:numPr>
          <w:ilvl w:val="0"/>
          <w:numId w:val="35"/>
        </w:numPr>
        <w:spacing w:after="0" w:line="240" w:lineRule="auto"/>
        <w:rPr>
          <w:i/>
          <w:iCs w:val="0"/>
          <w:color w:val="7030A0"/>
        </w:rPr>
      </w:pPr>
      <w:bookmarkStart w:id="18" w:name="_Hlk98771262"/>
      <w:r>
        <w:t>Royal Australian and New Zealand College of Radiologists (RANZCR)</w:t>
      </w:r>
      <w:bookmarkEnd w:id="18"/>
    </w:p>
    <w:p w14:paraId="23489D0B" w14:textId="77777777" w:rsidR="001A382A" w:rsidRPr="006C66B2" w:rsidRDefault="001A382A" w:rsidP="001A382A">
      <w:pPr>
        <w:pStyle w:val="ListParagraph"/>
        <w:numPr>
          <w:ilvl w:val="0"/>
          <w:numId w:val="35"/>
        </w:numPr>
        <w:spacing w:after="0" w:line="240" w:lineRule="auto"/>
        <w:rPr>
          <w:color w:val="7030A0"/>
        </w:rPr>
      </w:pPr>
      <w:r w:rsidRPr="006C66B2">
        <w:t xml:space="preserve">Royal College </w:t>
      </w:r>
      <w:r>
        <w:t>of Pathologists of Australasia (RCPA</w:t>
      </w:r>
      <w:r>
        <w:rPr>
          <w:color w:val="7030A0"/>
        </w:rPr>
        <w:t>)</w:t>
      </w:r>
    </w:p>
    <w:p w14:paraId="33BD79DA" w14:textId="2384DF74" w:rsidR="001A382A" w:rsidRDefault="001A382A" w:rsidP="001A382A">
      <w:pPr>
        <w:pStyle w:val="ListParagraph"/>
        <w:numPr>
          <w:ilvl w:val="0"/>
          <w:numId w:val="35"/>
        </w:numPr>
        <w:spacing w:after="0" w:line="240" w:lineRule="auto"/>
      </w:pPr>
      <w:r>
        <w:t xml:space="preserve">Tuberous Sclerosis Australia </w:t>
      </w:r>
      <w:r w:rsidR="00495E48">
        <w:t>(TSA)</w:t>
      </w:r>
    </w:p>
    <w:p w14:paraId="06F86548" w14:textId="77777777" w:rsidR="001A382A" w:rsidRDefault="001A382A" w:rsidP="001A382A">
      <w:pPr>
        <w:pStyle w:val="ListParagraph"/>
        <w:numPr>
          <w:ilvl w:val="0"/>
          <w:numId w:val="35"/>
        </w:numPr>
        <w:spacing w:after="0" w:line="240" w:lineRule="auto"/>
      </w:pPr>
      <w:r>
        <w:t>Urological Society of Australia and New Zealand (USANZ)</w:t>
      </w:r>
    </w:p>
    <w:p w14:paraId="45B9C348" w14:textId="5B932241" w:rsidR="001B66EB" w:rsidRDefault="001A382A" w:rsidP="00495E48">
      <w:pPr>
        <w:spacing w:before="200"/>
      </w:pPr>
      <w:r>
        <w:t xml:space="preserve">The consultation feedback </w:t>
      </w:r>
      <w:r w:rsidRPr="00DD092C">
        <w:t xml:space="preserve">received was all supportive of public </w:t>
      </w:r>
      <w:r>
        <w:t xml:space="preserve">funding for MSAC application 1702. </w:t>
      </w:r>
      <w:r w:rsidR="00495E48">
        <w:t>The RANZCR considered that the proposed service is evidence-based and clinically appropriate for the surveillance of patients with rare genetic conditions associated with the increased risk of renal tumours.</w:t>
      </w:r>
    </w:p>
    <w:p w14:paraId="2858F1B7" w14:textId="45FE3EBD" w:rsidR="001A382A" w:rsidRDefault="001A382A" w:rsidP="00D66DA6">
      <w:pPr>
        <w:spacing w:before="200"/>
        <w:rPr>
          <w:b/>
          <w:bCs/>
        </w:rPr>
      </w:pPr>
      <w:r w:rsidRPr="00C50417">
        <w:rPr>
          <w:b/>
          <w:bCs/>
        </w:rPr>
        <w:t>Clinical need and public health significance</w:t>
      </w:r>
    </w:p>
    <w:p w14:paraId="773DD185" w14:textId="77777777" w:rsidR="001A382A" w:rsidRDefault="001A382A" w:rsidP="004B3BCB">
      <w:pPr>
        <w:spacing w:after="160" w:line="259" w:lineRule="auto"/>
      </w:pPr>
      <w:r>
        <w:t xml:space="preserve">The main benefits of public funding received in the consultation feedback included: </w:t>
      </w:r>
    </w:p>
    <w:p w14:paraId="123433DA" w14:textId="25944218" w:rsidR="001A382A" w:rsidRPr="001A382A" w:rsidRDefault="001A382A" w:rsidP="001A382A">
      <w:pPr>
        <w:pStyle w:val="ListParagraph"/>
        <w:numPr>
          <w:ilvl w:val="0"/>
          <w:numId w:val="38"/>
        </w:numPr>
        <w:rPr>
          <w:bCs/>
        </w:rPr>
      </w:pPr>
      <w:r>
        <w:t xml:space="preserve">superior imaging sensitivity and specificity </w:t>
      </w:r>
      <w:r w:rsidRPr="00D32A2D">
        <w:t>for early detection and characterisation of renal tumours</w:t>
      </w:r>
      <w:r w:rsidRPr="001A382A">
        <w:t xml:space="preserve"> </w:t>
      </w:r>
      <w:r>
        <w:t>with MRI screening</w:t>
      </w:r>
    </w:p>
    <w:p w14:paraId="380522D9" w14:textId="6313703B" w:rsidR="001A382A" w:rsidRDefault="001A382A" w:rsidP="001A382A">
      <w:pPr>
        <w:pStyle w:val="ListParagraph"/>
        <w:numPr>
          <w:ilvl w:val="0"/>
          <w:numId w:val="38"/>
        </w:numPr>
        <w:rPr>
          <w:bCs/>
        </w:rPr>
      </w:pPr>
      <w:r w:rsidRPr="00380377">
        <w:lastRenderedPageBreak/>
        <w:t>earlier and more accurate diagnosis and resulting targeted therapy</w:t>
      </w:r>
      <w:r>
        <w:t xml:space="preserve">, </w:t>
      </w:r>
      <w:r w:rsidRPr="001A382A">
        <w:rPr>
          <w:bCs/>
        </w:rPr>
        <w:t>which can improve disease outcomes and extend life</w:t>
      </w:r>
      <w:r w:rsidR="004B3BCB">
        <w:rPr>
          <w:bCs/>
        </w:rPr>
        <w:t>,</w:t>
      </w:r>
      <w:r w:rsidR="00495E48">
        <w:rPr>
          <w:bCs/>
        </w:rPr>
        <w:t xml:space="preserve"> and</w:t>
      </w:r>
    </w:p>
    <w:p w14:paraId="199BC591" w14:textId="204324B6" w:rsidR="001A382A" w:rsidRPr="001A382A" w:rsidRDefault="00495E48" w:rsidP="001A382A">
      <w:pPr>
        <w:pStyle w:val="ListParagraph"/>
        <w:numPr>
          <w:ilvl w:val="0"/>
          <w:numId w:val="38"/>
        </w:numPr>
        <w:rPr>
          <w:bCs/>
        </w:rPr>
      </w:pPr>
      <w:r>
        <w:rPr>
          <w:bCs/>
        </w:rPr>
        <w:t>increased equity</w:t>
      </w:r>
      <w:r w:rsidR="001A382A" w:rsidRPr="001A382A">
        <w:rPr>
          <w:bCs/>
        </w:rPr>
        <w:t xml:space="preserve"> of access.</w:t>
      </w:r>
    </w:p>
    <w:p w14:paraId="07F71509" w14:textId="21D6DAC6" w:rsidR="001A382A" w:rsidRPr="00495E48" w:rsidRDefault="004B3BCB" w:rsidP="001B66EB">
      <w:pPr>
        <w:rPr>
          <w:bCs/>
        </w:rPr>
      </w:pPr>
      <w:r>
        <w:rPr>
          <w:bCs/>
        </w:rPr>
        <w:t xml:space="preserve">The </w:t>
      </w:r>
      <w:r w:rsidR="001A382A">
        <w:rPr>
          <w:bCs/>
        </w:rPr>
        <w:t xml:space="preserve">TSA noted that MRI is the only effective method to detect fat-poor </w:t>
      </w:r>
      <w:proofErr w:type="spellStart"/>
      <w:r w:rsidR="001A382A" w:rsidRPr="00147D36">
        <w:rPr>
          <w:bCs/>
        </w:rPr>
        <w:t>angiomyolipoma</w:t>
      </w:r>
      <w:r w:rsidR="001A382A">
        <w:rPr>
          <w:bCs/>
        </w:rPr>
        <w:t>s</w:t>
      </w:r>
      <w:proofErr w:type="spellEnd"/>
      <w:r w:rsidR="001A382A" w:rsidRPr="00147D36">
        <w:rPr>
          <w:bCs/>
        </w:rPr>
        <w:t xml:space="preserve"> </w:t>
      </w:r>
      <w:r w:rsidR="001A382A">
        <w:rPr>
          <w:bCs/>
        </w:rPr>
        <w:t xml:space="preserve">(AMLs) in patients living with Tuberous Sclerosis Complex (TSC). </w:t>
      </w:r>
      <w:r>
        <w:rPr>
          <w:bCs/>
        </w:rPr>
        <w:t xml:space="preserve">It </w:t>
      </w:r>
      <w:r w:rsidR="00495E48">
        <w:rPr>
          <w:bCs/>
        </w:rPr>
        <w:t>pointed out</w:t>
      </w:r>
      <w:r w:rsidR="001A382A">
        <w:rPr>
          <w:bCs/>
        </w:rPr>
        <w:t xml:space="preserve"> that the cost of MRIs prohibited some of their members </w:t>
      </w:r>
      <w:r w:rsidR="00B20E78">
        <w:rPr>
          <w:bCs/>
        </w:rPr>
        <w:t>from</w:t>
      </w:r>
      <w:r w:rsidR="001A382A">
        <w:rPr>
          <w:bCs/>
        </w:rPr>
        <w:t xml:space="preserve"> undertak</w:t>
      </w:r>
      <w:r w:rsidR="00B20E78">
        <w:rPr>
          <w:bCs/>
        </w:rPr>
        <w:t>ing</w:t>
      </w:r>
      <w:r w:rsidR="001A382A">
        <w:rPr>
          <w:bCs/>
        </w:rPr>
        <w:t xml:space="preserve"> the regular screening privately, or alternatively </w:t>
      </w:r>
      <w:r w:rsidR="00495E48">
        <w:rPr>
          <w:bCs/>
        </w:rPr>
        <w:t xml:space="preserve">face </w:t>
      </w:r>
      <w:r w:rsidR="001A382A">
        <w:rPr>
          <w:bCs/>
        </w:rPr>
        <w:t xml:space="preserve">an </w:t>
      </w:r>
      <w:r w:rsidR="00495E48">
        <w:rPr>
          <w:bCs/>
        </w:rPr>
        <w:t>out-of-pocket</w:t>
      </w:r>
      <w:r w:rsidR="001A382A">
        <w:rPr>
          <w:bCs/>
        </w:rPr>
        <w:t xml:space="preserve"> cost between $400 to $600 per screening.</w:t>
      </w:r>
    </w:p>
    <w:p w14:paraId="5A8C7591" w14:textId="69CD7D33" w:rsidR="001A382A" w:rsidRDefault="001A382A" w:rsidP="00495E48">
      <w:pPr>
        <w:spacing w:after="160" w:line="259" w:lineRule="auto"/>
      </w:pPr>
      <w:r>
        <w:t>The main disadvantages of public funding received in the consultation feedback included the limited capacity of diagnostic radiology</w:t>
      </w:r>
      <w:r w:rsidRPr="004B3BCB">
        <w:t xml:space="preserve">. One response noted that this may result in a potential disadvantage to the health system, </w:t>
      </w:r>
      <w:r w:rsidR="004B3BCB" w:rsidRPr="004B3BCB">
        <w:t>and</w:t>
      </w:r>
      <w:r w:rsidRPr="004B3BCB">
        <w:t xml:space="preserve"> the other considered </w:t>
      </w:r>
      <w:r w:rsidR="004B3BCB">
        <w:t>that</w:t>
      </w:r>
      <w:r w:rsidRPr="004B3BCB">
        <w:t xml:space="preserve"> patients may encounter long waiting lists due to limited capacity of MRI services.</w:t>
      </w:r>
      <w:r>
        <w:t xml:space="preserve"> </w:t>
      </w:r>
    </w:p>
    <w:p w14:paraId="59872A92" w14:textId="77777777" w:rsidR="001A382A" w:rsidRDefault="001A382A" w:rsidP="004B3BCB">
      <w:pPr>
        <w:spacing w:after="160" w:line="259" w:lineRule="auto"/>
      </w:pPr>
      <w:r>
        <w:t>The consultation feedback identified other services needed to be delivered before or after the intervention, including:</w:t>
      </w:r>
    </w:p>
    <w:p w14:paraId="3178F649" w14:textId="0A05C59E" w:rsidR="001A382A" w:rsidRPr="00A3542C" w:rsidRDefault="00495E48" w:rsidP="004B3BCB">
      <w:pPr>
        <w:pStyle w:val="ListParagraph"/>
        <w:numPr>
          <w:ilvl w:val="0"/>
          <w:numId w:val="37"/>
        </w:numPr>
        <w:spacing w:after="0" w:line="240" w:lineRule="auto"/>
      </w:pPr>
      <w:r>
        <w:t>d</w:t>
      </w:r>
      <w:r w:rsidR="001A382A" w:rsidRPr="00A3542C">
        <w:t>iagnostic genetic testing utilising MBS item numbers</w:t>
      </w:r>
    </w:p>
    <w:p w14:paraId="088D20CB" w14:textId="1D4ED126" w:rsidR="001A382A" w:rsidRPr="00A3542C" w:rsidRDefault="00495E48" w:rsidP="004B3BCB">
      <w:pPr>
        <w:pStyle w:val="ListParagraph"/>
        <w:numPr>
          <w:ilvl w:val="0"/>
          <w:numId w:val="37"/>
        </w:numPr>
        <w:spacing w:after="0" w:line="240" w:lineRule="auto"/>
      </w:pPr>
      <w:r>
        <w:t>g</w:t>
      </w:r>
      <w:r w:rsidR="001A382A" w:rsidRPr="00A3542C">
        <w:t>enetic counselling</w:t>
      </w:r>
      <w:r w:rsidR="001A382A">
        <w:t xml:space="preserve"> </w:t>
      </w:r>
      <w:r w:rsidR="001A382A" w:rsidRPr="00A3542C">
        <w:t xml:space="preserve">both for </w:t>
      </w:r>
      <w:r w:rsidR="001A382A">
        <w:t xml:space="preserve">patients and their </w:t>
      </w:r>
      <w:r w:rsidR="001A382A" w:rsidRPr="00A3542C">
        <w:t xml:space="preserve">family members </w:t>
      </w:r>
    </w:p>
    <w:p w14:paraId="292FD028" w14:textId="12E58FCA" w:rsidR="001A382A" w:rsidRPr="00A3542C" w:rsidRDefault="00495E48" w:rsidP="00122C3C">
      <w:pPr>
        <w:pStyle w:val="ListParagraph"/>
        <w:numPr>
          <w:ilvl w:val="0"/>
          <w:numId w:val="37"/>
        </w:numPr>
        <w:spacing w:after="200" w:line="240" w:lineRule="auto"/>
        <w:ind w:left="714" w:hanging="357"/>
      </w:pPr>
      <w:r>
        <w:t>e</w:t>
      </w:r>
      <w:r w:rsidR="001A382A" w:rsidRPr="00A3542C">
        <w:t xml:space="preserve">ducation and evidence-based guidelines for kidney clinicians </w:t>
      </w:r>
      <w:r w:rsidR="001A382A">
        <w:t xml:space="preserve">on </w:t>
      </w:r>
      <w:r w:rsidR="001A382A" w:rsidRPr="00A3542C">
        <w:t>the new service.</w:t>
      </w:r>
    </w:p>
    <w:p w14:paraId="22DA4D8A" w14:textId="77777777" w:rsidR="001A382A" w:rsidRDefault="001A382A" w:rsidP="00D66DA6">
      <w:pPr>
        <w:spacing w:before="200"/>
        <w:rPr>
          <w:b/>
          <w:bCs/>
        </w:rPr>
      </w:pPr>
      <w:r w:rsidRPr="00C50417">
        <w:rPr>
          <w:b/>
          <w:bCs/>
        </w:rPr>
        <w:t>Indication(s) for the proposed medical service and clinical claim</w:t>
      </w:r>
    </w:p>
    <w:p w14:paraId="794938D7" w14:textId="1FE97AC2" w:rsidR="001B66EB" w:rsidRPr="00495E48" w:rsidRDefault="001A382A" w:rsidP="00495E48">
      <w:pPr>
        <w:spacing w:after="160" w:line="259" w:lineRule="auto"/>
      </w:pPr>
      <w:r>
        <w:t xml:space="preserve">The consultation feedback ranged </w:t>
      </w:r>
      <w:r w:rsidRPr="00FF3B4D">
        <w:t xml:space="preserve">from </w:t>
      </w:r>
      <w:r w:rsidR="004B3BCB">
        <w:t>‘s</w:t>
      </w:r>
      <w:r w:rsidRPr="00FF3B4D">
        <w:t xml:space="preserve">trongly </w:t>
      </w:r>
      <w:r w:rsidR="004B3BCB">
        <w:t>a</w:t>
      </w:r>
      <w:r w:rsidRPr="00FF3B4D">
        <w:t>greeing</w:t>
      </w:r>
      <w:r w:rsidR="004B3BCB">
        <w:t>’</w:t>
      </w:r>
      <w:r w:rsidRPr="00FF3B4D">
        <w:t xml:space="preserve"> to </w:t>
      </w:r>
      <w:r w:rsidR="004B3BCB">
        <w:t>‘a</w:t>
      </w:r>
      <w:r w:rsidRPr="00FF3B4D">
        <w:t>greeing</w:t>
      </w:r>
      <w:r w:rsidR="004B3BCB">
        <w:t>’</w:t>
      </w:r>
      <w:r w:rsidRPr="00FF3B4D">
        <w:t xml:space="preserve"> with </w:t>
      </w:r>
      <w:r>
        <w:t xml:space="preserve">the proposed population(s). </w:t>
      </w:r>
    </w:p>
    <w:p w14:paraId="6B02E9A1" w14:textId="207D12DC" w:rsidR="001A382A" w:rsidRPr="009E7519" w:rsidRDefault="004B3BCB" w:rsidP="001A382A">
      <w:pPr>
        <w:pStyle w:val="ListParagraph"/>
        <w:spacing w:after="0" w:line="240" w:lineRule="auto"/>
        <w:rPr>
          <w:color w:val="7030A0"/>
        </w:rPr>
      </w:pPr>
      <w:r>
        <w:t xml:space="preserve">The </w:t>
      </w:r>
      <w:r w:rsidR="001A382A">
        <w:t xml:space="preserve">RCPA noted that the following genetic conditions / pathogenic variants should be included in the population: </w:t>
      </w:r>
    </w:p>
    <w:p w14:paraId="69C9A7B8" w14:textId="77777777" w:rsidR="001A382A" w:rsidRPr="009E7519" w:rsidRDefault="001A382A" w:rsidP="001A382A">
      <w:pPr>
        <w:pStyle w:val="ListParagraph"/>
        <w:numPr>
          <w:ilvl w:val="1"/>
          <w:numId w:val="35"/>
        </w:numPr>
        <w:spacing w:after="0" w:line="240" w:lineRule="auto"/>
      </w:pPr>
      <w:r w:rsidRPr="009E7519">
        <w:t>Beckwith Wiedemann syndrome</w:t>
      </w:r>
    </w:p>
    <w:p w14:paraId="78341CC6" w14:textId="77777777" w:rsidR="001A382A" w:rsidRPr="009E7519" w:rsidRDefault="001A382A" w:rsidP="001A382A">
      <w:pPr>
        <w:pStyle w:val="ListParagraph"/>
        <w:numPr>
          <w:ilvl w:val="1"/>
          <w:numId w:val="35"/>
        </w:numPr>
        <w:spacing w:after="0" w:line="240" w:lineRule="auto"/>
      </w:pPr>
      <w:r w:rsidRPr="009E7519">
        <w:t>WT1 pathogenic variants</w:t>
      </w:r>
    </w:p>
    <w:p w14:paraId="0240DD75" w14:textId="7507181C" w:rsidR="001A382A" w:rsidRPr="009E7519" w:rsidRDefault="001A382A" w:rsidP="001A382A">
      <w:pPr>
        <w:pStyle w:val="ListParagraph"/>
        <w:numPr>
          <w:ilvl w:val="1"/>
          <w:numId w:val="35"/>
        </w:numPr>
        <w:spacing w:after="0" w:line="240" w:lineRule="auto"/>
      </w:pPr>
      <w:r w:rsidRPr="009E7519">
        <w:t xml:space="preserve">Uniparental </w:t>
      </w:r>
      <w:proofErr w:type="spellStart"/>
      <w:r w:rsidRPr="009E7519">
        <w:t>disomy</w:t>
      </w:r>
      <w:proofErr w:type="spellEnd"/>
      <w:r w:rsidRPr="009E7519">
        <w:t xml:space="preserve"> (UPD)- chromosome 11</w:t>
      </w:r>
    </w:p>
    <w:p w14:paraId="0D7C78FF" w14:textId="1464AB2A" w:rsidR="001A382A" w:rsidRPr="009E7519" w:rsidRDefault="001A382A" w:rsidP="001A382A">
      <w:pPr>
        <w:pStyle w:val="ListParagraph"/>
        <w:numPr>
          <w:ilvl w:val="1"/>
          <w:numId w:val="35"/>
        </w:numPr>
        <w:spacing w:after="0" w:line="240" w:lineRule="auto"/>
      </w:pPr>
      <w:r w:rsidRPr="009E7519">
        <w:t>Copy number variations (CNVs) of that area of chromosome 11</w:t>
      </w:r>
    </w:p>
    <w:p w14:paraId="7B3A778C" w14:textId="5C080062" w:rsidR="001A382A" w:rsidRPr="009E7519" w:rsidRDefault="001A382A" w:rsidP="001A382A">
      <w:pPr>
        <w:pStyle w:val="ListParagraph"/>
        <w:numPr>
          <w:ilvl w:val="1"/>
          <w:numId w:val="35"/>
        </w:numPr>
        <w:spacing w:after="0" w:line="240" w:lineRule="auto"/>
      </w:pPr>
      <w:r w:rsidRPr="009E7519">
        <w:t>CDKN1C pathogenic variants.</w:t>
      </w:r>
      <w:r w:rsidR="007453C5">
        <w:br/>
      </w:r>
      <w:r w:rsidR="007453C5" w:rsidRPr="002267DC">
        <w:rPr>
          <w:i/>
          <w:iCs w:val="0"/>
        </w:rPr>
        <w:t>However, PASC noted that</w:t>
      </w:r>
      <w:r w:rsidR="007453C5">
        <w:t xml:space="preserve"> </w:t>
      </w:r>
      <w:r w:rsidR="007453C5">
        <w:rPr>
          <w:i/>
          <w:iCs w:val="0"/>
        </w:rPr>
        <w:t>these variants are associated with predisposition to nephroblastoma (Wilms tumour) in infancy and childhood, for which the current recommendation for surveillance is US (</w:t>
      </w:r>
      <w:r w:rsidR="007453C5" w:rsidRPr="00443DFF">
        <w:rPr>
          <w:i/>
        </w:rPr>
        <w:t xml:space="preserve">Kalish JM </w:t>
      </w:r>
      <w:r w:rsidR="007453C5" w:rsidRPr="00443DFF">
        <w:rPr>
          <w:i/>
          <w:iCs w:val="0"/>
        </w:rPr>
        <w:t xml:space="preserve">et al: Clin Cancer Res </w:t>
      </w:r>
      <w:r w:rsidR="007453C5" w:rsidRPr="00443DFF">
        <w:rPr>
          <w:i/>
        </w:rPr>
        <w:t xml:space="preserve">2017; </w:t>
      </w:r>
      <w:r w:rsidR="007453C5" w:rsidRPr="00443DFF">
        <w:rPr>
          <w:b/>
          <w:bCs/>
          <w:i/>
        </w:rPr>
        <w:t>23</w:t>
      </w:r>
      <w:r w:rsidR="007453C5" w:rsidRPr="00443DFF">
        <w:rPr>
          <w:i/>
        </w:rPr>
        <w:t>:e115-e122</w:t>
      </w:r>
      <w:r w:rsidR="007453C5">
        <w:rPr>
          <w:i/>
        </w:rPr>
        <w:t>)</w:t>
      </w:r>
      <w:r w:rsidR="007453C5" w:rsidRPr="009D7BAE">
        <w:rPr>
          <w:rFonts w:asciiTheme="minorHAnsi" w:hAnsiTheme="minorHAnsi" w:cstheme="minorHAnsi"/>
          <w:i/>
          <w:sz w:val="24"/>
        </w:rPr>
        <w:t>.</w:t>
      </w:r>
      <w:r w:rsidRPr="009E7519">
        <w:t xml:space="preserve"> </w:t>
      </w:r>
    </w:p>
    <w:p w14:paraId="0D092D73" w14:textId="2C34F0AB" w:rsidR="001A382A" w:rsidRDefault="001A382A" w:rsidP="001A382A">
      <w:pPr>
        <w:pStyle w:val="ListParagraph"/>
      </w:pPr>
      <w:r>
        <w:t>The USANZ considered that inclusion of additional relevant syndromes should be clarified (e. g. hereditary papillary type 1 RCC, SDH-</w:t>
      </w:r>
      <w:proofErr w:type="spellStart"/>
      <w:r>
        <w:t>srRCC</w:t>
      </w:r>
      <w:proofErr w:type="spellEnd"/>
      <w:r>
        <w:t>), and also coverage for additional new conditions with an increased risk of renal cancers that may be identified in the future. It also noted that urologist should be included in the referring specialists.</w:t>
      </w:r>
    </w:p>
    <w:p w14:paraId="1D7FC299" w14:textId="07AE1C8F" w:rsidR="001A382A" w:rsidRPr="00147D36" w:rsidRDefault="004B3BCB" w:rsidP="004B3BCB">
      <w:pPr>
        <w:pStyle w:val="ListParagraph"/>
      </w:pPr>
      <w:r>
        <w:t xml:space="preserve">The </w:t>
      </w:r>
      <w:r w:rsidR="001A382A">
        <w:t xml:space="preserve">TSA noted that children with TSC who require sedation for MRI, should be able to combine an abdominal MRIs with their regular brain MRIs. </w:t>
      </w:r>
    </w:p>
    <w:p w14:paraId="36EBC0FA" w14:textId="4C897990" w:rsidR="001A382A" w:rsidRDefault="001A382A" w:rsidP="001B66EB">
      <w:pPr>
        <w:spacing w:after="160" w:line="259" w:lineRule="auto"/>
      </w:pPr>
      <w:r>
        <w:t xml:space="preserve">The consultation feedback ranged </w:t>
      </w:r>
      <w:r w:rsidRPr="00FF3B4D">
        <w:t xml:space="preserve">from </w:t>
      </w:r>
      <w:r w:rsidR="004B3BCB">
        <w:t>‘s</w:t>
      </w:r>
      <w:r w:rsidRPr="00FF3B4D">
        <w:t xml:space="preserve">trongly </w:t>
      </w:r>
      <w:r w:rsidR="004B3BCB">
        <w:t>a</w:t>
      </w:r>
      <w:r w:rsidRPr="00FF3B4D">
        <w:t>greeing</w:t>
      </w:r>
      <w:r w:rsidR="004B3BCB">
        <w:t>’</w:t>
      </w:r>
      <w:r w:rsidRPr="00FF3B4D">
        <w:t xml:space="preserve"> to </w:t>
      </w:r>
      <w:r w:rsidR="004B3BCB">
        <w:t>‘a</w:t>
      </w:r>
      <w:r w:rsidRPr="00FF3B4D">
        <w:t>greeing</w:t>
      </w:r>
      <w:r w:rsidR="004B3BCB">
        <w:t>’</w:t>
      </w:r>
      <w:r w:rsidRPr="00FF3B4D">
        <w:t xml:space="preserve"> with the </w:t>
      </w:r>
      <w:r>
        <w:t xml:space="preserve">proposed comparator(s) and the clinical claim. Consultation feedback considered that MRI would be best imaging technique for recurrent screening, as small lesions may be missed on ultrasound; serial monitoring of growth is more accurate on cross sectional MRI imaging; and cumulative radiation dose from recurrent </w:t>
      </w:r>
      <w:r w:rsidRPr="00AB2A99">
        <w:t>computerized tomography (CT)</w:t>
      </w:r>
      <w:r>
        <w:t xml:space="preserve"> scans is significant. </w:t>
      </w:r>
    </w:p>
    <w:p w14:paraId="125BEB01" w14:textId="77777777" w:rsidR="00034BE6" w:rsidRDefault="00034BE6">
      <w:pPr>
        <w:spacing w:after="160" w:line="259" w:lineRule="auto"/>
        <w:rPr>
          <w:b/>
          <w:bCs/>
        </w:rPr>
      </w:pPr>
      <w:r>
        <w:rPr>
          <w:b/>
          <w:bCs/>
        </w:rPr>
        <w:br w:type="page"/>
      </w:r>
    </w:p>
    <w:p w14:paraId="1316ABF4" w14:textId="35C2EF1D" w:rsidR="001A382A" w:rsidRDefault="001A382A" w:rsidP="00D66DA6">
      <w:pPr>
        <w:spacing w:before="200"/>
        <w:rPr>
          <w:b/>
          <w:bCs/>
        </w:rPr>
      </w:pPr>
      <w:r w:rsidRPr="00E76884">
        <w:rPr>
          <w:b/>
          <w:bCs/>
        </w:rPr>
        <w:lastRenderedPageBreak/>
        <w:t>Cost information for the proposed medical service</w:t>
      </w:r>
    </w:p>
    <w:p w14:paraId="67CF79BE" w14:textId="2C6CEB10" w:rsidR="001A382A" w:rsidRPr="00AB2A99" w:rsidRDefault="001A382A" w:rsidP="004B3BCB">
      <w:pPr>
        <w:spacing w:after="160" w:line="259" w:lineRule="auto"/>
      </w:pPr>
      <w:r>
        <w:t xml:space="preserve">The consultation feedback ranged </w:t>
      </w:r>
      <w:r w:rsidRPr="00FF3B4D">
        <w:t xml:space="preserve">from </w:t>
      </w:r>
      <w:r w:rsidR="004B3BCB">
        <w:t>‘s</w:t>
      </w:r>
      <w:r w:rsidR="004B3BCB" w:rsidRPr="00FF3B4D">
        <w:t xml:space="preserve">trongly </w:t>
      </w:r>
      <w:r w:rsidR="004B3BCB">
        <w:t>a</w:t>
      </w:r>
      <w:r w:rsidR="004B3BCB" w:rsidRPr="00FF3B4D">
        <w:t>greeing</w:t>
      </w:r>
      <w:r w:rsidR="004B3BCB">
        <w:t>’</w:t>
      </w:r>
      <w:r w:rsidR="004B3BCB" w:rsidRPr="00FF3B4D">
        <w:t xml:space="preserve"> to </w:t>
      </w:r>
      <w:r w:rsidR="004B3BCB">
        <w:t>‘a</w:t>
      </w:r>
      <w:r w:rsidR="004B3BCB" w:rsidRPr="00FF3B4D">
        <w:t>greeing</w:t>
      </w:r>
      <w:r w:rsidR="004B3BCB">
        <w:t xml:space="preserve">’ </w:t>
      </w:r>
      <w:r>
        <w:t>with the proposed service descriptor and proposed fee.</w:t>
      </w:r>
    </w:p>
    <w:p w14:paraId="1D7E6084" w14:textId="43C57206" w:rsidR="001A382A" w:rsidRDefault="004B3BCB" w:rsidP="001B66EB">
      <w:r>
        <w:t xml:space="preserve">The </w:t>
      </w:r>
      <w:r w:rsidR="001A382A" w:rsidRPr="004F04A4">
        <w:t>RANZCR considered that it should be clarified that radiologists would be the providers of the service rather than nephrologists.</w:t>
      </w:r>
      <w:r w:rsidR="001A382A">
        <w:t xml:space="preserve"> Kidney Health Australia considered that the proposed fees should be reviewed against current charges from public and private services, and out of pocket cost should be minimised.</w:t>
      </w:r>
    </w:p>
    <w:p w14:paraId="66035DA0" w14:textId="24F14189" w:rsidR="001A382A" w:rsidRDefault="00122C3C" w:rsidP="00D66DA6">
      <w:pPr>
        <w:spacing w:before="200"/>
        <w:rPr>
          <w:b/>
          <w:bCs/>
        </w:rPr>
      </w:pPr>
      <w:r>
        <w:rPr>
          <w:b/>
          <w:bCs/>
        </w:rPr>
        <w:t>Individual</w:t>
      </w:r>
      <w:r w:rsidR="001A382A">
        <w:rPr>
          <w:b/>
          <w:bCs/>
        </w:rPr>
        <w:t xml:space="preserve"> Feedback</w:t>
      </w:r>
    </w:p>
    <w:p w14:paraId="2A2BAD86" w14:textId="51095FDB" w:rsidR="001A382A" w:rsidRDefault="001A382A" w:rsidP="004B3BCB">
      <w:pPr>
        <w:rPr>
          <w:bCs/>
        </w:rPr>
      </w:pPr>
      <w:r>
        <w:rPr>
          <w:bCs/>
        </w:rPr>
        <w:t>Ten individual submissions were received from caregivers of children with tuberous sclerosis complex (TSC), which all supported the application.</w:t>
      </w:r>
    </w:p>
    <w:p w14:paraId="68ACC4D2" w14:textId="1BBF26C9" w:rsidR="001A382A" w:rsidRDefault="001B66EB" w:rsidP="004B3BCB">
      <w:pPr>
        <w:rPr>
          <w:bCs/>
        </w:rPr>
      </w:pPr>
      <w:r>
        <w:rPr>
          <w:bCs/>
        </w:rPr>
        <w:t>The consumers</w:t>
      </w:r>
      <w:r w:rsidR="001A382A">
        <w:rPr>
          <w:bCs/>
        </w:rPr>
        <w:t xml:space="preserve"> considered that abdominal MRIs would lead to earlier detection and treatment of tumours, and better health outcomes and are recommended in international guidelines for screening of tumours. Some feedback considered that it would be helpful to combine abdominal MRIs with brain MRIs, where patients require sedation for their MRI. </w:t>
      </w:r>
    </w:p>
    <w:p w14:paraId="47078FA5" w14:textId="05D7ECE1" w:rsidR="001A382A" w:rsidRDefault="001A382A" w:rsidP="004B3BCB">
      <w:pPr>
        <w:rPr>
          <w:bCs/>
        </w:rPr>
      </w:pPr>
      <w:r>
        <w:rPr>
          <w:bCs/>
        </w:rPr>
        <w:t xml:space="preserve">The feedback </w:t>
      </w:r>
      <w:r w:rsidR="004B3BCB">
        <w:rPr>
          <w:bCs/>
        </w:rPr>
        <w:t>considere</w:t>
      </w:r>
      <w:r>
        <w:rPr>
          <w:bCs/>
        </w:rPr>
        <w:t>d that public funding of abdominal MRIs would ensure equity of access and pointed out the significant cost of caring for a family member with TSC, where many are unable to afford privately funded abdominal MRIs.</w:t>
      </w:r>
    </w:p>
    <w:p w14:paraId="70CC4F57" w14:textId="1C77DA3C" w:rsidR="00D66DA6" w:rsidRPr="00D66DA6" w:rsidRDefault="00D66DA6" w:rsidP="00D66DA6">
      <w:pPr>
        <w:rPr>
          <w:i/>
          <w:iCs w:val="0"/>
        </w:rPr>
      </w:pPr>
      <w:r w:rsidRPr="00D66DA6">
        <w:rPr>
          <w:i/>
          <w:iCs w:val="0"/>
        </w:rPr>
        <w:t>PASC discussed the responses from six organisations. All were supportive of the proposal. PASC noted that RANZCR clarified that radiologists and not nephrologists were providers of the service. PASC also noted that the Royal College of Pathologists of Australia suggested that other rare conditions which could also be included in the population include: Beckwith Wiedemann syndrome (</w:t>
      </w:r>
      <w:r w:rsidRPr="00E642F3">
        <w:t xml:space="preserve">WT1 </w:t>
      </w:r>
      <w:r w:rsidRPr="00D66DA6">
        <w:rPr>
          <w:i/>
          <w:iCs w:val="0"/>
        </w:rPr>
        <w:t xml:space="preserve">would be another gene), UPD chromosome 11, CNVs of that area of chromosome 11, </w:t>
      </w:r>
      <w:r w:rsidRPr="00E642F3">
        <w:t>CDKN1C</w:t>
      </w:r>
      <w:r w:rsidRPr="00D66DA6">
        <w:rPr>
          <w:i/>
          <w:iCs w:val="0"/>
        </w:rPr>
        <w:t xml:space="preserve"> pathogenic variants</w:t>
      </w:r>
      <w:r w:rsidR="00443DFF">
        <w:rPr>
          <w:i/>
          <w:iCs w:val="0"/>
        </w:rPr>
        <w:t xml:space="preserve">; however, these variants are associated with </w:t>
      </w:r>
      <w:r w:rsidR="00B84929">
        <w:rPr>
          <w:i/>
          <w:iCs w:val="0"/>
        </w:rPr>
        <w:t xml:space="preserve">predisposition to </w:t>
      </w:r>
      <w:r w:rsidR="00443DFF">
        <w:rPr>
          <w:i/>
          <w:iCs w:val="0"/>
        </w:rPr>
        <w:t>nephroblastoma (Wilms tumour) in infancy and childhood, for which the current recommendation for surveillance is US (</w:t>
      </w:r>
      <w:r w:rsidR="00443DFF" w:rsidRPr="00443DFF">
        <w:rPr>
          <w:i/>
        </w:rPr>
        <w:t xml:space="preserve">Kalish JM </w:t>
      </w:r>
      <w:r w:rsidR="00443DFF" w:rsidRPr="00443DFF">
        <w:rPr>
          <w:i/>
          <w:iCs w:val="0"/>
        </w:rPr>
        <w:t xml:space="preserve">et al: Clin Cancer Res </w:t>
      </w:r>
      <w:r w:rsidR="00443DFF" w:rsidRPr="00443DFF">
        <w:rPr>
          <w:i/>
        </w:rPr>
        <w:t xml:space="preserve">2017; </w:t>
      </w:r>
      <w:r w:rsidR="00443DFF" w:rsidRPr="00443DFF">
        <w:rPr>
          <w:b/>
          <w:bCs/>
          <w:i/>
        </w:rPr>
        <w:t>23</w:t>
      </w:r>
      <w:r w:rsidR="00443DFF" w:rsidRPr="00443DFF">
        <w:rPr>
          <w:i/>
        </w:rPr>
        <w:t>:e115-e122</w:t>
      </w:r>
      <w:r w:rsidR="00B84929">
        <w:rPr>
          <w:i/>
        </w:rPr>
        <w:t>)</w:t>
      </w:r>
      <w:r w:rsidRPr="00D66DA6">
        <w:rPr>
          <w:i/>
          <w:iCs w:val="0"/>
        </w:rPr>
        <w:t>.</w:t>
      </w:r>
    </w:p>
    <w:p w14:paraId="47A71B3A" w14:textId="0CEF1EFA" w:rsidR="00D66DA6" w:rsidRDefault="00D66DA6" w:rsidP="004B3BCB">
      <w:pPr>
        <w:rPr>
          <w:bCs/>
        </w:rPr>
      </w:pPr>
      <w:r w:rsidRPr="00D66DA6">
        <w:rPr>
          <w:i/>
          <w:iCs w:val="0"/>
        </w:rPr>
        <w:t>PASC noted there were also more than 10 individual responses; all were from individuals who had, or were parents of people who had, TSC. All responses were also supportive.</w:t>
      </w:r>
    </w:p>
    <w:p w14:paraId="4AB6C232" w14:textId="5A76AE0C" w:rsidR="00C56B42" w:rsidRDefault="00D37A3F" w:rsidP="00E55EA7">
      <w:pPr>
        <w:pStyle w:val="Heading2"/>
      </w:pPr>
      <w:r w:rsidRPr="00DA79F1">
        <w:t>Next steps</w:t>
      </w:r>
    </w:p>
    <w:p w14:paraId="2AE1290B" w14:textId="73AF9E19" w:rsidR="00D66DA6" w:rsidRPr="008404A1" w:rsidRDefault="00D66DA6" w:rsidP="00840416">
      <w:pPr>
        <w:rPr>
          <w:i/>
          <w:iCs w:val="0"/>
        </w:rPr>
      </w:pPr>
      <w:r w:rsidRPr="008404A1">
        <w:rPr>
          <w:i/>
          <w:iCs w:val="0"/>
        </w:rPr>
        <w:t>The applicant indicated the assessment would proceed as a Department Contracted Assessment Report (DCAR).</w:t>
      </w:r>
    </w:p>
    <w:p w14:paraId="0A370FC0" w14:textId="77777777" w:rsidR="00AD39A0" w:rsidRDefault="006166EB" w:rsidP="006166EB">
      <w:pPr>
        <w:pStyle w:val="Heading2"/>
      </w:pPr>
      <w:r>
        <w:t>Applicant comment on ratified PICO Confirmation</w:t>
      </w:r>
    </w:p>
    <w:p w14:paraId="4D40AF84" w14:textId="77777777" w:rsidR="00AD39A0" w:rsidRPr="00F06230" w:rsidRDefault="00AD39A0" w:rsidP="00F06230">
      <w:pPr>
        <w:pStyle w:val="Instructionaltext"/>
        <w:keepNext/>
        <w:spacing w:before="0" w:after="0"/>
        <w:rPr>
          <w:b/>
          <w:bCs/>
          <w:i/>
          <w:iCs w:val="0"/>
          <w:color w:val="auto"/>
        </w:rPr>
      </w:pPr>
      <w:r w:rsidRPr="00F06230">
        <w:rPr>
          <w:b/>
          <w:bCs/>
          <w:i/>
          <w:iCs w:val="0"/>
          <w:color w:val="auto"/>
        </w:rPr>
        <w:t>Access to prior testing</w:t>
      </w:r>
    </w:p>
    <w:p w14:paraId="5364D04E" w14:textId="77777777" w:rsidR="00F06230" w:rsidRPr="009E6B94" w:rsidRDefault="00AD39A0" w:rsidP="00503A14">
      <w:pPr>
        <w:pStyle w:val="Instructionaltext"/>
        <w:keepNext/>
        <w:spacing w:before="0" w:after="240"/>
        <w:rPr>
          <w:rFonts w:asciiTheme="minorHAnsi" w:hAnsiTheme="minorHAnsi" w:cstheme="minorHAnsi"/>
          <w:i/>
          <w:iCs w:val="0"/>
          <w:color w:val="auto"/>
        </w:rPr>
      </w:pPr>
      <w:r w:rsidRPr="009E6B94">
        <w:rPr>
          <w:rFonts w:asciiTheme="minorHAnsi" w:hAnsiTheme="minorHAnsi" w:cstheme="minorHAnsi"/>
          <w:i/>
          <w:iCs w:val="0"/>
          <w:color w:val="auto"/>
        </w:rPr>
        <w:t xml:space="preserve">Following the outcome of MSAC Application No. 1600, genetic testing for heritable kidney disease will be available through the MBS as of 01/07/22, therefore the section “Access to Prior Testing” will no longer be </w:t>
      </w:r>
      <w:r w:rsidRPr="009E6B94">
        <w:rPr>
          <w:rFonts w:asciiTheme="minorHAnsi" w:hAnsiTheme="minorHAnsi" w:cstheme="minorHAnsi"/>
          <w:i/>
          <w:iCs w:val="0"/>
          <w:color w:val="auto"/>
        </w:rPr>
        <w:lastRenderedPageBreak/>
        <w:t>accurate. This does not have a substantial impact on this application for abdominal MRI funding, only on the availability of reimbursed prior testing.</w:t>
      </w:r>
    </w:p>
    <w:p w14:paraId="36D59FD6" w14:textId="77777777" w:rsidR="00F06230" w:rsidRPr="00F06230" w:rsidRDefault="00F06230" w:rsidP="00F06230">
      <w:pPr>
        <w:pStyle w:val="Instructionaltext"/>
        <w:keepNext/>
        <w:spacing w:before="0" w:after="0"/>
        <w:rPr>
          <w:b/>
          <w:bCs/>
          <w:i/>
          <w:iCs w:val="0"/>
          <w:color w:val="auto"/>
        </w:rPr>
      </w:pPr>
      <w:r w:rsidRPr="00F06230">
        <w:rPr>
          <w:b/>
          <w:bCs/>
          <w:i/>
          <w:iCs w:val="0"/>
          <w:color w:val="auto"/>
        </w:rPr>
        <w:t>Proposal for public funding</w:t>
      </w:r>
    </w:p>
    <w:p w14:paraId="03DF9B7B" w14:textId="750178EE" w:rsidR="002267DC" w:rsidRPr="009E6B94" w:rsidRDefault="00F06230" w:rsidP="009E6B94">
      <w:pPr>
        <w:spacing w:after="0" w:line="240" w:lineRule="auto"/>
        <w:rPr>
          <w:rFonts w:asciiTheme="minorHAnsi" w:hAnsiTheme="minorHAnsi" w:cstheme="minorHAnsi"/>
          <w:i/>
          <w:iCs w:val="0"/>
          <w:szCs w:val="24"/>
        </w:rPr>
      </w:pPr>
      <w:r w:rsidRPr="00F06230">
        <w:rPr>
          <w:rFonts w:asciiTheme="minorHAnsi" w:hAnsiTheme="minorHAnsi" w:cstheme="minorHAnsi"/>
          <w:i/>
          <w:iCs w:val="0"/>
          <w:szCs w:val="24"/>
        </w:rPr>
        <w:t xml:space="preserve">As discussed in PASC </w:t>
      </w:r>
      <w:r>
        <w:rPr>
          <w:rFonts w:asciiTheme="minorHAnsi" w:hAnsiTheme="minorHAnsi" w:cstheme="minorHAnsi"/>
          <w:i/>
          <w:iCs w:val="0"/>
          <w:szCs w:val="24"/>
        </w:rPr>
        <w:t>the applicant</w:t>
      </w:r>
      <w:r w:rsidRPr="00F06230">
        <w:rPr>
          <w:rFonts w:asciiTheme="minorHAnsi" w:hAnsiTheme="minorHAnsi" w:cstheme="minorHAnsi"/>
          <w:i/>
          <w:iCs w:val="0"/>
          <w:szCs w:val="24"/>
        </w:rPr>
        <w:t xml:space="preserve"> agree</w:t>
      </w:r>
      <w:r>
        <w:rPr>
          <w:rFonts w:asciiTheme="minorHAnsi" w:hAnsiTheme="minorHAnsi" w:cstheme="minorHAnsi"/>
          <w:i/>
          <w:iCs w:val="0"/>
          <w:szCs w:val="24"/>
        </w:rPr>
        <w:t>s</w:t>
      </w:r>
      <w:r w:rsidRPr="00F06230">
        <w:rPr>
          <w:rFonts w:asciiTheme="minorHAnsi" w:hAnsiTheme="minorHAnsi" w:cstheme="minorHAnsi"/>
          <w:i/>
          <w:iCs w:val="0"/>
          <w:szCs w:val="24"/>
        </w:rPr>
        <w:t xml:space="preserve"> the </w:t>
      </w:r>
      <w:r>
        <w:rPr>
          <w:rFonts w:asciiTheme="minorHAnsi" w:hAnsiTheme="minorHAnsi" w:cstheme="minorHAnsi"/>
          <w:i/>
          <w:iCs w:val="0"/>
          <w:szCs w:val="24"/>
        </w:rPr>
        <w:t>f</w:t>
      </w:r>
      <w:r w:rsidRPr="00F06230">
        <w:rPr>
          <w:rFonts w:asciiTheme="minorHAnsi" w:hAnsiTheme="minorHAnsi" w:cstheme="minorHAnsi"/>
          <w:i/>
          <w:iCs w:val="0"/>
          <w:szCs w:val="24"/>
        </w:rPr>
        <w:t xml:space="preserve">ee should be aligned with existing abdominal MRI MBS </w:t>
      </w:r>
      <w:r>
        <w:rPr>
          <w:rFonts w:asciiTheme="minorHAnsi" w:hAnsiTheme="minorHAnsi" w:cstheme="minorHAnsi"/>
          <w:i/>
          <w:iCs w:val="0"/>
          <w:szCs w:val="24"/>
        </w:rPr>
        <w:t xml:space="preserve">item </w:t>
      </w:r>
      <w:r w:rsidRPr="00F06230">
        <w:rPr>
          <w:rFonts w:asciiTheme="minorHAnsi" w:hAnsiTheme="minorHAnsi" w:cstheme="minorHAnsi"/>
          <w:i/>
          <w:iCs w:val="0"/>
          <w:szCs w:val="24"/>
        </w:rPr>
        <w:t xml:space="preserve">numbers to reflect current costs of this service – this relates to item number 63473 </w:t>
      </w:r>
      <w:r>
        <w:rPr>
          <w:rFonts w:asciiTheme="minorHAnsi" w:hAnsiTheme="minorHAnsi" w:cstheme="minorHAnsi"/>
          <w:i/>
          <w:iCs w:val="0"/>
          <w:szCs w:val="24"/>
        </w:rPr>
        <w:t>-</w:t>
      </w:r>
      <w:r w:rsidRPr="00F06230">
        <w:rPr>
          <w:rFonts w:asciiTheme="minorHAnsi" w:hAnsiTheme="minorHAnsi" w:cstheme="minorHAnsi"/>
          <w:i/>
          <w:iCs w:val="0"/>
          <w:szCs w:val="24"/>
        </w:rPr>
        <w:t xml:space="preserve"> $627.20 and </w:t>
      </w:r>
      <w:r>
        <w:rPr>
          <w:rFonts w:asciiTheme="minorHAnsi" w:hAnsiTheme="minorHAnsi" w:cstheme="minorHAnsi"/>
          <w:i/>
          <w:iCs w:val="0"/>
          <w:szCs w:val="24"/>
        </w:rPr>
        <w:t>i</w:t>
      </w:r>
      <w:r w:rsidRPr="00F06230">
        <w:rPr>
          <w:rFonts w:asciiTheme="minorHAnsi" w:hAnsiTheme="minorHAnsi" w:cstheme="minorHAnsi"/>
          <w:i/>
          <w:iCs w:val="0"/>
          <w:szCs w:val="24"/>
        </w:rPr>
        <w:t xml:space="preserve">tem </w:t>
      </w:r>
      <w:r>
        <w:rPr>
          <w:rFonts w:asciiTheme="minorHAnsi" w:hAnsiTheme="minorHAnsi" w:cstheme="minorHAnsi"/>
          <w:i/>
          <w:iCs w:val="0"/>
          <w:szCs w:val="24"/>
        </w:rPr>
        <w:t>n</w:t>
      </w:r>
      <w:r w:rsidRPr="00F06230">
        <w:rPr>
          <w:rFonts w:asciiTheme="minorHAnsi" w:hAnsiTheme="minorHAnsi" w:cstheme="minorHAnsi"/>
          <w:i/>
          <w:iCs w:val="0"/>
          <w:szCs w:val="24"/>
        </w:rPr>
        <w:t xml:space="preserve">umber </w:t>
      </w:r>
      <w:r w:rsidR="00D42613" w:rsidRPr="00F06230">
        <w:rPr>
          <w:rFonts w:asciiTheme="minorHAnsi" w:hAnsiTheme="minorHAnsi" w:cstheme="minorHAnsi"/>
          <w:i/>
          <w:iCs w:val="0"/>
          <w:szCs w:val="24"/>
        </w:rPr>
        <w:t>6349</w:t>
      </w:r>
      <w:r w:rsidR="00D42613">
        <w:rPr>
          <w:rFonts w:asciiTheme="minorHAnsi" w:hAnsiTheme="minorHAnsi" w:cstheme="minorHAnsi"/>
          <w:i/>
          <w:iCs w:val="0"/>
          <w:szCs w:val="24"/>
        </w:rPr>
        <w:t>1</w:t>
      </w:r>
      <w:r w:rsidR="00D42613" w:rsidRPr="00F06230">
        <w:rPr>
          <w:rFonts w:asciiTheme="minorHAnsi" w:hAnsiTheme="minorHAnsi" w:cstheme="minorHAnsi"/>
          <w:i/>
          <w:iCs w:val="0"/>
          <w:szCs w:val="24"/>
        </w:rPr>
        <w:t xml:space="preserve"> </w:t>
      </w:r>
      <w:r w:rsidR="00D42613">
        <w:rPr>
          <w:rFonts w:asciiTheme="minorHAnsi" w:hAnsiTheme="minorHAnsi" w:cstheme="minorHAnsi"/>
          <w:i/>
          <w:iCs w:val="0"/>
          <w:szCs w:val="24"/>
        </w:rPr>
        <w:t xml:space="preserve">- </w:t>
      </w:r>
      <w:r w:rsidR="00D42613" w:rsidRPr="00F06230">
        <w:rPr>
          <w:rFonts w:asciiTheme="minorHAnsi" w:hAnsiTheme="minorHAnsi" w:cstheme="minorHAnsi"/>
          <w:i/>
          <w:iCs w:val="0"/>
          <w:szCs w:val="24"/>
        </w:rPr>
        <w:t>$</w:t>
      </w:r>
      <w:r w:rsidR="00D42613">
        <w:rPr>
          <w:rFonts w:asciiTheme="minorHAnsi" w:hAnsiTheme="minorHAnsi" w:cstheme="minorHAnsi"/>
          <w:i/>
          <w:iCs w:val="0"/>
          <w:szCs w:val="24"/>
        </w:rPr>
        <w:t>44.80</w:t>
      </w:r>
    </w:p>
    <w:p w14:paraId="1FE00D8D" w14:textId="77777777" w:rsidR="00F822F2" w:rsidRDefault="00F822F2">
      <w:pPr>
        <w:spacing w:after="160" w:line="259" w:lineRule="auto"/>
        <w:rPr>
          <w:rFonts w:ascii="Franklin Gothic Medium" w:eastAsiaTheme="majorEastAsia" w:hAnsi="Franklin Gothic Medium" w:cstheme="majorBidi"/>
          <w:color w:val="000000" w:themeColor="text1"/>
          <w:sz w:val="32"/>
          <w:szCs w:val="26"/>
        </w:rPr>
      </w:pPr>
      <w:r>
        <w:br w:type="page"/>
      </w:r>
    </w:p>
    <w:p w14:paraId="73A2A9C9" w14:textId="13D650A2" w:rsidR="006478E7" w:rsidRPr="00DA79F1" w:rsidRDefault="00A33126" w:rsidP="005D2196">
      <w:pPr>
        <w:pStyle w:val="Heading2"/>
      </w:pPr>
      <w:r w:rsidRPr="00DA79F1">
        <w:t>References</w:t>
      </w:r>
    </w:p>
    <w:p w14:paraId="765379F1" w14:textId="6A3D8DC1" w:rsidR="00500C5D" w:rsidRPr="00E55EA7" w:rsidRDefault="00FC1519" w:rsidP="00E55EA7">
      <w:pPr>
        <w:spacing w:after="120" w:line="240" w:lineRule="auto"/>
        <w:rPr>
          <w:sz w:val="20"/>
          <w:szCs w:val="20"/>
        </w:rPr>
      </w:pPr>
      <w:r w:rsidRPr="00CC7D3E">
        <w:rPr>
          <w:sz w:val="20"/>
        </w:rPr>
        <w:t xml:space="preserve">Amin S., et al. The UK guidelines for management and surveillance of Tuberous Sclerosis Complex. QJM: An </w:t>
      </w:r>
      <w:r w:rsidRPr="00E55EA7">
        <w:rPr>
          <w:sz w:val="20"/>
          <w:szCs w:val="20"/>
        </w:rPr>
        <w:t>International Journal of Medicine, 2019; 12(3): p171–182</w:t>
      </w:r>
    </w:p>
    <w:p w14:paraId="1998A6E5" w14:textId="6607F9E2" w:rsidR="00A90D13" w:rsidRPr="00E55EA7" w:rsidRDefault="00A90D13" w:rsidP="00E55EA7">
      <w:pPr>
        <w:spacing w:after="120" w:line="240" w:lineRule="auto"/>
        <w:rPr>
          <w:sz w:val="20"/>
          <w:szCs w:val="20"/>
        </w:rPr>
      </w:pPr>
      <w:proofErr w:type="spellStart"/>
      <w:r w:rsidRPr="00E55EA7">
        <w:rPr>
          <w:sz w:val="20"/>
          <w:szCs w:val="20"/>
        </w:rPr>
        <w:t>Bubien</w:t>
      </w:r>
      <w:proofErr w:type="spellEnd"/>
      <w:r w:rsidRPr="00E55EA7">
        <w:rPr>
          <w:sz w:val="20"/>
          <w:szCs w:val="20"/>
        </w:rPr>
        <w:t>, VF., et al. High cumulative risks of cancer in patients with PTEN hamartoma tumour syndrome. Journal of Medical Genetics, 2013, 50(4): p255-263.</w:t>
      </w:r>
    </w:p>
    <w:p w14:paraId="69083595" w14:textId="359C216A" w:rsidR="000E1320" w:rsidRPr="00E55EA7" w:rsidRDefault="000E1320" w:rsidP="00E55EA7">
      <w:pPr>
        <w:spacing w:after="120" w:line="240" w:lineRule="auto"/>
        <w:rPr>
          <w:sz w:val="20"/>
          <w:szCs w:val="20"/>
        </w:rPr>
      </w:pPr>
      <w:r w:rsidRPr="00E55EA7">
        <w:rPr>
          <w:sz w:val="20"/>
          <w:szCs w:val="20"/>
        </w:rPr>
        <w:t>Bravo EL, Pheochromocytoma: new concepts and future trends. Kidney International, 1991; 40(3):  p544</w:t>
      </w:r>
    </w:p>
    <w:p w14:paraId="29B1BE5B" w14:textId="6631B434" w:rsidR="005B524C" w:rsidRPr="00E55EA7" w:rsidRDefault="005B524C" w:rsidP="00E55EA7">
      <w:pPr>
        <w:spacing w:after="120" w:line="240" w:lineRule="auto"/>
        <w:rPr>
          <w:rFonts w:cstheme="minorHAnsi"/>
          <w:color w:val="000000" w:themeColor="text1"/>
          <w:sz w:val="20"/>
          <w:szCs w:val="20"/>
        </w:rPr>
      </w:pPr>
      <w:r w:rsidRPr="00E55EA7">
        <w:rPr>
          <w:color w:val="000000" w:themeColor="text1"/>
          <w:sz w:val="20"/>
          <w:szCs w:val="20"/>
        </w:rPr>
        <w:t>Cancer.</w:t>
      </w:r>
      <w:r w:rsidR="005941BB" w:rsidRPr="00E55EA7">
        <w:rPr>
          <w:color w:val="000000" w:themeColor="text1"/>
          <w:sz w:val="20"/>
          <w:szCs w:val="20"/>
        </w:rPr>
        <w:t>N</w:t>
      </w:r>
      <w:r w:rsidRPr="00E55EA7">
        <w:rPr>
          <w:color w:val="000000" w:themeColor="text1"/>
          <w:sz w:val="20"/>
          <w:szCs w:val="20"/>
        </w:rPr>
        <w:t xml:space="preserve">et. Cowden Syndrome, 2020. Accessed </w:t>
      </w:r>
      <w:r w:rsidRPr="00E55EA7">
        <w:rPr>
          <w:rFonts w:cstheme="minorHAnsi"/>
          <w:color w:val="000000" w:themeColor="text1"/>
          <w:sz w:val="20"/>
          <w:szCs w:val="20"/>
        </w:rPr>
        <w:t xml:space="preserve">at: </w:t>
      </w:r>
      <w:hyperlink r:id="rId20" w:history="1">
        <w:r w:rsidRPr="00E55EA7">
          <w:rPr>
            <w:rStyle w:val="Hyperlink"/>
            <w:rFonts w:ascii="Calibri" w:hAnsi="Calibri" w:cstheme="minorHAnsi"/>
            <w:sz w:val="20"/>
            <w:szCs w:val="20"/>
          </w:rPr>
          <w:t>https://www.cancer.net/cancer-types/cowden-syndrome</w:t>
        </w:r>
      </w:hyperlink>
    </w:p>
    <w:p w14:paraId="08C54747" w14:textId="3EFE87AE" w:rsidR="00590D15" w:rsidRPr="00E55EA7" w:rsidRDefault="00590D15" w:rsidP="00E55EA7">
      <w:pPr>
        <w:spacing w:after="120" w:line="240" w:lineRule="auto"/>
        <w:rPr>
          <w:color w:val="000000" w:themeColor="text1"/>
          <w:sz w:val="20"/>
          <w:szCs w:val="20"/>
        </w:rPr>
      </w:pPr>
      <w:r w:rsidRPr="00E55EA7">
        <w:rPr>
          <w:color w:val="000000" w:themeColor="text1"/>
          <w:sz w:val="20"/>
          <w:szCs w:val="20"/>
        </w:rPr>
        <w:t>Cancer.</w:t>
      </w:r>
      <w:r w:rsidR="005941BB" w:rsidRPr="00E55EA7">
        <w:rPr>
          <w:color w:val="000000" w:themeColor="text1"/>
          <w:sz w:val="20"/>
          <w:szCs w:val="20"/>
        </w:rPr>
        <w:t>N</w:t>
      </w:r>
      <w:r w:rsidRPr="00E55EA7">
        <w:rPr>
          <w:color w:val="000000" w:themeColor="text1"/>
          <w:sz w:val="20"/>
          <w:szCs w:val="20"/>
        </w:rPr>
        <w:t xml:space="preserve">et. Hereditary Papillary Renal Carcinoma, 2020. </w:t>
      </w:r>
      <w:r w:rsidR="005B524C" w:rsidRPr="00E55EA7">
        <w:rPr>
          <w:color w:val="000000" w:themeColor="text1"/>
          <w:sz w:val="20"/>
          <w:szCs w:val="20"/>
        </w:rPr>
        <w:t>Accessed</w:t>
      </w:r>
      <w:r w:rsidRPr="00E55EA7">
        <w:rPr>
          <w:color w:val="000000" w:themeColor="text1"/>
          <w:sz w:val="20"/>
          <w:szCs w:val="20"/>
        </w:rPr>
        <w:t xml:space="preserve"> at: </w:t>
      </w:r>
      <w:hyperlink r:id="rId21" w:history="1">
        <w:r w:rsidRPr="00E55EA7">
          <w:rPr>
            <w:rStyle w:val="Hyperlink"/>
            <w:rFonts w:ascii="Calibri" w:hAnsi="Calibri" w:cstheme="minorHAnsi"/>
            <w:sz w:val="20"/>
            <w:szCs w:val="20"/>
          </w:rPr>
          <w:t>https://www.cancer.net/cancer-types/hereditary-papillary-renal-carcinoma</w:t>
        </w:r>
      </w:hyperlink>
    </w:p>
    <w:p w14:paraId="3BE5DBEA" w14:textId="1047627B" w:rsidR="00500C5D" w:rsidRPr="00E55EA7" w:rsidRDefault="00500C5D" w:rsidP="00E55EA7">
      <w:pPr>
        <w:spacing w:after="120" w:line="240" w:lineRule="auto"/>
        <w:rPr>
          <w:sz w:val="20"/>
          <w:szCs w:val="20"/>
        </w:rPr>
      </w:pPr>
      <w:r w:rsidRPr="00E55EA7">
        <w:rPr>
          <w:rFonts w:cstheme="minorHAnsi"/>
          <w:sz w:val="20"/>
          <w:szCs w:val="20"/>
        </w:rPr>
        <w:t>Consortium ECTS. Identification and characterization of</w:t>
      </w:r>
      <w:r w:rsidRPr="00E55EA7">
        <w:rPr>
          <w:sz w:val="20"/>
          <w:szCs w:val="20"/>
        </w:rPr>
        <w:t xml:space="preserve"> the tuberous sclerosis gene on chromosome 16. Cell. 1993, 75:</w:t>
      </w:r>
      <w:r w:rsidR="00E00FE9" w:rsidRPr="00E55EA7">
        <w:rPr>
          <w:sz w:val="20"/>
          <w:szCs w:val="20"/>
        </w:rPr>
        <w:t xml:space="preserve"> p</w:t>
      </w:r>
      <w:r w:rsidRPr="00E55EA7">
        <w:rPr>
          <w:sz w:val="20"/>
          <w:szCs w:val="20"/>
        </w:rPr>
        <w:t>1305–15.</w:t>
      </w:r>
    </w:p>
    <w:p w14:paraId="4F43ABCF" w14:textId="19439935" w:rsidR="000E1320" w:rsidRPr="00E55EA7" w:rsidRDefault="000E1320" w:rsidP="00E55EA7">
      <w:pPr>
        <w:spacing w:after="120" w:line="240" w:lineRule="auto"/>
        <w:rPr>
          <w:sz w:val="20"/>
          <w:szCs w:val="20"/>
        </w:rPr>
      </w:pPr>
      <w:proofErr w:type="spellStart"/>
      <w:r w:rsidRPr="00E55EA7">
        <w:rPr>
          <w:sz w:val="20"/>
          <w:szCs w:val="20"/>
        </w:rPr>
        <w:t>Choueri</w:t>
      </w:r>
      <w:proofErr w:type="spellEnd"/>
      <w:r w:rsidRPr="00E55EA7">
        <w:rPr>
          <w:sz w:val="20"/>
          <w:szCs w:val="20"/>
        </w:rPr>
        <w:t xml:space="preserve"> TK., et al. Hereditary Kidney Cancer syndromes. </w:t>
      </w:r>
      <w:proofErr w:type="spellStart"/>
      <w:r w:rsidRPr="00E55EA7">
        <w:rPr>
          <w:sz w:val="20"/>
          <w:szCs w:val="20"/>
        </w:rPr>
        <w:t>Uptodate</w:t>
      </w:r>
      <w:proofErr w:type="spellEnd"/>
      <w:r w:rsidRPr="00E55EA7">
        <w:rPr>
          <w:sz w:val="20"/>
          <w:szCs w:val="20"/>
        </w:rPr>
        <w:t>, 2022.</w:t>
      </w:r>
    </w:p>
    <w:p w14:paraId="3CFC1A18" w14:textId="5171B2FB" w:rsidR="005A4E66" w:rsidRPr="00E55EA7" w:rsidRDefault="005A4E66" w:rsidP="00E55EA7">
      <w:pPr>
        <w:spacing w:after="120" w:line="240" w:lineRule="auto"/>
        <w:rPr>
          <w:sz w:val="20"/>
          <w:szCs w:val="20"/>
        </w:rPr>
      </w:pPr>
      <w:r w:rsidRPr="00E55EA7">
        <w:rPr>
          <w:sz w:val="20"/>
          <w:szCs w:val="20"/>
        </w:rPr>
        <w:t>Ebrahimi-</w:t>
      </w:r>
      <w:proofErr w:type="spellStart"/>
      <w:r w:rsidRPr="00E55EA7">
        <w:rPr>
          <w:sz w:val="20"/>
          <w:szCs w:val="20"/>
        </w:rPr>
        <w:t>Fakhari</w:t>
      </w:r>
      <w:proofErr w:type="spellEnd"/>
      <w:r w:rsidRPr="00E55EA7">
        <w:rPr>
          <w:sz w:val="20"/>
          <w:szCs w:val="20"/>
        </w:rPr>
        <w:t xml:space="preserve"> D., et al. Incidence of tuberous sclerosis and age at first diagnosis: new data and emerging trends from a national, prospective surveillance study. </w:t>
      </w:r>
      <w:proofErr w:type="spellStart"/>
      <w:r w:rsidRPr="00E55EA7">
        <w:rPr>
          <w:sz w:val="20"/>
          <w:szCs w:val="20"/>
        </w:rPr>
        <w:t>Orphanet</w:t>
      </w:r>
      <w:proofErr w:type="spellEnd"/>
      <w:r w:rsidRPr="00E55EA7">
        <w:rPr>
          <w:sz w:val="20"/>
          <w:szCs w:val="20"/>
        </w:rPr>
        <w:t xml:space="preserve"> J Rare Dis, 2018;13: p117.</w:t>
      </w:r>
    </w:p>
    <w:p w14:paraId="7AF07072" w14:textId="18F0FE6C" w:rsidR="00BF3A5A" w:rsidRPr="00E55EA7" w:rsidRDefault="00BF3A5A" w:rsidP="00E55EA7">
      <w:pPr>
        <w:spacing w:after="120" w:line="240" w:lineRule="auto"/>
        <w:rPr>
          <w:sz w:val="20"/>
          <w:szCs w:val="20"/>
        </w:rPr>
      </w:pPr>
      <w:proofErr w:type="spellStart"/>
      <w:r w:rsidRPr="00E55EA7">
        <w:rPr>
          <w:sz w:val="20"/>
          <w:szCs w:val="20"/>
        </w:rPr>
        <w:t>Flum</w:t>
      </w:r>
      <w:proofErr w:type="spellEnd"/>
      <w:r w:rsidRPr="00E55EA7">
        <w:rPr>
          <w:sz w:val="20"/>
          <w:szCs w:val="20"/>
        </w:rPr>
        <w:t xml:space="preserve"> AS., et al. Update on the diagnosis and management of renal angiomyolipoma. J </w:t>
      </w:r>
      <w:proofErr w:type="spellStart"/>
      <w:r w:rsidRPr="00E55EA7">
        <w:rPr>
          <w:sz w:val="20"/>
          <w:szCs w:val="20"/>
        </w:rPr>
        <w:t>Urol</w:t>
      </w:r>
      <w:proofErr w:type="spellEnd"/>
      <w:r w:rsidRPr="00E55EA7">
        <w:rPr>
          <w:sz w:val="20"/>
          <w:szCs w:val="20"/>
        </w:rPr>
        <w:t xml:space="preserve">, 2016;195 (4 Pt 1): p834–46. </w:t>
      </w:r>
      <w:hyperlink r:id="rId22" w:history="1">
        <w:r w:rsidR="001D7DDE" w:rsidRPr="00E55EA7">
          <w:rPr>
            <w:rStyle w:val="Hyperlink"/>
            <w:rFonts w:ascii="Calibri" w:hAnsi="Calibri" w:cstheme="minorHAnsi"/>
            <w:sz w:val="20"/>
            <w:szCs w:val="20"/>
          </w:rPr>
          <w:t>http://dx.doi.org/10.1016/j.juro.2015.07.126</w:t>
        </w:r>
      </w:hyperlink>
    </w:p>
    <w:p w14:paraId="57A73EDF" w14:textId="1F59DBA4" w:rsidR="003C0629" w:rsidRPr="00E55EA7" w:rsidRDefault="003C0629" w:rsidP="00E55EA7">
      <w:pPr>
        <w:spacing w:after="120" w:line="240" w:lineRule="auto"/>
        <w:rPr>
          <w:sz w:val="20"/>
          <w:szCs w:val="20"/>
        </w:rPr>
      </w:pPr>
      <w:r w:rsidRPr="00E55EA7">
        <w:rPr>
          <w:sz w:val="20"/>
          <w:szCs w:val="20"/>
        </w:rPr>
        <w:t xml:space="preserve">Gaur S, et al. Hereditary Renal </w:t>
      </w:r>
      <w:proofErr w:type="spellStart"/>
      <w:r w:rsidRPr="00E55EA7">
        <w:rPr>
          <w:sz w:val="20"/>
          <w:szCs w:val="20"/>
        </w:rPr>
        <w:t>Tumor</w:t>
      </w:r>
      <w:proofErr w:type="spellEnd"/>
      <w:r w:rsidRPr="00E55EA7">
        <w:rPr>
          <w:sz w:val="20"/>
          <w:szCs w:val="20"/>
        </w:rPr>
        <w:t xml:space="preserve"> Syndromes: Update on Diagnosis and Management. Semin Ultrasound CT MR. 2017;38(1):59-71. </w:t>
      </w:r>
    </w:p>
    <w:p w14:paraId="425F8F3C" w14:textId="6593DEA5" w:rsidR="001D7DDE" w:rsidRPr="00E55EA7" w:rsidRDefault="001D7DDE" w:rsidP="00E55EA7">
      <w:pPr>
        <w:spacing w:after="120" w:line="240" w:lineRule="auto"/>
        <w:rPr>
          <w:sz w:val="20"/>
          <w:szCs w:val="20"/>
        </w:rPr>
      </w:pPr>
      <w:r w:rsidRPr="00E55EA7">
        <w:rPr>
          <w:sz w:val="20"/>
          <w:szCs w:val="20"/>
        </w:rPr>
        <w:t>Haas NB, Nathanson N. Hereditary kidney cancer syndromes. Adv Chronic Kidney Dis. 2014;21:81–90</w:t>
      </w:r>
    </w:p>
    <w:p w14:paraId="00E3793A" w14:textId="3C9966E8" w:rsidR="005A4E66" w:rsidRPr="00E55EA7" w:rsidRDefault="00A90D13" w:rsidP="00E55EA7">
      <w:pPr>
        <w:spacing w:after="120" w:line="240" w:lineRule="auto"/>
        <w:rPr>
          <w:color w:val="000000" w:themeColor="text1"/>
          <w:sz w:val="20"/>
          <w:szCs w:val="20"/>
        </w:rPr>
      </w:pPr>
      <w:r w:rsidRPr="00E55EA7">
        <w:rPr>
          <w:sz w:val="20"/>
          <w:szCs w:val="20"/>
        </w:rPr>
        <w:t xml:space="preserve">Hendricks, LJ., et al. A review on age-related cancer risks in PTEN hamartoma </w:t>
      </w:r>
      <w:r w:rsidR="00CC5C4A" w:rsidRPr="00E55EA7">
        <w:rPr>
          <w:sz w:val="20"/>
          <w:szCs w:val="20"/>
        </w:rPr>
        <w:t>tumour</w:t>
      </w:r>
      <w:r w:rsidRPr="00E55EA7">
        <w:rPr>
          <w:sz w:val="20"/>
          <w:szCs w:val="20"/>
        </w:rPr>
        <w:t xml:space="preserve"> syndrome. Clinical genetics, 2021; 99(2): p219-225.</w:t>
      </w:r>
    </w:p>
    <w:p w14:paraId="48A28CC9" w14:textId="18902A4D" w:rsidR="00A90D13" w:rsidRPr="00E55EA7" w:rsidRDefault="00055958" w:rsidP="00E55EA7">
      <w:pPr>
        <w:spacing w:after="120" w:line="240" w:lineRule="auto"/>
        <w:rPr>
          <w:color w:val="000000" w:themeColor="text1"/>
          <w:sz w:val="20"/>
          <w:szCs w:val="20"/>
        </w:rPr>
      </w:pPr>
      <w:proofErr w:type="spellStart"/>
      <w:r w:rsidRPr="00E55EA7">
        <w:rPr>
          <w:sz w:val="20"/>
          <w:szCs w:val="20"/>
        </w:rPr>
        <w:t>Houweling</w:t>
      </w:r>
      <w:proofErr w:type="spellEnd"/>
      <w:r w:rsidRPr="00E55EA7">
        <w:rPr>
          <w:sz w:val="20"/>
          <w:szCs w:val="20"/>
        </w:rPr>
        <w:t xml:space="preserve">, AC., et al. Renal cancer and pneumothorax risk in </w:t>
      </w:r>
      <w:proofErr w:type="spellStart"/>
      <w:r w:rsidRPr="00E55EA7">
        <w:rPr>
          <w:sz w:val="20"/>
          <w:szCs w:val="20"/>
        </w:rPr>
        <w:t>Birt</w:t>
      </w:r>
      <w:proofErr w:type="spellEnd"/>
      <w:r w:rsidRPr="00E55EA7">
        <w:rPr>
          <w:sz w:val="20"/>
          <w:szCs w:val="20"/>
        </w:rPr>
        <w:t>-Hogg-Dube syndrome; an analysis of 115 FLCN mutation carriers from 35 BHD families. Br J Cancer, 2011; 105(12): p1912-1919.</w:t>
      </w:r>
    </w:p>
    <w:p w14:paraId="231E4E27" w14:textId="2D5CBC5C" w:rsidR="00310AE5" w:rsidRPr="00E55EA7" w:rsidRDefault="00310AE5" w:rsidP="00E55EA7">
      <w:pPr>
        <w:spacing w:after="120" w:line="240" w:lineRule="auto"/>
        <w:rPr>
          <w:sz w:val="20"/>
          <w:szCs w:val="20"/>
        </w:rPr>
      </w:pPr>
      <w:proofErr w:type="spellStart"/>
      <w:r w:rsidRPr="00E55EA7">
        <w:rPr>
          <w:sz w:val="20"/>
          <w:szCs w:val="20"/>
        </w:rPr>
        <w:t>Jonasch</w:t>
      </w:r>
      <w:proofErr w:type="spellEnd"/>
      <w:r w:rsidRPr="00E55EA7">
        <w:rPr>
          <w:sz w:val="20"/>
          <w:szCs w:val="20"/>
        </w:rPr>
        <w:t xml:space="preserve"> et al. Pazopanib in patients with von Hippel-</w:t>
      </w:r>
      <w:r w:rsidR="000A7C30">
        <w:rPr>
          <w:sz w:val="20"/>
          <w:szCs w:val="20"/>
        </w:rPr>
        <w:t>Lindau</w:t>
      </w:r>
      <w:r w:rsidRPr="00E55EA7">
        <w:rPr>
          <w:sz w:val="20"/>
          <w:szCs w:val="20"/>
        </w:rPr>
        <w:t xml:space="preserve"> disease: a single arm, single-centre, phase 2 Trial. Lancet Oncology, 2018; 19: 1351-1359</w:t>
      </w:r>
    </w:p>
    <w:p w14:paraId="49A4697A" w14:textId="43696B1D" w:rsidR="00BF0E79" w:rsidRPr="00E55EA7" w:rsidRDefault="00BF0E79" w:rsidP="00E55EA7">
      <w:pPr>
        <w:spacing w:after="120" w:line="240" w:lineRule="auto"/>
        <w:rPr>
          <w:sz w:val="20"/>
          <w:szCs w:val="20"/>
        </w:rPr>
      </w:pPr>
      <w:r w:rsidRPr="00E55EA7">
        <w:rPr>
          <w:sz w:val="20"/>
          <w:szCs w:val="20"/>
        </w:rPr>
        <w:t>Kingswood JC., et al. Review of the tuberous sclerosis renal guidelines from the 2012 consensus conference: Current data and future study. Nephron, 2016; 134(2): p51–8.</w:t>
      </w:r>
    </w:p>
    <w:p w14:paraId="06CE1722" w14:textId="398C2AD1" w:rsidR="005A4E66" w:rsidRPr="00E55EA7" w:rsidRDefault="005A4E66" w:rsidP="00E55EA7">
      <w:pPr>
        <w:spacing w:after="120" w:line="240" w:lineRule="auto"/>
        <w:rPr>
          <w:sz w:val="20"/>
          <w:szCs w:val="20"/>
        </w:rPr>
      </w:pPr>
      <w:r w:rsidRPr="00E55EA7">
        <w:rPr>
          <w:sz w:val="20"/>
          <w:szCs w:val="20"/>
        </w:rPr>
        <w:t>Kwiatkowski DJ. Tuberous sclerosis: from tubers to mTOR. Ann Hum Genet, 2003; 67: p87–96.</w:t>
      </w:r>
    </w:p>
    <w:p w14:paraId="2EB1674E" w14:textId="77777777" w:rsidR="00BF0E79" w:rsidRPr="00E55EA7" w:rsidRDefault="00BF0E79" w:rsidP="00E55EA7">
      <w:pPr>
        <w:spacing w:after="120" w:line="240" w:lineRule="auto"/>
        <w:rPr>
          <w:sz w:val="20"/>
          <w:szCs w:val="20"/>
        </w:rPr>
      </w:pPr>
      <w:r w:rsidRPr="00E55EA7">
        <w:rPr>
          <w:sz w:val="20"/>
          <w:szCs w:val="20"/>
        </w:rPr>
        <w:t xml:space="preserve">Lee KH., et al. Clinical </w:t>
      </w:r>
      <w:proofErr w:type="spellStart"/>
      <w:r w:rsidRPr="00E55EA7">
        <w:rPr>
          <w:sz w:val="20"/>
          <w:szCs w:val="20"/>
        </w:rPr>
        <w:t>behavior</w:t>
      </w:r>
      <w:proofErr w:type="spellEnd"/>
      <w:r w:rsidRPr="00E55EA7">
        <w:rPr>
          <w:sz w:val="20"/>
          <w:szCs w:val="20"/>
        </w:rPr>
        <w:t xml:space="preserve"> and management of three types of renal </w:t>
      </w:r>
      <w:proofErr w:type="spellStart"/>
      <w:r w:rsidRPr="00E55EA7">
        <w:rPr>
          <w:sz w:val="20"/>
          <w:szCs w:val="20"/>
        </w:rPr>
        <w:t>angiomyolipomas</w:t>
      </w:r>
      <w:proofErr w:type="spellEnd"/>
      <w:r w:rsidRPr="00E55EA7">
        <w:rPr>
          <w:sz w:val="20"/>
          <w:szCs w:val="20"/>
        </w:rPr>
        <w:t xml:space="preserve">. J </w:t>
      </w:r>
      <w:proofErr w:type="spellStart"/>
      <w:r w:rsidRPr="00E55EA7">
        <w:rPr>
          <w:sz w:val="20"/>
          <w:szCs w:val="20"/>
        </w:rPr>
        <w:t>Formos</w:t>
      </w:r>
      <w:proofErr w:type="spellEnd"/>
      <w:r w:rsidRPr="00E55EA7">
        <w:rPr>
          <w:sz w:val="20"/>
          <w:szCs w:val="20"/>
        </w:rPr>
        <w:t xml:space="preserve"> Med Assoc, 2019; 118(1 Pt 1):162–9. http://dx.doi.org/10.1016/j.jfma.2018.02.012</w:t>
      </w:r>
    </w:p>
    <w:p w14:paraId="141E7952" w14:textId="57D5BA7B" w:rsidR="00E01349" w:rsidRPr="00E55EA7" w:rsidRDefault="009F2567" w:rsidP="00E55EA7">
      <w:pPr>
        <w:spacing w:after="120" w:line="240" w:lineRule="auto"/>
        <w:rPr>
          <w:sz w:val="20"/>
          <w:szCs w:val="20"/>
        </w:rPr>
      </w:pPr>
      <w:r w:rsidRPr="00E55EA7">
        <w:rPr>
          <w:sz w:val="20"/>
          <w:szCs w:val="20"/>
        </w:rPr>
        <w:t>Linehan WM</w:t>
      </w:r>
      <w:r w:rsidR="00E00FE9" w:rsidRPr="00E55EA7">
        <w:rPr>
          <w:sz w:val="20"/>
          <w:szCs w:val="20"/>
        </w:rPr>
        <w:t>., et al</w:t>
      </w:r>
      <w:r w:rsidRPr="00E55EA7">
        <w:rPr>
          <w:sz w:val="20"/>
          <w:szCs w:val="20"/>
        </w:rPr>
        <w:t xml:space="preserve">. Renal carcinoma. In: Scriver CR, Beaudet AL, Sly WS, et al., eds. The Metabolic and Molecular Bases of Inherited Disease. New York: McGraw-Hill, 2001: </w:t>
      </w:r>
      <w:r w:rsidR="00E00FE9" w:rsidRPr="00E55EA7">
        <w:rPr>
          <w:sz w:val="20"/>
          <w:szCs w:val="20"/>
        </w:rPr>
        <w:t>p</w:t>
      </w:r>
      <w:r w:rsidRPr="00E55EA7">
        <w:rPr>
          <w:sz w:val="20"/>
          <w:szCs w:val="20"/>
        </w:rPr>
        <w:t>907–29.</w:t>
      </w:r>
    </w:p>
    <w:p w14:paraId="1C935DC7" w14:textId="30285570" w:rsidR="00EC00A5" w:rsidRPr="00E55EA7" w:rsidRDefault="00EC00A5" w:rsidP="00E55EA7">
      <w:pPr>
        <w:spacing w:after="120" w:line="240" w:lineRule="auto"/>
        <w:rPr>
          <w:sz w:val="20"/>
          <w:szCs w:val="20"/>
        </w:rPr>
      </w:pPr>
      <w:r w:rsidRPr="00E55EA7">
        <w:rPr>
          <w:sz w:val="20"/>
          <w:szCs w:val="20"/>
        </w:rPr>
        <w:t xml:space="preserve">Linehan, WM., et al. Hereditary kidney cancer. Cancer, 2009; 115: p2252-2261. </w:t>
      </w:r>
      <w:hyperlink r:id="rId23" w:history="1">
        <w:r w:rsidRPr="00E55EA7">
          <w:rPr>
            <w:rStyle w:val="Hyperlink"/>
            <w:rFonts w:ascii="Calibri" w:hAnsi="Calibri" w:cstheme="minorHAnsi"/>
            <w:sz w:val="20"/>
            <w:szCs w:val="20"/>
          </w:rPr>
          <w:t>https://doi.org/10.1002/cncr.24230</w:t>
        </w:r>
      </w:hyperlink>
    </w:p>
    <w:p w14:paraId="0D103AA0" w14:textId="17F11E00" w:rsidR="00AC5741" w:rsidRPr="00E55EA7" w:rsidRDefault="00AC5741" w:rsidP="00E55EA7">
      <w:pPr>
        <w:spacing w:after="120" w:line="240" w:lineRule="auto"/>
        <w:rPr>
          <w:sz w:val="20"/>
          <w:szCs w:val="20"/>
        </w:rPr>
      </w:pPr>
      <w:r w:rsidRPr="00E55EA7">
        <w:rPr>
          <w:sz w:val="20"/>
          <w:szCs w:val="20"/>
        </w:rPr>
        <w:t>Maher ER., et al. von Hippel-Lindau disease: a genetic study. J Med Genet, 1991; 28:p 443-447</w:t>
      </w:r>
    </w:p>
    <w:p w14:paraId="4F35557B" w14:textId="0E239D30" w:rsidR="003C09EA" w:rsidRPr="00E55EA7" w:rsidRDefault="003C09EA" w:rsidP="00E55EA7">
      <w:pPr>
        <w:spacing w:after="120" w:line="240" w:lineRule="auto"/>
        <w:rPr>
          <w:sz w:val="20"/>
          <w:szCs w:val="20"/>
        </w:rPr>
      </w:pPr>
      <w:proofErr w:type="spellStart"/>
      <w:r w:rsidRPr="00E55EA7">
        <w:rPr>
          <w:sz w:val="20"/>
          <w:szCs w:val="20"/>
        </w:rPr>
        <w:t>Medlineplus</w:t>
      </w:r>
      <w:proofErr w:type="spellEnd"/>
      <w:r w:rsidRPr="00E55EA7">
        <w:rPr>
          <w:sz w:val="20"/>
          <w:szCs w:val="20"/>
        </w:rPr>
        <w:t xml:space="preserve">. Hereditary </w:t>
      </w:r>
      <w:proofErr w:type="spellStart"/>
      <w:r w:rsidRPr="00E55EA7">
        <w:rPr>
          <w:sz w:val="20"/>
          <w:szCs w:val="20"/>
        </w:rPr>
        <w:t>leiomyomatosis</w:t>
      </w:r>
      <w:proofErr w:type="spellEnd"/>
      <w:r w:rsidRPr="00E55EA7">
        <w:rPr>
          <w:sz w:val="20"/>
          <w:szCs w:val="20"/>
        </w:rPr>
        <w:t xml:space="preserve"> and renal cell cancer. Accessed at</w:t>
      </w:r>
      <w:r w:rsidR="005B524C" w:rsidRPr="00E55EA7">
        <w:rPr>
          <w:sz w:val="20"/>
          <w:szCs w:val="20"/>
        </w:rPr>
        <w:t>:</w:t>
      </w:r>
    </w:p>
    <w:p w14:paraId="0751FD34" w14:textId="58954DF4" w:rsidR="005B524C" w:rsidRPr="00E55EA7" w:rsidRDefault="0069673F" w:rsidP="00E55EA7">
      <w:pPr>
        <w:spacing w:after="120" w:line="240" w:lineRule="auto"/>
        <w:rPr>
          <w:rFonts w:cstheme="minorHAnsi"/>
          <w:sz w:val="20"/>
          <w:szCs w:val="20"/>
        </w:rPr>
      </w:pPr>
      <w:hyperlink r:id="rId24" w:history="1">
        <w:r w:rsidR="005B524C" w:rsidRPr="00E55EA7">
          <w:rPr>
            <w:rStyle w:val="Hyperlink"/>
            <w:rFonts w:ascii="Calibri" w:hAnsi="Calibri" w:cstheme="minorHAnsi"/>
            <w:sz w:val="20"/>
            <w:szCs w:val="20"/>
          </w:rPr>
          <w:t>https://medlineplus.gov/genetics/condition/hereditary-leiomyomatosis-and-renal-cell-cancer/</w:t>
        </w:r>
      </w:hyperlink>
    </w:p>
    <w:p w14:paraId="13E55C24" w14:textId="1FCD7FBF" w:rsidR="005B524C" w:rsidRPr="00E55EA7" w:rsidRDefault="005B524C" w:rsidP="00E55EA7">
      <w:pPr>
        <w:spacing w:after="120" w:line="240" w:lineRule="auto"/>
        <w:rPr>
          <w:sz w:val="20"/>
          <w:szCs w:val="20"/>
        </w:rPr>
      </w:pPr>
      <w:proofErr w:type="spellStart"/>
      <w:r w:rsidRPr="00E55EA7">
        <w:rPr>
          <w:sz w:val="20"/>
          <w:szCs w:val="20"/>
        </w:rPr>
        <w:t>Medlineplus</w:t>
      </w:r>
      <w:proofErr w:type="spellEnd"/>
      <w:r w:rsidRPr="00E55EA7">
        <w:rPr>
          <w:sz w:val="20"/>
          <w:szCs w:val="20"/>
        </w:rPr>
        <w:t xml:space="preserve">. Hereditary paraganglioma-pheochromocytoma. Accessed at: </w:t>
      </w:r>
      <w:hyperlink r:id="rId25" w:anchor="frequency" w:history="1">
        <w:r w:rsidRPr="00E55EA7">
          <w:rPr>
            <w:rStyle w:val="Hyperlink"/>
            <w:rFonts w:ascii="Calibri" w:hAnsi="Calibri" w:cstheme="minorHAnsi"/>
            <w:sz w:val="20"/>
            <w:szCs w:val="20"/>
          </w:rPr>
          <w:t>https://medlineplus.gov/genetics/condition/hereditary-paraganglioma-pheochromocytoma/#frequency</w:t>
        </w:r>
      </w:hyperlink>
    </w:p>
    <w:p w14:paraId="0523E130" w14:textId="2B2A09FF" w:rsidR="002B7632" w:rsidRPr="00E55EA7" w:rsidRDefault="002B7632" w:rsidP="00E55EA7">
      <w:pPr>
        <w:spacing w:after="120" w:line="240" w:lineRule="auto"/>
        <w:rPr>
          <w:sz w:val="20"/>
          <w:szCs w:val="20"/>
        </w:rPr>
      </w:pPr>
      <w:proofErr w:type="spellStart"/>
      <w:r w:rsidRPr="00E55EA7">
        <w:rPr>
          <w:sz w:val="20"/>
          <w:szCs w:val="20"/>
        </w:rPr>
        <w:t>Menko</w:t>
      </w:r>
      <w:proofErr w:type="spellEnd"/>
      <w:r w:rsidRPr="00E55EA7">
        <w:rPr>
          <w:sz w:val="20"/>
          <w:szCs w:val="20"/>
        </w:rPr>
        <w:t xml:space="preserve"> FH., et al. </w:t>
      </w:r>
      <w:proofErr w:type="spellStart"/>
      <w:r w:rsidRPr="00E55EA7">
        <w:rPr>
          <w:sz w:val="20"/>
          <w:szCs w:val="20"/>
        </w:rPr>
        <w:t>Birt</w:t>
      </w:r>
      <w:proofErr w:type="spellEnd"/>
      <w:r w:rsidRPr="00E55EA7">
        <w:rPr>
          <w:sz w:val="20"/>
          <w:szCs w:val="20"/>
        </w:rPr>
        <w:t>-Hogg-</w:t>
      </w:r>
      <w:proofErr w:type="spellStart"/>
      <w:r w:rsidRPr="00E55EA7">
        <w:rPr>
          <w:sz w:val="20"/>
          <w:szCs w:val="20"/>
        </w:rPr>
        <w:t>Dubé</w:t>
      </w:r>
      <w:proofErr w:type="spellEnd"/>
      <w:r w:rsidRPr="00E55EA7">
        <w:rPr>
          <w:sz w:val="20"/>
          <w:szCs w:val="20"/>
        </w:rPr>
        <w:t xml:space="preserve"> syndrome: diagnosis and management. Lancet Oncol, 2009; 10(12):p1199.</w:t>
      </w:r>
    </w:p>
    <w:p w14:paraId="41E5F45C" w14:textId="1BC2D22C" w:rsidR="002B7632" w:rsidRPr="00E55EA7" w:rsidRDefault="00644725" w:rsidP="00E55EA7">
      <w:pPr>
        <w:spacing w:after="120" w:line="240" w:lineRule="auto"/>
        <w:rPr>
          <w:rFonts w:cstheme="minorHAnsi"/>
          <w:sz w:val="20"/>
          <w:szCs w:val="20"/>
        </w:rPr>
      </w:pPr>
      <w:proofErr w:type="spellStart"/>
      <w:r w:rsidRPr="00E55EA7">
        <w:rPr>
          <w:sz w:val="20"/>
          <w:szCs w:val="20"/>
        </w:rPr>
        <w:t>Mester</w:t>
      </w:r>
      <w:proofErr w:type="spellEnd"/>
      <w:r w:rsidRPr="00E55EA7">
        <w:rPr>
          <w:sz w:val="20"/>
          <w:szCs w:val="20"/>
        </w:rPr>
        <w:t xml:space="preserve">, J. and </w:t>
      </w:r>
      <w:proofErr w:type="spellStart"/>
      <w:r w:rsidRPr="00E55EA7">
        <w:rPr>
          <w:sz w:val="20"/>
          <w:szCs w:val="20"/>
        </w:rPr>
        <w:t>Eng</w:t>
      </w:r>
      <w:proofErr w:type="spellEnd"/>
      <w:r w:rsidRPr="00E55EA7">
        <w:rPr>
          <w:sz w:val="20"/>
          <w:szCs w:val="20"/>
        </w:rPr>
        <w:t>, C. Cowden syndrome: Recognizing and managing a not-so-rare hereditary cancer syndrome. J. Surg. Oncol, 2015</w:t>
      </w:r>
      <w:r w:rsidR="00AC5741" w:rsidRPr="00E55EA7">
        <w:rPr>
          <w:sz w:val="20"/>
          <w:szCs w:val="20"/>
        </w:rPr>
        <w:t xml:space="preserve">; </w:t>
      </w:r>
      <w:r w:rsidRPr="00E55EA7">
        <w:rPr>
          <w:sz w:val="20"/>
          <w:szCs w:val="20"/>
        </w:rPr>
        <w:t xml:space="preserve">111: </w:t>
      </w:r>
      <w:r w:rsidR="00AC5741" w:rsidRPr="00E55EA7">
        <w:rPr>
          <w:sz w:val="20"/>
          <w:szCs w:val="20"/>
        </w:rPr>
        <w:t>p</w:t>
      </w:r>
      <w:r w:rsidRPr="00E55EA7">
        <w:rPr>
          <w:sz w:val="20"/>
          <w:szCs w:val="20"/>
        </w:rPr>
        <w:t>125-</w:t>
      </w:r>
      <w:r w:rsidRPr="00E55EA7">
        <w:rPr>
          <w:rFonts w:cstheme="minorHAnsi"/>
          <w:sz w:val="20"/>
          <w:szCs w:val="20"/>
        </w:rPr>
        <w:t xml:space="preserve">130. </w:t>
      </w:r>
      <w:hyperlink r:id="rId26" w:history="1">
        <w:r w:rsidR="00AC5741" w:rsidRPr="00E55EA7">
          <w:rPr>
            <w:rStyle w:val="Hyperlink"/>
            <w:rFonts w:ascii="Calibri" w:hAnsi="Calibri" w:cstheme="minorHAnsi"/>
            <w:sz w:val="20"/>
            <w:szCs w:val="20"/>
          </w:rPr>
          <w:t>https://doi.org/10.1002/jso.23735</w:t>
        </w:r>
      </w:hyperlink>
    </w:p>
    <w:p w14:paraId="0166DA31" w14:textId="1F0BD0BF" w:rsidR="00500C5D" w:rsidRPr="00E55EA7" w:rsidRDefault="00500C5D" w:rsidP="00E55EA7">
      <w:pPr>
        <w:spacing w:after="120" w:line="240" w:lineRule="auto"/>
        <w:rPr>
          <w:sz w:val="20"/>
          <w:szCs w:val="20"/>
        </w:rPr>
      </w:pPr>
      <w:r w:rsidRPr="00E55EA7">
        <w:rPr>
          <w:sz w:val="20"/>
          <w:szCs w:val="20"/>
        </w:rPr>
        <w:t xml:space="preserve">Muller M-E., et al. Prevalence of </w:t>
      </w:r>
      <w:proofErr w:type="spellStart"/>
      <w:r w:rsidRPr="00E55EA7">
        <w:rPr>
          <w:sz w:val="20"/>
          <w:szCs w:val="20"/>
        </w:rPr>
        <w:t>Birt</w:t>
      </w:r>
      <w:proofErr w:type="spellEnd"/>
      <w:r w:rsidRPr="00E55EA7">
        <w:rPr>
          <w:sz w:val="20"/>
          <w:szCs w:val="20"/>
        </w:rPr>
        <w:t>-Hogg-</w:t>
      </w:r>
      <w:proofErr w:type="spellStart"/>
      <w:r w:rsidRPr="00E55EA7">
        <w:rPr>
          <w:sz w:val="20"/>
          <w:szCs w:val="20"/>
        </w:rPr>
        <w:t>Dubé</w:t>
      </w:r>
      <w:proofErr w:type="spellEnd"/>
      <w:r w:rsidRPr="00E55EA7">
        <w:rPr>
          <w:sz w:val="20"/>
          <w:szCs w:val="20"/>
        </w:rPr>
        <w:t xml:space="preserve"> Syndrome Determined Through Epidemiological Data on Spontaneous Pneumothorax and Bayes Theorem. Frontiers in Medicine 2021, 8: p1-12</w:t>
      </w:r>
    </w:p>
    <w:p w14:paraId="6DBB0DBA" w14:textId="2CC54B73" w:rsidR="00336A56" w:rsidRPr="00E55EA7" w:rsidRDefault="00336A56" w:rsidP="00E55EA7">
      <w:pPr>
        <w:spacing w:after="120" w:line="240" w:lineRule="auto"/>
        <w:rPr>
          <w:sz w:val="20"/>
          <w:szCs w:val="20"/>
        </w:rPr>
      </w:pPr>
      <w:r w:rsidRPr="00E55EA7">
        <w:rPr>
          <w:sz w:val="20"/>
          <w:szCs w:val="20"/>
        </w:rPr>
        <w:t xml:space="preserve">NCCN. Kidney Cancer. NCCN </w:t>
      </w:r>
      <w:r w:rsidR="008A0EB9" w:rsidRPr="00E55EA7">
        <w:rPr>
          <w:sz w:val="20"/>
          <w:szCs w:val="20"/>
        </w:rPr>
        <w:t>Clinical</w:t>
      </w:r>
      <w:r w:rsidRPr="00E55EA7">
        <w:rPr>
          <w:sz w:val="20"/>
          <w:szCs w:val="20"/>
        </w:rPr>
        <w:t xml:space="preserve"> Practice Guidelines in Oncology (NCCN Guidelines ® Version 1. 2021 </w:t>
      </w:r>
    </w:p>
    <w:p w14:paraId="209F1ADF" w14:textId="2101EE6D" w:rsidR="00303C92" w:rsidRPr="00E55EA7" w:rsidRDefault="00303C92" w:rsidP="00E55EA7">
      <w:pPr>
        <w:spacing w:after="120" w:line="240" w:lineRule="auto"/>
        <w:rPr>
          <w:sz w:val="20"/>
          <w:szCs w:val="20"/>
        </w:rPr>
      </w:pPr>
      <w:r w:rsidRPr="00E55EA7">
        <w:rPr>
          <w:sz w:val="20"/>
          <w:szCs w:val="20"/>
        </w:rPr>
        <w:t>Neumann et al. Pheochromocytoma and paraganglioma, New England Journal of Medicine, 2019; 381(6): p552</w:t>
      </w:r>
    </w:p>
    <w:p w14:paraId="0B3209C2" w14:textId="36AB5812" w:rsidR="00A90D13" w:rsidRPr="00E55EA7" w:rsidRDefault="00A90D13" w:rsidP="00E55EA7">
      <w:pPr>
        <w:spacing w:after="120" w:line="240" w:lineRule="auto"/>
        <w:rPr>
          <w:sz w:val="20"/>
          <w:szCs w:val="20"/>
        </w:rPr>
      </w:pPr>
      <w:proofErr w:type="spellStart"/>
      <w:r w:rsidRPr="00E55EA7">
        <w:rPr>
          <w:sz w:val="20"/>
          <w:szCs w:val="20"/>
        </w:rPr>
        <w:t>Nieuwenhuis</w:t>
      </w:r>
      <w:proofErr w:type="spellEnd"/>
      <w:r w:rsidRPr="00E55EA7">
        <w:rPr>
          <w:sz w:val="20"/>
          <w:szCs w:val="20"/>
        </w:rPr>
        <w:t>, MH., et al.</w:t>
      </w:r>
      <w:r w:rsidR="00EC0A06" w:rsidRPr="00E55EA7">
        <w:rPr>
          <w:sz w:val="20"/>
          <w:szCs w:val="20"/>
        </w:rPr>
        <w:t xml:space="preserve"> </w:t>
      </w:r>
      <w:r w:rsidRPr="00E55EA7">
        <w:rPr>
          <w:sz w:val="20"/>
          <w:szCs w:val="20"/>
        </w:rPr>
        <w:t xml:space="preserve">Cancer risk and genotype-phenotype correlations in PTEN hamartoma </w:t>
      </w:r>
      <w:r w:rsidR="00CC5C4A" w:rsidRPr="00E55EA7">
        <w:rPr>
          <w:sz w:val="20"/>
          <w:szCs w:val="20"/>
        </w:rPr>
        <w:t>tumour</w:t>
      </w:r>
      <w:r w:rsidRPr="00E55EA7">
        <w:rPr>
          <w:sz w:val="20"/>
          <w:szCs w:val="20"/>
        </w:rPr>
        <w:t xml:space="preserve"> syndrome." Fam Cancer, 2014; 13(1):57-63.</w:t>
      </w:r>
    </w:p>
    <w:p w14:paraId="13D7B1D3" w14:textId="309AFC9E" w:rsidR="008B5AF2" w:rsidRPr="00E55EA7" w:rsidRDefault="000A2CDB" w:rsidP="00E55EA7">
      <w:pPr>
        <w:spacing w:after="120" w:line="240" w:lineRule="auto"/>
        <w:rPr>
          <w:sz w:val="20"/>
          <w:szCs w:val="20"/>
        </w:rPr>
      </w:pPr>
      <w:r w:rsidRPr="00E55EA7">
        <w:rPr>
          <w:sz w:val="20"/>
          <w:szCs w:val="20"/>
        </w:rPr>
        <w:t xml:space="preserve">Northrup, H., et al. Updated International Tuberous Sclerosis Complex Diagnostic Criteria and Surveillance and Management Recommendations. </w:t>
      </w:r>
      <w:proofErr w:type="spellStart"/>
      <w:r w:rsidRPr="00E55EA7">
        <w:rPr>
          <w:sz w:val="20"/>
          <w:szCs w:val="20"/>
        </w:rPr>
        <w:t>Pediatric</w:t>
      </w:r>
      <w:proofErr w:type="spellEnd"/>
      <w:r w:rsidRPr="00E55EA7">
        <w:rPr>
          <w:sz w:val="20"/>
          <w:szCs w:val="20"/>
        </w:rPr>
        <w:t xml:space="preserve"> Neurology, 2012; 123: 50e66</w:t>
      </w:r>
    </w:p>
    <w:p w14:paraId="6F5BA6C9" w14:textId="3CACFA21" w:rsidR="008B5AF2" w:rsidRPr="00E55EA7" w:rsidRDefault="008B5AF2" w:rsidP="00E55EA7">
      <w:pPr>
        <w:spacing w:after="120" w:line="240" w:lineRule="auto"/>
        <w:rPr>
          <w:sz w:val="20"/>
          <w:szCs w:val="20"/>
        </w:rPr>
      </w:pPr>
      <w:r w:rsidRPr="00E55EA7">
        <w:rPr>
          <w:sz w:val="20"/>
          <w:szCs w:val="20"/>
        </w:rPr>
        <w:t xml:space="preserve">Ong, KR., et al. Genotype-phenotype correlations in von Hippel-Lindau disease. </w:t>
      </w:r>
      <w:proofErr w:type="spellStart"/>
      <w:r w:rsidRPr="00E55EA7">
        <w:rPr>
          <w:sz w:val="20"/>
          <w:szCs w:val="20"/>
        </w:rPr>
        <w:t>Hum.Mutat</w:t>
      </w:r>
      <w:proofErr w:type="spellEnd"/>
      <w:r w:rsidRPr="00E55EA7">
        <w:rPr>
          <w:sz w:val="20"/>
          <w:szCs w:val="20"/>
        </w:rPr>
        <w:t>, 2007; 28(2): p143-149.</w:t>
      </w:r>
    </w:p>
    <w:p w14:paraId="6205BFBF" w14:textId="09259BA5" w:rsidR="005A4E66" w:rsidRPr="00E55EA7" w:rsidRDefault="005A4E66" w:rsidP="00E55EA7">
      <w:pPr>
        <w:spacing w:after="120" w:line="240" w:lineRule="auto"/>
        <w:rPr>
          <w:sz w:val="20"/>
          <w:szCs w:val="20"/>
        </w:rPr>
      </w:pPr>
      <w:r w:rsidRPr="00E55EA7">
        <w:rPr>
          <w:sz w:val="20"/>
          <w:szCs w:val="20"/>
        </w:rPr>
        <w:t>Osborne JP., et al. Epidemiology of tuberous sclerosis.  Annals of the Academy of Science, 1991; 615: p125-127</w:t>
      </w:r>
    </w:p>
    <w:p w14:paraId="00A5FB2B" w14:textId="6903DEF2" w:rsidR="00715AE7" w:rsidRPr="00E55EA7" w:rsidRDefault="00715AE7" w:rsidP="00E55EA7">
      <w:pPr>
        <w:spacing w:after="120" w:line="240" w:lineRule="auto"/>
        <w:rPr>
          <w:sz w:val="20"/>
          <w:szCs w:val="20"/>
        </w:rPr>
      </w:pPr>
      <w:r w:rsidRPr="00E55EA7">
        <w:rPr>
          <w:sz w:val="20"/>
          <w:szCs w:val="20"/>
        </w:rPr>
        <w:t>O’ Callaghan, FJ  et al. Prevalence of tuberous sclerosis estimated by capture-recapture analysis. Lancet, 1998; 351 (9114): p1490</w:t>
      </w:r>
    </w:p>
    <w:p w14:paraId="741E0C98" w14:textId="52729464" w:rsidR="006750EC" w:rsidRPr="00E55EA7" w:rsidRDefault="006750EC" w:rsidP="00E55EA7">
      <w:pPr>
        <w:spacing w:after="120" w:line="240" w:lineRule="auto"/>
        <w:rPr>
          <w:sz w:val="20"/>
          <w:szCs w:val="20"/>
        </w:rPr>
      </w:pPr>
      <w:r w:rsidRPr="00E55EA7">
        <w:rPr>
          <w:sz w:val="20"/>
          <w:szCs w:val="20"/>
        </w:rPr>
        <w:t>Peña-</w:t>
      </w:r>
      <w:proofErr w:type="spellStart"/>
      <w:r w:rsidRPr="00E55EA7">
        <w:rPr>
          <w:sz w:val="20"/>
          <w:szCs w:val="20"/>
        </w:rPr>
        <w:t>Llopis</w:t>
      </w:r>
      <w:proofErr w:type="spellEnd"/>
      <w:r w:rsidRPr="00E55EA7">
        <w:rPr>
          <w:sz w:val="20"/>
          <w:szCs w:val="20"/>
        </w:rPr>
        <w:t xml:space="preserve"> S. et al. </w:t>
      </w:r>
      <w:r w:rsidRPr="00E55EA7">
        <w:rPr>
          <w:i/>
          <w:sz w:val="20"/>
          <w:szCs w:val="20"/>
        </w:rPr>
        <w:t>BAP1</w:t>
      </w:r>
      <w:r w:rsidRPr="00E55EA7">
        <w:rPr>
          <w:sz w:val="20"/>
          <w:szCs w:val="20"/>
        </w:rPr>
        <w:t xml:space="preserve"> loss defines a new class of renal cell carcinoma. Nat Genet, 2012;44:751–9.</w:t>
      </w:r>
    </w:p>
    <w:p w14:paraId="62FCA995" w14:textId="35195566" w:rsidR="00500C5D" w:rsidRPr="00E55EA7" w:rsidRDefault="00500C5D" w:rsidP="00E55EA7">
      <w:pPr>
        <w:spacing w:after="120" w:line="240" w:lineRule="auto"/>
        <w:rPr>
          <w:sz w:val="20"/>
          <w:szCs w:val="20"/>
        </w:rPr>
      </w:pPr>
      <w:proofErr w:type="spellStart"/>
      <w:r w:rsidRPr="00E55EA7">
        <w:rPr>
          <w:sz w:val="20"/>
          <w:szCs w:val="20"/>
        </w:rPr>
        <w:t>Pilarski</w:t>
      </w:r>
      <w:proofErr w:type="spellEnd"/>
      <w:r w:rsidRPr="00E55EA7">
        <w:rPr>
          <w:sz w:val="20"/>
          <w:szCs w:val="20"/>
        </w:rPr>
        <w:t xml:space="preserve"> R., et al. </w:t>
      </w:r>
      <w:r w:rsidRPr="00E55EA7">
        <w:rPr>
          <w:i/>
          <w:sz w:val="20"/>
          <w:szCs w:val="20"/>
        </w:rPr>
        <w:t>BAP1</w:t>
      </w:r>
      <w:r w:rsidRPr="00E55EA7">
        <w:rPr>
          <w:sz w:val="20"/>
          <w:szCs w:val="20"/>
        </w:rPr>
        <w:t xml:space="preserve"> </w:t>
      </w:r>
      <w:proofErr w:type="spellStart"/>
      <w:r w:rsidRPr="00E55EA7">
        <w:rPr>
          <w:sz w:val="20"/>
          <w:szCs w:val="20"/>
        </w:rPr>
        <w:t>Tumor</w:t>
      </w:r>
      <w:proofErr w:type="spellEnd"/>
      <w:r w:rsidRPr="00E55EA7">
        <w:rPr>
          <w:sz w:val="20"/>
          <w:szCs w:val="20"/>
        </w:rPr>
        <w:t xml:space="preserve"> Predisposition Syndrome. 2016 [Updated 2020 Sep 17]. In Adam MP et al. editors. </w:t>
      </w:r>
      <w:proofErr w:type="spellStart"/>
      <w:r w:rsidRPr="00E55EA7">
        <w:rPr>
          <w:sz w:val="20"/>
          <w:szCs w:val="20"/>
        </w:rPr>
        <w:t>GeneReviews</w:t>
      </w:r>
      <w:proofErr w:type="spellEnd"/>
      <w:r w:rsidRPr="00E55EA7">
        <w:rPr>
          <w:sz w:val="20"/>
          <w:szCs w:val="20"/>
        </w:rPr>
        <w:t xml:space="preserve">® [Internet]. Seattle (WA): University of Washington, Seattle; 1993-2022. Available from: </w:t>
      </w:r>
      <w:hyperlink r:id="rId27" w:history="1">
        <w:r w:rsidRPr="00E55EA7">
          <w:rPr>
            <w:rStyle w:val="Hyperlink"/>
            <w:rFonts w:ascii="Calibri" w:hAnsi="Calibri" w:cstheme="minorHAnsi"/>
            <w:sz w:val="20"/>
            <w:szCs w:val="20"/>
          </w:rPr>
          <w:t>https://www.ncbi.nlm.nih.gov/books/NBK390611/</w:t>
        </w:r>
      </w:hyperlink>
    </w:p>
    <w:p w14:paraId="1FA513F5" w14:textId="254EC189" w:rsidR="00C45943" w:rsidRPr="00E55EA7" w:rsidRDefault="00C45943" w:rsidP="00E55EA7">
      <w:pPr>
        <w:spacing w:after="120" w:line="240" w:lineRule="auto"/>
        <w:rPr>
          <w:sz w:val="20"/>
          <w:szCs w:val="20"/>
        </w:rPr>
      </w:pPr>
      <w:proofErr w:type="spellStart"/>
      <w:r w:rsidRPr="00E55EA7">
        <w:rPr>
          <w:sz w:val="20"/>
          <w:szCs w:val="20"/>
        </w:rPr>
        <w:t>Plon</w:t>
      </w:r>
      <w:proofErr w:type="spellEnd"/>
      <w:r w:rsidRPr="00E55EA7">
        <w:rPr>
          <w:sz w:val="20"/>
          <w:szCs w:val="20"/>
        </w:rPr>
        <w:t xml:space="preserve"> SE., &amp; E </w:t>
      </w:r>
      <w:proofErr w:type="spellStart"/>
      <w:r w:rsidRPr="00E55EA7">
        <w:rPr>
          <w:sz w:val="20"/>
          <w:szCs w:val="20"/>
        </w:rPr>
        <w:t>Jonasch</w:t>
      </w:r>
      <w:proofErr w:type="spellEnd"/>
      <w:r w:rsidRPr="00E55EA7">
        <w:rPr>
          <w:sz w:val="20"/>
          <w:szCs w:val="20"/>
        </w:rPr>
        <w:t>. Clinical features, diagnosis, and management of von Hippel-Lindau disease. UpToDate. 2021.</w:t>
      </w:r>
    </w:p>
    <w:p w14:paraId="19A56AAA" w14:textId="70585E69" w:rsidR="001D7DDE" w:rsidRPr="00E55EA7" w:rsidRDefault="001D7DDE" w:rsidP="00E55EA7">
      <w:pPr>
        <w:spacing w:after="120" w:line="240" w:lineRule="auto"/>
        <w:rPr>
          <w:sz w:val="20"/>
          <w:szCs w:val="20"/>
        </w:rPr>
      </w:pPr>
      <w:r w:rsidRPr="00E55EA7">
        <w:rPr>
          <w:sz w:val="20"/>
          <w:szCs w:val="20"/>
        </w:rPr>
        <w:t xml:space="preserve">Rai K., et al. Comprehensive review of </w:t>
      </w:r>
      <w:r w:rsidRPr="00E55EA7">
        <w:rPr>
          <w:i/>
          <w:sz w:val="20"/>
          <w:szCs w:val="20"/>
        </w:rPr>
        <w:t>BAP1</w:t>
      </w:r>
      <w:r w:rsidRPr="00E55EA7">
        <w:rPr>
          <w:sz w:val="20"/>
          <w:szCs w:val="20"/>
        </w:rPr>
        <w:t xml:space="preserve"> </w:t>
      </w:r>
      <w:r w:rsidR="00CC5C4A" w:rsidRPr="00E55EA7">
        <w:rPr>
          <w:sz w:val="20"/>
          <w:szCs w:val="20"/>
        </w:rPr>
        <w:t>tumour</w:t>
      </w:r>
      <w:r w:rsidRPr="00E55EA7">
        <w:rPr>
          <w:sz w:val="20"/>
          <w:szCs w:val="20"/>
        </w:rPr>
        <w:t xml:space="preserve"> predisposition syndrome with report of two new cases. </w:t>
      </w:r>
      <w:r w:rsidRPr="00E55EA7">
        <w:rPr>
          <w:rStyle w:val="ref-journal"/>
          <w:sz w:val="20"/>
          <w:szCs w:val="20"/>
        </w:rPr>
        <w:t xml:space="preserve">Clin Genet. </w:t>
      </w:r>
      <w:r w:rsidRPr="00E55EA7">
        <w:rPr>
          <w:sz w:val="20"/>
          <w:szCs w:val="20"/>
        </w:rPr>
        <w:t>2016;</w:t>
      </w:r>
      <w:r w:rsidRPr="00E55EA7">
        <w:rPr>
          <w:rStyle w:val="ref-vol"/>
          <w:rFonts w:eastAsiaTheme="majorEastAsia"/>
          <w:sz w:val="20"/>
          <w:szCs w:val="20"/>
        </w:rPr>
        <w:t>89</w:t>
      </w:r>
      <w:r w:rsidRPr="00E55EA7">
        <w:rPr>
          <w:sz w:val="20"/>
          <w:szCs w:val="20"/>
        </w:rPr>
        <w:t>:285–94.</w:t>
      </w:r>
    </w:p>
    <w:p w14:paraId="6E3A3B94" w14:textId="742478A9" w:rsidR="00BF3A5A" w:rsidRPr="00E55EA7" w:rsidRDefault="00BF3A5A" w:rsidP="00E55EA7">
      <w:pPr>
        <w:spacing w:after="120" w:line="240" w:lineRule="auto"/>
        <w:rPr>
          <w:sz w:val="20"/>
          <w:szCs w:val="20"/>
        </w:rPr>
      </w:pPr>
      <w:r w:rsidRPr="00E55EA7">
        <w:rPr>
          <w:sz w:val="20"/>
          <w:szCs w:val="20"/>
        </w:rPr>
        <w:t>Samuels JA. Treatment of renal angiomyolipoma and other hamartomas in patients with tuberous sclerosis complex. Clin J Am Soc Nephrol, 2017; 12(7): p1196–202. http://dx.doi.org/10.2215/CJN.08150816</w:t>
      </w:r>
    </w:p>
    <w:p w14:paraId="3548D2D2" w14:textId="296DCB7E" w:rsidR="00055958" w:rsidRPr="00E55EA7" w:rsidRDefault="002B7632" w:rsidP="00E55EA7">
      <w:pPr>
        <w:spacing w:after="120" w:line="240" w:lineRule="auto"/>
        <w:rPr>
          <w:sz w:val="20"/>
          <w:szCs w:val="20"/>
        </w:rPr>
      </w:pPr>
      <w:r w:rsidRPr="00E55EA7">
        <w:rPr>
          <w:sz w:val="20"/>
          <w:szCs w:val="20"/>
        </w:rPr>
        <w:t xml:space="preserve">Sattler, EC., et al. Kidney cancer characteristics and genotype-phenotype-correlations in </w:t>
      </w:r>
      <w:proofErr w:type="spellStart"/>
      <w:r w:rsidRPr="00E55EA7">
        <w:rPr>
          <w:sz w:val="20"/>
          <w:szCs w:val="20"/>
        </w:rPr>
        <w:t>Birt</w:t>
      </w:r>
      <w:proofErr w:type="spellEnd"/>
      <w:r w:rsidRPr="00E55EA7">
        <w:rPr>
          <w:sz w:val="20"/>
          <w:szCs w:val="20"/>
        </w:rPr>
        <w:t xml:space="preserve">-Hogg-Dube syndrome. </w:t>
      </w:r>
      <w:proofErr w:type="spellStart"/>
      <w:r w:rsidRPr="00E55EA7">
        <w:rPr>
          <w:sz w:val="20"/>
          <w:szCs w:val="20"/>
        </w:rPr>
        <w:t>PLoS</w:t>
      </w:r>
      <w:proofErr w:type="spellEnd"/>
      <w:r w:rsidRPr="00E55EA7">
        <w:rPr>
          <w:sz w:val="20"/>
          <w:szCs w:val="20"/>
        </w:rPr>
        <w:t xml:space="preserve"> One, 2018; 13(12): e0209504</w:t>
      </w:r>
    </w:p>
    <w:p w14:paraId="4B306134" w14:textId="7383B6EE" w:rsidR="00055958" w:rsidRPr="00E55EA7" w:rsidRDefault="00055958" w:rsidP="00E55EA7">
      <w:pPr>
        <w:spacing w:after="120" w:line="240" w:lineRule="auto"/>
        <w:rPr>
          <w:sz w:val="20"/>
          <w:szCs w:val="20"/>
        </w:rPr>
      </w:pPr>
      <w:r w:rsidRPr="00E55EA7">
        <w:rPr>
          <w:sz w:val="20"/>
          <w:szCs w:val="20"/>
        </w:rPr>
        <w:t xml:space="preserve">Schmidt, LS. &amp; WM. Linehan. Molecular genetics and clinical features of </w:t>
      </w:r>
      <w:proofErr w:type="spellStart"/>
      <w:r w:rsidRPr="00E55EA7">
        <w:rPr>
          <w:sz w:val="20"/>
          <w:szCs w:val="20"/>
        </w:rPr>
        <w:t>Birt</w:t>
      </w:r>
      <w:proofErr w:type="spellEnd"/>
      <w:r w:rsidRPr="00E55EA7">
        <w:rPr>
          <w:sz w:val="20"/>
          <w:szCs w:val="20"/>
        </w:rPr>
        <w:t>-Hogg-Dube syndrome. National Review of Urology, 2015; 12(10): p558-569</w:t>
      </w:r>
    </w:p>
    <w:p w14:paraId="01651381" w14:textId="37789EB8" w:rsidR="003957FC" w:rsidRPr="00E55EA7" w:rsidRDefault="003957FC" w:rsidP="00E55EA7">
      <w:pPr>
        <w:spacing w:after="120" w:line="240" w:lineRule="auto"/>
        <w:rPr>
          <w:sz w:val="20"/>
          <w:szCs w:val="20"/>
        </w:rPr>
      </w:pPr>
      <w:r w:rsidRPr="00E55EA7">
        <w:rPr>
          <w:sz w:val="20"/>
          <w:szCs w:val="20"/>
        </w:rPr>
        <w:t>Stein PP &amp; HR Black. A simplified diagnostic approach to pheochromocytoma. A review of the literature and report of one institution's experience. Medicine, 1991; 70 (1): p46</w:t>
      </w:r>
    </w:p>
    <w:p w14:paraId="709F1537" w14:textId="540279F3" w:rsidR="00A90D13" w:rsidRPr="00E55EA7" w:rsidRDefault="00A90D13" w:rsidP="00E55EA7">
      <w:pPr>
        <w:spacing w:after="120" w:line="240" w:lineRule="auto"/>
        <w:rPr>
          <w:sz w:val="20"/>
          <w:szCs w:val="20"/>
        </w:rPr>
      </w:pPr>
      <w:r w:rsidRPr="00E55EA7">
        <w:rPr>
          <w:sz w:val="20"/>
          <w:szCs w:val="20"/>
        </w:rPr>
        <w:t>Tan, MH., et al. Lifetime cancer risks in individuals with germline PTEN mutations. Clin Cancer Res, 2012; 18(2): p400-407.</w:t>
      </w:r>
    </w:p>
    <w:p w14:paraId="1A252DCA" w14:textId="07949BD0" w:rsidR="00E00FE9" w:rsidRPr="00E55EA7" w:rsidRDefault="00E00FE9" w:rsidP="00E55EA7">
      <w:pPr>
        <w:spacing w:after="120" w:line="240" w:lineRule="auto"/>
        <w:rPr>
          <w:sz w:val="20"/>
          <w:szCs w:val="20"/>
        </w:rPr>
      </w:pPr>
      <w:r w:rsidRPr="00E55EA7">
        <w:rPr>
          <w:sz w:val="20"/>
          <w:szCs w:val="20"/>
        </w:rPr>
        <w:t xml:space="preserve">Tee AR., et al. Tuberous sclerosis complex-1 and -2 gene products function together to inhibit mammalian target of rapamycin (mTOR)-mediated downstream </w:t>
      </w:r>
      <w:proofErr w:type="spellStart"/>
      <w:r w:rsidRPr="00E55EA7">
        <w:rPr>
          <w:sz w:val="20"/>
          <w:szCs w:val="20"/>
        </w:rPr>
        <w:t>signaling</w:t>
      </w:r>
      <w:proofErr w:type="spellEnd"/>
      <w:r w:rsidRPr="00E55EA7">
        <w:rPr>
          <w:sz w:val="20"/>
          <w:szCs w:val="20"/>
        </w:rPr>
        <w:t xml:space="preserve">. Proc Natl </w:t>
      </w:r>
      <w:proofErr w:type="spellStart"/>
      <w:r w:rsidRPr="00E55EA7">
        <w:rPr>
          <w:sz w:val="20"/>
          <w:szCs w:val="20"/>
        </w:rPr>
        <w:t>Acad</w:t>
      </w:r>
      <w:proofErr w:type="spellEnd"/>
      <w:r w:rsidRPr="00E55EA7">
        <w:rPr>
          <w:sz w:val="20"/>
          <w:szCs w:val="20"/>
        </w:rPr>
        <w:t xml:space="preserve"> Sci USA. 2002, 99: p13571–6.</w:t>
      </w:r>
    </w:p>
    <w:p w14:paraId="6D38867A" w14:textId="7B06EF0B" w:rsidR="00500C5D" w:rsidRPr="00E55EA7" w:rsidRDefault="00500C5D" w:rsidP="00E55EA7">
      <w:pPr>
        <w:spacing w:after="120" w:line="240" w:lineRule="auto"/>
        <w:rPr>
          <w:sz w:val="20"/>
          <w:szCs w:val="20"/>
        </w:rPr>
      </w:pPr>
      <w:r w:rsidRPr="00E55EA7">
        <w:rPr>
          <w:sz w:val="20"/>
          <w:szCs w:val="20"/>
        </w:rPr>
        <w:t xml:space="preserve">van </w:t>
      </w:r>
      <w:proofErr w:type="spellStart"/>
      <w:r w:rsidRPr="00E55EA7">
        <w:rPr>
          <w:sz w:val="20"/>
          <w:szCs w:val="20"/>
        </w:rPr>
        <w:t>Slegtenhorst</w:t>
      </w:r>
      <w:proofErr w:type="spellEnd"/>
      <w:r w:rsidRPr="00E55EA7">
        <w:rPr>
          <w:sz w:val="20"/>
          <w:szCs w:val="20"/>
        </w:rPr>
        <w:t xml:space="preserve"> M., et al. Identification of the tuberous sclerosis gene TSC1 on chromosome 9q34. Science 1997, 277. p805–8.</w:t>
      </w:r>
    </w:p>
    <w:p w14:paraId="25B17FCA" w14:textId="79DCF05F" w:rsidR="004C204F" w:rsidRPr="00E55EA7" w:rsidRDefault="004C204F" w:rsidP="00E55EA7">
      <w:pPr>
        <w:spacing w:after="120" w:line="240" w:lineRule="auto"/>
        <w:rPr>
          <w:sz w:val="20"/>
          <w:szCs w:val="20"/>
        </w:rPr>
      </w:pPr>
      <w:r w:rsidRPr="00E55EA7">
        <w:rPr>
          <w:sz w:val="20"/>
          <w:szCs w:val="20"/>
        </w:rPr>
        <w:t>Varshney N., et al. A Review of Von Hippel-Lindau Syndrome. J Kidney Cancer VHL, 2017; 4(3): p20-29.</w:t>
      </w:r>
    </w:p>
    <w:p w14:paraId="0A099E98" w14:textId="5EDAC9D7" w:rsidR="00055958" w:rsidRPr="00E55EA7" w:rsidRDefault="00055958" w:rsidP="00E55EA7">
      <w:pPr>
        <w:spacing w:after="120" w:line="240" w:lineRule="auto"/>
        <w:rPr>
          <w:sz w:val="20"/>
          <w:szCs w:val="20"/>
        </w:rPr>
      </w:pPr>
      <w:r w:rsidRPr="00E55EA7">
        <w:rPr>
          <w:sz w:val="20"/>
          <w:szCs w:val="20"/>
        </w:rPr>
        <w:t xml:space="preserve">VHL Alliance. VHLA Suggested Active Surveillance Guidelines.  2020. Accessible at: </w:t>
      </w:r>
      <w:hyperlink r:id="rId28" w:history="1">
        <w:r w:rsidRPr="00E55EA7">
          <w:rPr>
            <w:rStyle w:val="Hyperlink"/>
            <w:rFonts w:ascii="Calibri" w:hAnsi="Calibri" w:cstheme="minorHAnsi"/>
            <w:sz w:val="20"/>
            <w:szCs w:val="20"/>
          </w:rPr>
          <w:t>https://www.vhl.org/wp-content/uploads/2020/10/Active-Surveillance-Guidelines-2020.pdf</w:t>
        </w:r>
      </w:hyperlink>
    </w:p>
    <w:p w14:paraId="68052248" w14:textId="4E332943" w:rsidR="00303C92" w:rsidRPr="00E55EA7" w:rsidRDefault="00303C92" w:rsidP="00E55EA7">
      <w:pPr>
        <w:spacing w:after="120" w:line="240" w:lineRule="auto"/>
        <w:rPr>
          <w:sz w:val="20"/>
          <w:szCs w:val="20"/>
        </w:rPr>
      </w:pPr>
      <w:r w:rsidRPr="00E55EA7">
        <w:rPr>
          <w:sz w:val="20"/>
          <w:szCs w:val="20"/>
        </w:rPr>
        <w:t>Young WF et al. Paragangliomas: epidemiology, clinical presentation, diagnosis and histology. UpToDate, 2022.</w:t>
      </w:r>
    </w:p>
    <w:sectPr w:rsidR="00303C92" w:rsidRPr="00E55EA7" w:rsidSect="00AE6FE0">
      <w:headerReference w:type="even" r:id="rId29"/>
      <w:headerReference w:type="default" r:id="rId30"/>
      <w:footerReference w:type="even" r:id="rId31"/>
      <w:footerReference w:type="default" r:id="rId32"/>
      <w:headerReference w:type="first" r:id="rId33"/>
      <w:footerReference w:type="first" r:id="rId34"/>
      <w:pgSz w:w="11906" w:h="16838"/>
      <w:pgMar w:top="682" w:right="1134" w:bottom="102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6AB328" w14:textId="77777777" w:rsidR="0069673F" w:rsidRDefault="0069673F" w:rsidP="005D2196">
      <w:r>
        <w:separator/>
      </w:r>
    </w:p>
  </w:endnote>
  <w:endnote w:type="continuationSeparator" w:id="0">
    <w:p w14:paraId="444778D0" w14:textId="77777777" w:rsidR="0069673F" w:rsidRDefault="0069673F" w:rsidP="005D2196">
      <w:r>
        <w:continuationSeparator/>
      </w:r>
    </w:p>
  </w:endnote>
  <w:endnote w:type="continuationNotice" w:id="1">
    <w:p w14:paraId="6C70345C" w14:textId="77777777" w:rsidR="0069673F" w:rsidRDefault="006967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92114567"/>
      <w:docPartObj>
        <w:docPartGallery w:val="Page Numbers (Bottom of Page)"/>
        <w:docPartUnique/>
      </w:docPartObj>
    </w:sdtPr>
    <w:sdtContent>
      <w:p w14:paraId="2F61D3D2" w14:textId="66E4C48E" w:rsidR="0069673F" w:rsidRDefault="0069673F" w:rsidP="005D2196">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E72C2D" w14:textId="77777777" w:rsidR="0069673F" w:rsidRDefault="0069673F" w:rsidP="005D2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93382827"/>
      <w:docPartObj>
        <w:docPartGallery w:val="Page Numbers (Bottom of Page)"/>
        <w:docPartUnique/>
      </w:docPartObj>
    </w:sdtPr>
    <w:sdtContent>
      <w:p w14:paraId="6B563965" w14:textId="07DB4CF1" w:rsidR="0069673F" w:rsidRDefault="0069673F" w:rsidP="00D013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sdtContent>
  </w:sdt>
  <w:p w14:paraId="352BD7EB" w14:textId="1E0BE114" w:rsidR="0069673F" w:rsidRDefault="0069673F" w:rsidP="00F654AE">
    <w:pPr>
      <w:spacing w:before="360" w:after="120" w:line="240" w:lineRule="auto"/>
      <w:jc w:val="center"/>
    </w:pPr>
    <w:r>
      <w:t>Ratified PICO Confirmation</w:t>
    </w:r>
    <w:r w:rsidRPr="00685355">
      <w:t xml:space="preserve"> </w:t>
    </w:r>
    <w:r>
      <w:t xml:space="preserve">- April 2022 PASC meeting </w:t>
    </w:r>
    <w:r>
      <w:br/>
      <w:t xml:space="preserve">Application </w:t>
    </w:r>
    <w:r w:rsidRPr="00D0135E">
      <w:t xml:space="preserve">1702 </w:t>
    </w:r>
    <w:r w:rsidRPr="00E55EA7">
      <w:t>– A</w:t>
    </w:r>
    <w:r w:rsidRPr="00771BF0">
      <w:t>bdominal Magnetic Resonance Imaging (MRI) for rare genetic conditions associated with increased risk of renal tumours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2F517" w14:textId="77777777" w:rsidR="0069673F" w:rsidRDefault="00696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EA7DB3" w14:textId="77777777" w:rsidR="0069673F" w:rsidRDefault="0069673F" w:rsidP="005D2196">
      <w:r>
        <w:separator/>
      </w:r>
    </w:p>
  </w:footnote>
  <w:footnote w:type="continuationSeparator" w:id="0">
    <w:p w14:paraId="0EC2EF7E" w14:textId="77777777" w:rsidR="0069673F" w:rsidRDefault="0069673F" w:rsidP="005D2196">
      <w:r>
        <w:continuationSeparator/>
      </w:r>
    </w:p>
  </w:footnote>
  <w:footnote w:type="continuationNotice" w:id="1">
    <w:p w14:paraId="7ABD936F" w14:textId="77777777" w:rsidR="0069673F" w:rsidRDefault="0069673F">
      <w:pPr>
        <w:spacing w:after="0" w:line="240" w:lineRule="auto"/>
      </w:pPr>
    </w:p>
  </w:footnote>
  <w:footnote w:id="2">
    <w:p w14:paraId="4D123CEE" w14:textId="3DE86951" w:rsidR="0069673F" w:rsidRDefault="0069673F" w:rsidP="005D2196">
      <w:pPr>
        <w:pStyle w:val="FootnoteText"/>
      </w:pPr>
      <w:r>
        <w:rPr>
          <w:rStyle w:val="FootnoteReference"/>
        </w:rPr>
        <w:footnoteRef/>
      </w:r>
      <w:r>
        <w:t xml:space="preserve"> </w:t>
      </w:r>
      <w:r w:rsidRPr="00272200">
        <w:t>https://www.eviq.org.au/cancer-genetics/consumer-information/3425-facts-for-people-and-families-with-birt-hogg#what-is-the-risk-of-cancer-and-other-features-of-b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3A320" w14:textId="77777777" w:rsidR="0069673F" w:rsidRDefault="006967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C793E" w14:textId="77777777" w:rsidR="0069673F" w:rsidRDefault="006967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96057" w14:textId="77777777" w:rsidR="0069673F" w:rsidRDefault="00696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17625"/>
    <w:multiLevelType w:val="hybridMultilevel"/>
    <w:tmpl w:val="86CEF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418F4"/>
    <w:multiLevelType w:val="hybridMultilevel"/>
    <w:tmpl w:val="D8BE81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1B0E5D"/>
    <w:multiLevelType w:val="hybridMultilevel"/>
    <w:tmpl w:val="7B169002"/>
    <w:lvl w:ilvl="0" w:tplc="0C090003">
      <w:start w:val="1"/>
      <w:numFmt w:val="bullet"/>
      <w:lvlText w:val="o"/>
      <w:lvlJc w:val="left"/>
      <w:pPr>
        <w:ind w:left="1316" w:hanging="360"/>
      </w:pPr>
      <w:rPr>
        <w:rFonts w:ascii="Courier New" w:hAnsi="Courier New" w:cs="Courier New" w:hint="default"/>
      </w:rPr>
    </w:lvl>
    <w:lvl w:ilvl="1" w:tplc="04090003" w:tentative="1">
      <w:start w:val="1"/>
      <w:numFmt w:val="bullet"/>
      <w:lvlText w:val="o"/>
      <w:lvlJc w:val="left"/>
      <w:pPr>
        <w:ind w:left="2036" w:hanging="360"/>
      </w:pPr>
      <w:rPr>
        <w:rFonts w:ascii="Courier New" w:hAnsi="Courier New" w:cs="Courier New" w:hint="default"/>
      </w:rPr>
    </w:lvl>
    <w:lvl w:ilvl="2" w:tplc="04090005" w:tentative="1">
      <w:start w:val="1"/>
      <w:numFmt w:val="bullet"/>
      <w:lvlText w:val=""/>
      <w:lvlJc w:val="left"/>
      <w:pPr>
        <w:ind w:left="2756" w:hanging="360"/>
      </w:pPr>
      <w:rPr>
        <w:rFonts w:ascii="Wingdings" w:hAnsi="Wingdings" w:hint="default"/>
      </w:rPr>
    </w:lvl>
    <w:lvl w:ilvl="3" w:tplc="04090001" w:tentative="1">
      <w:start w:val="1"/>
      <w:numFmt w:val="bullet"/>
      <w:lvlText w:val=""/>
      <w:lvlJc w:val="left"/>
      <w:pPr>
        <w:ind w:left="3476" w:hanging="360"/>
      </w:pPr>
      <w:rPr>
        <w:rFonts w:ascii="Symbol" w:hAnsi="Symbol" w:hint="default"/>
      </w:rPr>
    </w:lvl>
    <w:lvl w:ilvl="4" w:tplc="04090003" w:tentative="1">
      <w:start w:val="1"/>
      <w:numFmt w:val="bullet"/>
      <w:lvlText w:val="o"/>
      <w:lvlJc w:val="left"/>
      <w:pPr>
        <w:ind w:left="4196" w:hanging="360"/>
      </w:pPr>
      <w:rPr>
        <w:rFonts w:ascii="Courier New" w:hAnsi="Courier New" w:cs="Courier New" w:hint="default"/>
      </w:rPr>
    </w:lvl>
    <w:lvl w:ilvl="5" w:tplc="04090005" w:tentative="1">
      <w:start w:val="1"/>
      <w:numFmt w:val="bullet"/>
      <w:lvlText w:val=""/>
      <w:lvlJc w:val="left"/>
      <w:pPr>
        <w:ind w:left="4916" w:hanging="360"/>
      </w:pPr>
      <w:rPr>
        <w:rFonts w:ascii="Wingdings" w:hAnsi="Wingdings" w:hint="default"/>
      </w:rPr>
    </w:lvl>
    <w:lvl w:ilvl="6" w:tplc="04090001" w:tentative="1">
      <w:start w:val="1"/>
      <w:numFmt w:val="bullet"/>
      <w:lvlText w:val=""/>
      <w:lvlJc w:val="left"/>
      <w:pPr>
        <w:ind w:left="5636" w:hanging="360"/>
      </w:pPr>
      <w:rPr>
        <w:rFonts w:ascii="Symbol" w:hAnsi="Symbol" w:hint="default"/>
      </w:rPr>
    </w:lvl>
    <w:lvl w:ilvl="7" w:tplc="04090003" w:tentative="1">
      <w:start w:val="1"/>
      <w:numFmt w:val="bullet"/>
      <w:lvlText w:val="o"/>
      <w:lvlJc w:val="left"/>
      <w:pPr>
        <w:ind w:left="6356" w:hanging="360"/>
      </w:pPr>
      <w:rPr>
        <w:rFonts w:ascii="Courier New" w:hAnsi="Courier New" w:cs="Courier New" w:hint="default"/>
      </w:rPr>
    </w:lvl>
    <w:lvl w:ilvl="8" w:tplc="04090005" w:tentative="1">
      <w:start w:val="1"/>
      <w:numFmt w:val="bullet"/>
      <w:lvlText w:val=""/>
      <w:lvlJc w:val="left"/>
      <w:pPr>
        <w:ind w:left="7076" w:hanging="360"/>
      </w:pPr>
      <w:rPr>
        <w:rFonts w:ascii="Wingdings" w:hAnsi="Wingdings" w:hint="default"/>
      </w:rPr>
    </w:lvl>
  </w:abstractNum>
  <w:abstractNum w:abstractNumId="3" w15:restartNumberingAfterBreak="0">
    <w:nsid w:val="052D38EE"/>
    <w:multiLevelType w:val="hybridMultilevel"/>
    <w:tmpl w:val="D6A2BA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E4AC1"/>
    <w:multiLevelType w:val="hybridMultilevel"/>
    <w:tmpl w:val="10CE0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15018"/>
    <w:multiLevelType w:val="hybridMultilevel"/>
    <w:tmpl w:val="F438A756"/>
    <w:lvl w:ilvl="0" w:tplc="175EC440">
      <w:numFmt w:val="bullet"/>
      <w:lvlText w:val="-"/>
      <w:lvlJc w:val="left"/>
      <w:pPr>
        <w:ind w:left="949" w:hanging="360"/>
      </w:pPr>
      <w:rPr>
        <w:rFonts w:ascii="Calibri" w:eastAsia="Calibri" w:hAnsi="Calibri" w:cs="Times New Roman" w:hint="default"/>
      </w:rPr>
    </w:lvl>
    <w:lvl w:ilvl="1" w:tplc="04090003">
      <w:start w:val="1"/>
      <w:numFmt w:val="bullet"/>
      <w:lvlText w:val="o"/>
      <w:lvlJc w:val="left"/>
      <w:pPr>
        <w:ind w:left="1669" w:hanging="360"/>
      </w:pPr>
      <w:rPr>
        <w:rFonts w:ascii="Courier New" w:hAnsi="Courier New" w:cs="Courier New" w:hint="default"/>
      </w:rPr>
    </w:lvl>
    <w:lvl w:ilvl="2" w:tplc="04090005" w:tentative="1">
      <w:start w:val="1"/>
      <w:numFmt w:val="bullet"/>
      <w:lvlText w:val=""/>
      <w:lvlJc w:val="left"/>
      <w:pPr>
        <w:ind w:left="2389" w:hanging="360"/>
      </w:pPr>
      <w:rPr>
        <w:rFonts w:ascii="Wingdings" w:hAnsi="Wingdings" w:hint="default"/>
      </w:rPr>
    </w:lvl>
    <w:lvl w:ilvl="3" w:tplc="04090001" w:tentative="1">
      <w:start w:val="1"/>
      <w:numFmt w:val="bullet"/>
      <w:lvlText w:val=""/>
      <w:lvlJc w:val="left"/>
      <w:pPr>
        <w:ind w:left="3109" w:hanging="360"/>
      </w:pPr>
      <w:rPr>
        <w:rFonts w:ascii="Symbol" w:hAnsi="Symbol" w:hint="default"/>
      </w:rPr>
    </w:lvl>
    <w:lvl w:ilvl="4" w:tplc="04090003" w:tentative="1">
      <w:start w:val="1"/>
      <w:numFmt w:val="bullet"/>
      <w:lvlText w:val="o"/>
      <w:lvlJc w:val="left"/>
      <w:pPr>
        <w:ind w:left="3829" w:hanging="360"/>
      </w:pPr>
      <w:rPr>
        <w:rFonts w:ascii="Courier New" w:hAnsi="Courier New" w:cs="Courier New" w:hint="default"/>
      </w:rPr>
    </w:lvl>
    <w:lvl w:ilvl="5" w:tplc="04090005" w:tentative="1">
      <w:start w:val="1"/>
      <w:numFmt w:val="bullet"/>
      <w:lvlText w:val=""/>
      <w:lvlJc w:val="left"/>
      <w:pPr>
        <w:ind w:left="4549" w:hanging="360"/>
      </w:pPr>
      <w:rPr>
        <w:rFonts w:ascii="Wingdings" w:hAnsi="Wingdings" w:hint="default"/>
      </w:rPr>
    </w:lvl>
    <w:lvl w:ilvl="6" w:tplc="04090001" w:tentative="1">
      <w:start w:val="1"/>
      <w:numFmt w:val="bullet"/>
      <w:lvlText w:val=""/>
      <w:lvlJc w:val="left"/>
      <w:pPr>
        <w:ind w:left="5269" w:hanging="360"/>
      </w:pPr>
      <w:rPr>
        <w:rFonts w:ascii="Symbol" w:hAnsi="Symbol" w:hint="default"/>
      </w:rPr>
    </w:lvl>
    <w:lvl w:ilvl="7" w:tplc="04090003" w:tentative="1">
      <w:start w:val="1"/>
      <w:numFmt w:val="bullet"/>
      <w:lvlText w:val="o"/>
      <w:lvlJc w:val="left"/>
      <w:pPr>
        <w:ind w:left="5989" w:hanging="360"/>
      </w:pPr>
      <w:rPr>
        <w:rFonts w:ascii="Courier New" w:hAnsi="Courier New" w:cs="Courier New" w:hint="default"/>
      </w:rPr>
    </w:lvl>
    <w:lvl w:ilvl="8" w:tplc="04090005" w:tentative="1">
      <w:start w:val="1"/>
      <w:numFmt w:val="bullet"/>
      <w:lvlText w:val=""/>
      <w:lvlJc w:val="left"/>
      <w:pPr>
        <w:ind w:left="6709" w:hanging="360"/>
      </w:pPr>
      <w:rPr>
        <w:rFonts w:ascii="Wingdings" w:hAnsi="Wingdings" w:hint="default"/>
      </w:rPr>
    </w:lvl>
  </w:abstractNum>
  <w:abstractNum w:abstractNumId="6" w15:restartNumberingAfterBreak="0">
    <w:nsid w:val="158539E9"/>
    <w:multiLevelType w:val="hybridMultilevel"/>
    <w:tmpl w:val="D6144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981B1B"/>
    <w:multiLevelType w:val="hybridMultilevel"/>
    <w:tmpl w:val="45984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184A5D"/>
    <w:multiLevelType w:val="hybridMultilevel"/>
    <w:tmpl w:val="492ECE3E"/>
    <w:lvl w:ilvl="0" w:tplc="0C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17440"/>
    <w:multiLevelType w:val="hybridMultilevel"/>
    <w:tmpl w:val="2CD0B6E8"/>
    <w:lvl w:ilvl="0" w:tplc="0FAC9D7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25C0E"/>
    <w:multiLevelType w:val="hybridMultilevel"/>
    <w:tmpl w:val="12CA36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D4A4936"/>
    <w:multiLevelType w:val="hybridMultilevel"/>
    <w:tmpl w:val="C5363854"/>
    <w:lvl w:ilvl="0" w:tplc="0C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DE64015"/>
    <w:multiLevelType w:val="hybridMultilevel"/>
    <w:tmpl w:val="D6A2BA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05C1180"/>
    <w:multiLevelType w:val="hybridMultilevel"/>
    <w:tmpl w:val="3FFE83CE"/>
    <w:lvl w:ilvl="0" w:tplc="0C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AA3C52"/>
    <w:multiLevelType w:val="hybridMultilevel"/>
    <w:tmpl w:val="07D4CA9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153A4C"/>
    <w:multiLevelType w:val="hybridMultilevel"/>
    <w:tmpl w:val="65B4364A"/>
    <w:lvl w:ilvl="0" w:tplc="0C090001">
      <w:start w:val="1"/>
      <w:numFmt w:val="bullet"/>
      <w:lvlText w:val=""/>
      <w:lvlJc w:val="left"/>
      <w:pPr>
        <w:ind w:left="1316" w:hanging="360"/>
      </w:pPr>
      <w:rPr>
        <w:rFonts w:ascii="Symbol" w:hAnsi="Symbol" w:hint="default"/>
      </w:rPr>
    </w:lvl>
    <w:lvl w:ilvl="1" w:tplc="04090003" w:tentative="1">
      <w:start w:val="1"/>
      <w:numFmt w:val="bullet"/>
      <w:lvlText w:val="o"/>
      <w:lvlJc w:val="left"/>
      <w:pPr>
        <w:ind w:left="2036" w:hanging="360"/>
      </w:pPr>
      <w:rPr>
        <w:rFonts w:ascii="Courier New" w:hAnsi="Courier New" w:cs="Courier New" w:hint="default"/>
      </w:rPr>
    </w:lvl>
    <w:lvl w:ilvl="2" w:tplc="04090005" w:tentative="1">
      <w:start w:val="1"/>
      <w:numFmt w:val="bullet"/>
      <w:lvlText w:val=""/>
      <w:lvlJc w:val="left"/>
      <w:pPr>
        <w:ind w:left="2756" w:hanging="360"/>
      </w:pPr>
      <w:rPr>
        <w:rFonts w:ascii="Wingdings" w:hAnsi="Wingdings" w:hint="default"/>
      </w:rPr>
    </w:lvl>
    <w:lvl w:ilvl="3" w:tplc="04090001" w:tentative="1">
      <w:start w:val="1"/>
      <w:numFmt w:val="bullet"/>
      <w:lvlText w:val=""/>
      <w:lvlJc w:val="left"/>
      <w:pPr>
        <w:ind w:left="3476" w:hanging="360"/>
      </w:pPr>
      <w:rPr>
        <w:rFonts w:ascii="Symbol" w:hAnsi="Symbol" w:hint="default"/>
      </w:rPr>
    </w:lvl>
    <w:lvl w:ilvl="4" w:tplc="04090003" w:tentative="1">
      <w:start w:val="1"/>
      <w:numFmt w:val="bullet"/>
      <w:lvlText w:val="o"/>
      <w:lvlJc w:val="left"/>
      <w:pPr>
        <w:ind w:left="4196" w:hanging="360"/>
      </w:pPr>
      <w:rPr>
        <w:rFonts w:ascii="Courier New" w:hAnsi="Courier New" w:cs="Courier New" w:hint="default"/>
      </w:rPr>
    </w:lvl>
    <w:lvl w:ilvl="5" w:tplc="04090005" w:tentative="1">
      <w:start w:val="1"/>
      <w:numFmt w:val="bullet"/>
      <w:lvlText w:val=""/>
      <w:lvlJc w:val="left"/>
      <w:pPr>
        <w:ind w:left="4916" w:hanging="360"/>
      </w:pPr>
      <w:rPr>
        <w:rFonts w:ascii="Wingdings" w:hAnsi="Wingdings" w:hint="default"/>
      </w:rPr>
    </w:lvl>
    <w:lvl w:ilvl="6" w:tplc="04090001" w:tentative="1">
      <w:start w:val="1"/>
      <w:numFmt w:val="bullet"/>
      <w:lvlText w:val=""/>
      <w:lvlJc w:val="left"/>
      <w:pPr>
        <w:ind w:left="5636" w:hanging="360"/>
      </w:pPr>
      <w:rPr>
        <w:rFonts w:ascii="Symbol" w:hAnsi="Symbol" w:hint="default"/>
      </w:rPr>
    </w:lvl>
    <w:lvl w:ilvl="7" w:tplc="04090003" w:tentative="1">
      <w:start w:val="1"/>
      <w:numFmt w:val="bullet"/>
      <w:lvlText w:val="o"/>
      <w:lvlJc w:val="left"/>
      <w:pPr>
        <w:ind w:left="6356" w:hanging="360"/>
      </w:pPr>
      <w:rPr>
        <w:rFonts w:ascii="Courier New" w:hAnsi="Courier New" w:cs="Courier New" w:hint="default"/>
      </w:rPr>
    </w:lvl>
    <w:lvl w:ilvl="8" w:tplc="04090005" w:tentative="1">
      <w:start w:val="1"/>
      <w:numFmt w:val="bullet"/>
      <w:lvlText w:val=""/>
      <w:lvlJc w:val="left"/>
      <w:pPr>
        <w:ind w:left="7076" w:hanging="360"/>
      </w:pPr>
      <w:rPr>
        <w:rFonts w:ascii="Wingdings" w:hAnsi="Wingdings" w:hint="default"/>
      </w:rPr>
    </w:lvl>
  </w:abstractNum>
  <w:abstractNum w:abstractNumId="16" w15:restartNumberingAfterBreak="0">
    <w:nsid w:val="2525460D"/>
    <w:multiLevelType w:val="hybridMultilevel"/>
    <w:tmpl w:val="219CA922"/>
    <w:lvl w:ilvl="0" w:tplc="07C8E55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8E7F38"/>
    <w:multiLevelType w:val="hybridMultilevel"/>
    <w:tmpl w:val="1B96B7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1B01B5"/>
    <w:multiLevelType w:val="hybridMultilevel"/>
    <w:tmpl w:val="0252872E"/>
    <w:lvl w:ilvl="0" w:tplc="3C8AE73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61B0588"/>
    <w:multiLevelType w:val="hybridMultilevel"/>
    <w:tmpl w:val="D4D46984"/>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EA04C4"/>
    <w:multiLevelType w:val="hybridMultilevel"/>
    <w:tmpl w:val="ED685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5F0175"/>
    <w:multiLevelType w:val="hybridMultilevel"/>
    <w:tmpl w:val="455C52F8"/>
    <w:lvl w:ilvl="0" w:tplc="07C8E55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DE6DA8"/>
    <w:multiLevelType w:val="hybridMultilevel"/>
    <w:tmpl w:val="925AEF14"/>
    <w:lvl w:ilvl="0" w:tplc="04090001">
      <w:start w:val="1"/>
      <w:numFmt w:val="bullet"/>
      <w:lvlText w:val=""/>
      <w:lvlJc w:val="left"/>
      <w:pPr>
        <w:ind w:left="360" w:hanging="360"/>
      </w:pPr>
      <w:rPr>
        <w:rFonts w:ascii="Symbol" w:hAnsi="Symbol" w:hint="default"/>
      </w:rPr>
    </w:lvl>
    <w:lvl w:ilvl="1" w:tplc="716841E8">
      <w:numFmt w:val="bullet"/>
      <w:lvlText w:val="•"/>
      <w:lvlJc w:val="left"/>
      <w:pPr>
        <w:ind w:left="1440" w:hanging="72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A997DA5"/>
    <w:multiLevelType w:val="hybridMultilevel"/>
    <w:tmpl w:val="CDB08244"/>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5F186D"/>
    <w:multiLevelType w:val="hybridMultilevel"/>
    <w:tmpl w:val="6CBC0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B726BF"/>
    <w:multiLevelType w:val="hybridMultilevel"/>
    <w:tmpl w:val="2828EA0A"/>
    <w:lvl w:ilvl="0" w:tplc="0C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5B10B81"/>
    <w:multiLevelType w:val="hybridMultilevel"/>
    <w:tmpl w:val="02BE9CA8"/>
    <w:lvl w:ilvl="0" w:tplc="175EC440">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5FB25E1"/>
    <w:multiLevelType w:val="hybridMultilevel"/>
    <w:tmpl w:val="C38ED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407661"/>
    <w:multiLevelType w:val="hybridMultilevel"/>
    <w:tmpl w:val="703888E4"/>
    <w:lvl w:ilvl="0" w:tplc="175EC440">
      <w:numFmt w:val="bullet"/>
      <w:lvlText w:val="-"/>
      <w:lvlJc w:val="left"/>
      <w:pPr>
        <w:ind w:left="949" w:hanging="360"/>
      </w:pPr>
      <w:rPr>
        <w:rFonts w:ascii="Calibri" w:eastAsia="Calibri" w:hAnsi="Calibri" w:cs="Times New Roman" w:hint="default"/>
      </w:rPr>
    </w:lvl>
    <w:lvl w:ilvl="1" w:tplc="175EC440">
      <w:numFmt w:val="bullet"/>
      <w:lvlText w:val="-"/>
      <w:lvlJc w:val="left"/>
      <w:pPr>
        <w:ind w:left="1669" w:hanging="360"/>
      </w:pPr>
      <w:rPr>
        <w:rFonts w:ascii="Calibri" w:eastAsia="Calibri" w:hAnsi="Calibri" w:cs="Times New Roman" w:hint="default"/>
      </w:rPr>
    </w:lvl>
    <w:lvl w:ilvl="2" w:tplc="04090005" w:tentative="1">
      <w:start w:val="1"/>
      <w:numFmt w:val="bullet"/>
      <w:lvlText w:val=""/>
      <w:lvlJc w:val="left"/>
      <w:pPr>
        <w:ind w:left="2389" w:hanging="360"/>
      </w:pPr>
      <w:rPr>
        <w:rFonts w:ascii="Wingdings" w:hAnsi="Wingdings" w:hint="default"/>
      </w:rPr>
    </w:lvl>
    <w:lvl w:ilvl="3" w:tplc="04090001" w:tentative="1">
      <w:start w:val="1"/>
      <w:numFmt w:val="bullet"/>
      <w:lvlText w:val=""/>
      <w:lvlJc w:val="left"/>
      <w:pPr>
        <w:ind w:left="3109" w:hanging="360"/>
      </w:pPr>
      <w:rPr>
        <w:rFonts w:ascii="Symbol" w:hAnsi="Symbol" w:hint="default"/>
      </w:rPr>
    </w:lvl>
    <w:lvl w:ilvl="4" w:tplc="04090003" w:tentative="1">
      <w:start w:val="1"/>
      <w:numFmt w:val="bullet"/>
      <w:lvlText w:val="o"/>
      <w:lvlJc w:val="left"/>
      <w:pPr>
        <w:ind w:left="3829" w:hanging="360"/>
      </w:pPr>
      <w:rPr>
        <w:rFonts w:ascii="Courier New" w:hAnsi="Courier New" w:cs="Courier New" w:hint="default"/>
      </w:rPr>
    </w:lvl>
    <w:lvl w:ilvl="5" w:tplc="04090005" w:tentative="1">
      <w:start w:val="1"/>
      <w:numFmt w:val="bullet"/>
      <w:lvlText w:val=""/>
      <w:lvlJc w:val="left"/>
      <w:pPr>
        <w:ind w:left="4549" w:hanging="360"/>
      </w:pPr>
      <w:rPr>
        <w:rFonts w:ascii="Wingdings" w:hAnsi="Wingdings" w:hint="default"/>
      </w:rPr>
    </w:lvl>
    <w:lvl w:ilvl="6" w:tplc="04090001" w:tentative="1">
      <w:start w:val="1"/>
      <w:numFmt w:val="bullet"/>
      <w:lvlText w:val=""/>
      <w:lvlJc w:val="left"/>
      <w:pPr>
        <w:ind w:left="5269" w:hanging="360"/>
      </w:pPr>
      <w:rPr>
        <w:rFonts w:ascii="Symbol" w:hAnsi="Symbol" w:hint="default"/>
      </w:rPr>
    </w:lvl>
    <w:lvl w:ilvl="7" w:tplc="04090003" w:tentative="1">
      <w:start w:val="1"/>
      <w:numFmt w:val="bullet"/>
      <w:lvlText w:val="o"/>
      <w:lvlJc w:val="left"/>
      <w:pPr>
        <w:ind w:left="5989" w:hanging="360"/>
      </w:pPr>
      <w:rPr>
        <w:rFonts w:ascii="Courier New" w:hAnsi="Courier New" w:cs="Courier New" w:hint="default"/>
      </w:rPr>
    </w:lvl>
    <w:lvl w:ilvl="8" w:tplc="04090005" w:tentative="1">
      <w:start w:val="1"/>
      <w:numFmt w:val="bullet"/>
      <w:lvlText w:val=""/>
      <w:lvlJc w:val="left"/>
      <w:pPr>
        <w:ind w:left="6709" w:hanging="360"/>
      </w:pPr>
      <w:rPr>
        <w:rFonts w:ascii="Wingdings" w:hAnsi="Wingdings" w:hint="default"/>
      </w:rPr>
    </w:lvl>
  </w:abstractNum>
  <w:abstractNum w:abstractNumId="29" w15:restartNumberingAfterBreak="0">
    <w:nsid w:val="3729547C"/>
    <w:multiLevelType w:val="hybridMultilevel"/>
    <w:tmpl w:val="E4623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9400A44"/>
    <w:multiLevelType w:val="hybridMultilevel"/>
    <w:tmpl w:val="24263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CA25A11"/>
    <w:multiLevelType w:val="hybridMultilevel"/>
    <w:tmpl w:val="06D21E82"/>
    <w:lvl w:ilvl="0" w:tplc="07C8E55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50333D"/>
    <w:multiLevelType w:val="hybridMultilevel"/>
    <w:tmpl w:val="EFB0F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77700C"/>
    <w:multiLevelType w:val="hybridMultilevel"/>
    <w:tmpl w:val="813662AC"/>
    <w:lvl w:ilvl="0" w:tplc="3C8AE73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0816610"/>
    <w:multiLevelType w:val="hybridMultilevel"/>
    <w:tmpl w:val="958A6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B7001F"/>
    <w:multiLevelType w:val="hybridMultilevel"/>
    <w:tmpl w:val="87F8C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2F559C"/>
    <w:multiLevelType w:val="hybridMultilevel"/>
    <w:tmpl w:val="5880B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073689"/>
    <w:multiLevelType w:val="hybridMultilevel"/>
    <w:tmpl w:val="A5A09CB8"/>
    <w:lvl w:ilvl="0" w:tplc="175EC440">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8BF0C33"/>
    <w:multiLevelType w:val="hybridMultilevel"/>
    <w:tmpl w:val="B142C5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8C32538"/>
    <w:multiLevelType w:val="hybridMultilevel"/>
    <w:tmpl w:val="0252872E"/>
    <w:lvl w:ilvl="0" w:tplc="3C8AE73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A5154B7"/>
    <w:multiLevelType w:val="hybridMultilevel"/>
    <w:tmpl w:val="61FC6A1A"/>
    <w:lvl w:ilvl="0" w:tplc="04090001">
      <w:start w:val="1"/>
      <w:numFmt w:val="bullet"/>
      <w:lvlText w:val=""/>
      <w:lvlJc w:val="left"/>
      <w:pPr>
        <w:ind w:left="720" w:hanging="360"/>
      </w:pPr>
      <w:rPr>
        <w:rFonts w:ascii="Symbol" w:hAnsi="Symbol" w:hint="default"/>
      </w:rPr>
    </w:lvl>
    <w:lvl w:ilvl="1" w:tplc="07C8E552">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7437E8"/>
    <w:multiLevelType w:val="hybridMultilevel"/>
    <w:tmpl w:val="7352987A"/>
    <w:lvl w:ilvl="0" w:tplc="18BE7700">
      <w:start w:val="1"/>
      <w:numFmt w:val="bullet"/>
      <w:pStyle w:val="ListParagraph"/>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2" w15:restartNumberingAfterBreak="0">
    <w:nsid w:val="54FF0110"/>
    <w:multiLevelType w:val="hybridMultilevel"/>
    <w:tmpl w:val="DBA873F8"/>
    <w:lvl w:ilvl="0" w:tplc="03DA1D4E">
      <w:start w:val="1"/>
      <w:numFmt w:val="bullet"/>
      <w:pStyle w:val="Instructionaltex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cs="Wingdings" w:hint="default"/>
      </w:rPr>
    </w:lvl>
    <w:lvl w:ilvl="3" w:tplc="0C090001" w:tentative="1">
      <w:start w:val="1"/>
      <w:numFmt w:val="bullet"/>
      <w:lvlText w:val=""/>
      <w:lvlJc w:val="left"/>
      <w:pPr>
        <w:ind w:left="3237" w:hanging="360"/>
      </w:pPr>
      <w:rPr>
        <w:rFonts w:ascii="Symbol" w:hAnsi="Symbol" w:cs="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cs="Wingdings" w:hint="default"/>
      </w:rPr>
    </w:lvl>
    <w:lvl w:ilvl="6" w:tplc="0C090001" w:tentative="1">
      <w:start w:val="1"/>
      <w:numFmt w:val="bullet"/>
      <w:lvlText w:val=""/>
      <w:lvlJc w:val="left"/>
      <w:pPr>
        <w:ind w:left="5397" w:hanging="360"/>
      </w:pPr>
      <w:rPr>
        <w:rFonts w:ascii="Symbol" w:hAnsi="Symbol" w:cs="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cs="Wingdings" w:hint="default"/>
      </w:rPr>
    </w:lvl>
  </w:abstractNum>
  <w:abstractNum w:abstractNumId="43" w15:restartNumberingAfterBreak="0">
    <w:nsid w:val="57AD5BF5"/>
    <w:multiLevelType w:val="hybridMultilevel"/>
    <w:tmpl w:val="56FEB4F0"/>
    <w:lvl w:ilvl="0" w:tplc="EB4EBC6A">
      <w:start w:val="1"/>
      <w:numFmt w:val="bullet"/>
      <w:pStyle w:val="Table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010DDE"/>
    <w:multiLevelType w:val="hybridMultilevel"/>
    <w:tmpl w:val="52E6C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8B1170"/>
    <w:multiLevelType w:val="hybridMultilevel"/>
    <w:tmpl w:val="39840A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C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F16E2F"/>
    <w:multiLevelType w:val="hybridMultilevel"/>
    <w:tmpl w:val="C6CE880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9D74B7"/>
    <w:multiLevelType w:val="hybridMultilevel"/>
    <w:tmpl w:val="CD18A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9B46D9"/>
    <w:multiLevelType w:val="hybridMultilevel"/>
    <w:tmpl w:val="5AFCE6AC"/>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92160C5"/>
    <w:multiLevelType w:val="hybridMultilevel"/>
    <w:tmpl w:val="7B248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A6273D4"/>
    <w:multiLevelType w:val="hybridMultilevel"/>
    <w:tmpl w:val="A7FE4490"/>
    <w:lvl w:ilvl="0" w:tplc="175EC440">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F2D624B"/>
    <w:multiLevelType w:val="hybridMultilevel"/>
    <w:tmpl w:val="7FE4C0A6"/>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F9F7BA1"/>
    <w:multiLevelType w:val="hybridMultilevel"/>
    <w:tmpl w:val="40C66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FF96EC3"/>
    <w:multiLevelType w:val="hybridMultilevel"/>
    <w:tmpl w:val="6E4A766C"/>
    <w:lvl w:ilvl="0" w:tplc="04090001">
      <w:start w:val="1"/>
      <w:numFmt w:val="bullet"/>
      <w:lvlText w:val=""/>
      <w:lvlJc w:val="left"/>
      <w:pPr>
        <w:ind w:left="360" w:hanging="360"/>
      </w:pPr>
      <w:rPr>
        <w:rFonts w:ascii="Symbol" w:hAnsi="Symbol" w:hint="default"/>
      </w:rPr>
    </w:lvl>
    <w:lvl w:ilvl="1" w:tplc="9386E9D6">
      <w:numFmt w:val="bullet"/>
      <w:lvlText w:val="•"/>
      <w:lvlJc w:val="left"/>
      <w:pPr>
        <w:ind w:left="1440" w:hanging="72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5656277"/>
    <w:multiLevelType w:val="hybridMultilevel"/>
    <w:tmpl w:val="87184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65F7449"/>
    <w:multiLevelType w:val="hybridMultilevel"/>
    <w:tmpl w:val="BFD28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804141C"/>
    <w:multiLevelType w:val="hybridMultilevel"/>
    <w:tmpl w:val="70F046F2"/>
    <w:lvl w:ilvl="0" w:tplc="0C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95F0D5E"/>
    <w:multiLevelType w:val="hybridMultilevel"/>
    <w:tmpl w:val="2828EA0A"/>
    <w:lvl w:ilvl="0" w:tplc="0C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C145BEA"/>
    <w:multiLevelType w:val="hybridMultilevel"/>
    <w:tmpl w:val="DC822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D592136"/>
    <w:multiLevelType w:val="hybridMultilevel"/>
    <w:tmpl w:val="77E04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E4D2258"/>
    <w:multiLevelType w:val="hybridMultilevel"/>
    <w:tmpl w:val="64186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2"/>
  </w:num>
  <w:num w:numId="2">
    <w:abstractNumId w:val="53"/>
  </w:num>
  <w:num w:numId="3">
    <w:abstractNumId w:val="30"/>
  </w:num>
  <w:num w:numId="4">
    <w:abstractNumId w:val="55"/>
  </w:num>
  <w:num w:numId="5">
    <w:abstractNumId w:val="29"/>
  </w:num>
  <w:num w:numId="6">
    <w:abstractNumId w:val="7"/>
  </w:num>
  <w:num w:numId="7">
    <w:abstractNumId w:val="58"/>
  </w:num>
  <w:num w:numId="8">
    <w:abstractNumId w:val="17"/>
  </w:num>
  <w:num w:numId="9">
    <w:abstractNumId w:val="54"/>
  </w:num>
  <w:num w:numId="10">
    <w:abstractNumId w:val="51"/>
  </w:num>
  <w:num w:numId="11">
    <w:abstractNumId w:val="32"/>
  </w:num>
  <w:num w:numId="12">
    <w:abstractNumId w:val="41"/>
  </w:num>
  <w:num w:numId="13">
    <w:abstractNumId w:val="47"/>
  </w:num>
  <w:num w:numId="14">
    <w:abstractNumId w:val="4"/>
  </w:num>
  <w:num w:numId="15">
    <w:abstractNumId w:val="40"/>
  </w:num>
  <w:num w:numId="16">
    <w:abstractNumId w:val="0"/>
  </w:num>
  <w:num w:numId="17">
    <w:abstractNumId w:val="59"/>
  </w:num>
  <w:num w:numId="18">
    <w:abstractNumId w:val="44"/>
  </w:num>
  <w:num w:numId="19">
    <w:abstractNumId w:val="43"/>
  </w:num>
  <w:num w:numId="20">
    <w:abstractNumId w:val="56"/>
  </w:num>
  <w:num w:numId="21">
    <w:abstractNumId w:val="57"/>
  </w:num>
  <w:num w:numId="22">
    <w:abstractNumId w:val="13"/>
  </w:num>
  <w:num w:numId="23">
    <w:abstractNumId w:val="11"/>
  </w:num>
  <w:num w:numId="24">
    <w:abstractNumId w:val="8"/>
  </w:num>
  <w:num w:numId="25">
    <w:abstractNumId w:val="14"/>
  </w:num>
  <w:num w:numId="26">
    <w:abstractNumId w:val="50"/>
  </w:num>
  <w:num w:numId="27">
    <w:abstractNumId w:val="26"/>
  </w:num>
  <w:num w:numId="28">
    <w:abstractNumId w:val="28"/>
  </w:num>
  <w:num w:numId="29">
    <w:abstractNumId w:val="25"/>
  </w:num>
  <w:num w:numId="30">
    <w:abstractNumId w:val="35"/>
  </w:num>
  <w:num w:numId="31">
    <w:abstractNumId w:val="2"/>
  </w:num>
  <w:num w:numId="32">
    <w:abstractNumId w:val="24"/>
  </w:num>
  <w:num w:numId="33">
    <w:abstractNumId w:val="20"/>
  </w:num>
  <w:num w:numId="34">
    <w:abstractNumId w:val="36"/>
  </w:num>
  <w:num w:numId="35">
    <w:abstractNumId w:val="38"/>
  </w:num>
  <w:num w:numId="36">
    <w:abstractNumId w:val="10"/>
  </w:num>
  <w:num w:numId="37">
    <w:abstractNumId w:val="1"/>
  </w:num>
  <w:num w:numId="38">
    <w:abstractNumId w:val="49"/>
  </w:num>
  <w:num w:numId="39">
    <w:abstractNumId w:val="41"/>
  </w:num>
  <w:num w:numId="40">
    <w:abstractNumId w:val="21"/>
  </w:num>
  <w:num w:numId="41">
    <w:abstractNumId w:val="15"/>
  </w:num>
  <w:num w:numId="42">
    <w:abstractNumId w:val="41"/>
  </w:num>
  <w:num w:numId="43">
    <w:abstractNumId w:val="41"/>
  </w:num>
  <w:num w:numId="44">
    <w:abstractNumId w:val="16"/>
  </w:num>
  <w:num w:numId="45">
    <w:abstractNumId w:val="41"/>
  </w:num>
  <w:num w:numId="46">
    <w:abstractNumId w:val="31"/>
  </w:num>
  <w:num w:numId="47">
    <w:abstractNumId w:val="48"/>
  </w:num>
  <w:num w:numId="48">
    <w:abstractNumId w:val="23"/>
  </w:num>
  <w:num w:numId="49">
    <w:abstractNumId w:val="3"/>
  </w:num>
  <w:num w:numId="50">
    <w:abstractNumId w:val="22"/>
  </w:num>
  <w:num w:numId="51">
    <w:abstractNumId w:val="12"/>
  </w:num>
  <w:num w:numId="52">
    <w:abstractNumId w:val="27"/>
  </w:num>
  <w:num w:numId="53">
    <w:abstractNumId w:val="34"/>
  </w:num>
  <w:num w:numId="54">
    <w:abstractNumId w:val="45"/>
  </w:num>
  <w:num w:numId="55">
    <w:abstractNumId w:val="9"/>
  </w:num>
  <w:num w:numId="56">
    <w:abstractNumId w:val="52"/>
  </w:num>
  <w:num w:numId="57">
    <w:abstractNumId w:val="33"/>
  </w:num>
  <w:num w:numId="58">
    <w:abstractNumId w:val="39"/>
  </w:num>
  <w:num w:numId="59">
    <w:abstractNumId w:val="18"/>
  </w:num>
  <w:num w:numId="60">
    <w:abstractNumId w:val="37"/>
  </w:num>
  <w:num w:numId="61">
    <w:abstractNumId w:val="5"/>
  </w:num>
  <w:num w:numId="62">
    <w:abstractNumId w:val="19"/>
  </w:num>
  <w:num w:numId="63">
    <w:abstractNumId w:val="46"/>
  </w:num>
  <w:num w:numId="64">
    <w:abstractNumId w:val="6"/>
  </w:num>
  <w:num w:numId="65">
    <w:abstractNumId w:val="60"/>
  </w:num>
  <w:num w:numId="66">
    <w:abstractNumId w:val="6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F9C"/>
    <w:rsid w:val="00005CAD"/>
    <w:rsid w:val="000073AA"/>
    <w:rsid w:val="00007DFA"/>
    <w:rsid w:val="00015F76"/>
    <w:rsid w:val="00034A67"/>
    <w:rsid w:val="00034BE6"/>
    <w:rsid w:val="0003518C"/>
    <w:rsid w:val="000351DB"/>
    <w:rsid w:val="00050008"/>
    <w:rsid w:val="00053D52"/>
    <w:rsid w:val="00054A13"/>
    <w:rsid w:val="00055272"/>
    <w:rsid w:val="00055958"/>
    <w:rsid w:val="00060732"/>
    <w:rsid w:val="000627A2"/>
    <w:rsid w:val="000710CA"/>
    <w:rsid w:val="000724C2"/>
    <w:rsid w:val="0007444E"/>
    <w:rsid w:val="000828C8"/>
    <w:rsid w:val="00083F40"/>
    <w:rsid w:val="0009095D"/>
    <w:rsid w:val="000939E0"/>
    <w:rsid w:val="00096F9B"/>
    <w:rsid w:val="000A2CDB"/>
    <w:rsid w:val="000A3242"/>
    <w:rsid w:val="000A7C30"/>
    <w:rsid w:val="000C022D"/>
    <w:rsid w:val="000C38FE"/>
    <w:rsid w:val="000C4E3B"/>
    <w:rsid w:val="000C4F03"/>
    <w:rsid w:val="000C4F46"/>
    <w:rsid w:val="000C6379"/>
    <w:rsid w:val="000C7D57"/>
    <w:rsid w:val="000D1FCF"/>
    <w:rsid w:val="000D773D"/>
    <w:rsid w:val="000D78FB"/>
    <w:rsid w:val="000E1320"/>
    <w:rsid w:val="000E623D"/>
    <w:rsid w:val="000F0E78"/>
    <w:rsid w:val="000F35C7"/>
    <w:rsid w:val="000F7C35"/>
    <w:rsid w:val="001004D8"/>
    <w:rsid w:val="0010129F"/>
    <w:rsid w:val="00104110"/>
    <w:rsid w:val="00105DDB"/>
    <w:rsid w:val="001140EF"/>
    <w:rsid w:val="00116DF4"/>
    <w:rsid w:val="00120DB0"/>
    <w:rsid w:val="00120F8A"/>
    <w:rsid w:val="001219A8"/>
    <w:rsid w:val="00122821"/>
    <w:rsid w:val="00122C3C"/>
    <w:rsid w:val="00122CD1"/>
    <w:rsid w:val="00123CCE"/>
    <w:rsid w:val="00125E36"/>
    <w:rsid w:val="001325C2"/>
    <w:rsid w:val="00135F3D"/>
    <w:rsid w:val="00137796"/>
    <w:rsid w:val="00142026"/>
    <w:rsid w:val="00143391"/>
    <w:rsid w:val="00145C62"/>
    <w:rsid w:val="00146E2C"/>
    <w:rsid w:val="00150B5F"/>
    <w:rsid w:val="00157FE4"/>
    <w:rsid w:val="00161727"/>
    <w:rsid w:val="00161997"/>
    <w:rsid w:val="00162764"/>
    <w:rsid w:val="0016315C"/>
    <w:rsid w:val="00173763"/>
    <w:rsid w:val="00173850"/>
    <w:rsid w:val="001765B9"/>
    <w:rsid w:val="00176949"/>
    <w:rsid w:val="00177034"/>
    <w:rsid w:val="0018541B"/>
    <w:rsid w:val="001966FC"/>
    <w:rsid w:val="001A01A8"/>
    <w:rsid w:val="001A082C"/>
    <w:rsid w:val="001A382A"/>
    <w:rsid w:val="001A4276"/>
    <w:rsid w:val="001A5D2F"/>
    <w:rsid w:val="001B2352"/>
    <w:rsid w:val="001B490C"/>
    <w:rsid w:val="001B5112"/>
    <w:rsid w:val="001B66EB"/>
    <w:rsid w:val="001C69B1"/>
    <w:rsid w:val="001D247E"/>
    <w:rsid w:val="001D7DDE"/>
    <w:rsid w:val="001E20FE"/>
    <w:rsid w:val="001E3828"/>
    <w:rsid w:val="001E4756"/>
    <w:rsid w:val="001E5F9C"/>
    <w:rsid w:val="001F68ED"/>
    <w:rsid w:val="00201269"/>
    <w:rsid w:val="00206790"/>
    <w:rsid w:val="002109E0"/>
    <w:rsid w:val="00214A83"/>
    <w:rsid w:val="00215010"/>
    <w:rsid w:val="002267DC"/>
    <w:rsid w:val="002342FE"/>
    <w:rsid w:val="0023562D"/>
    <w:rsid w:val="00235B21"/>
    <w:rsid w:val="0023640D"/>
    <w:rsid w:val="00237514"/>
    <w:rsid w:val="0023751D"/>
    <w:rsid w:val="002456CF"/>
    <w:rsid w:val="00251A96"/>
    <w:rsid w:val="00256031"/>
    <w:rsid w:val="00257DB0"/>
    <w:rsid w:val="002610DE"/>
    <w:rsid w:val="002676BC"/>
    <w:rsid w:val="002703D6"/>
    <w:rsid w:val="0027170F"/>
    <w:rsid w:val="00272200"/>
    <w:rsid w:val="002926BC"/>
    <w:rsid w:val="00296997"/>
    <w:rsid w:val="0029760A"/>
    <w:rsid w:val="002A6219"/>
    <w:rsid w:val="002A7E6F"/>
    <w:rsid w:val="002B103E"/>
    <w:rsid w:val="002B4A65"/>
    <w:rsid w:val="002B6AEF"/>
    <w:rsid w:val="002B7632"/>
    <w:rsid w:val="002C271A"/>
    <w:rsid w:val="002D46A5"/>
    <w:rsid w:val="002D4E6A"/>
    <w:rsid w:val="002D5D59"/>
    <w:rsid w:val="002E6C8D"/>
    <w:rsid w:val="002F2D00"/>
    <w:rsid w:val="002F3E40"/>
    <w:rsid w:val="002F7CB6"/>
    <w:rsid w:val="003029AC"/>
    <w:rsid w:val="00303C92"/>
    <w:rsid w:val="0030696E"/>
    <w:rsid w:val="003104FF"/>
    <w:rsid w:val="00310AE5"/>
    <w:rsid w:val="00317900"/>
    <w:rsid w:val="00322BAD"/>
    <w:rsid w:val="0032341C"/>
    <w:rsid w:val="00324EF8"/>
    <w:rsid w:val="0033303A"/>
    <w:rsid w:val="00334B5A"/>
    <w:rsid w:val="00336A56"/>
    <w:rsid w:val="00337A60"/>
    <w:rsid w:val="00345658"/>
    <w:rsid w:val="0034704A"/>
    <w:rsid w:val="003636A2"/>
    <w:rsid w:val="0036472D"/>
    <w:rsid w:val="00364D5F"/>
    <w:rsid w:val="003657B5"/>
    <w:rsid w:val="0036649E"/>
    <w:rsid w:val="003715E2"/>
    <w:rsid w:val="00371C59"/>
    <w:rsid w:val="00371D6F"/>
    <w:rsid w:val="00380DAD"/>
    <w:rsid w:val="00381A17"/>
    <w:rsid w:val="00391727"/>
    <w:rsid w:val="003957FC"/>
    <w:rsid w:val="003965DE"/>
    <w:rsid w:val="00396D8C"/>
    <w:rsid w:val="003A20AC"/>
    <w:rsid w:val="003A2751"/>
    <w:rsid w:val="003A52C9"/>
    <w:rsid w:val="003B19DE"/>
    <w:rsid w:val="003B37F0"/>
    <w:rsid w:val="003B7EA6"/>
    <w:rsid w:val="003C0629"/>
    <w:rsid w:val="003C09EA"/>
    <w:rsid w:val="003D10C3"/>
    <w:rsid w:val="003D7087"/>
    <w:rsid w:val="003E0146"/>
    <w:rsid w:val="003E03C0"/>
    <w:rsid w:val="003E2F32"/>
    <w:rsid w:val="003E3644"/>
    <w:rsid w:val="003F0A39"/>
    <w:rsid w:val="003F4A5D"/>
    <w:rsid w:val="004007B0"/>
    <w:rsid w:val="0040668D"/>
    <w:rsid w:val="00406C47"/>
    <w:rsid w:val="00414B9E"/>
    <w:rsid w:val="00415F6E"/>
    <w:rsid w:val="00431AC7"/>
    <w:rsid w:val="00434DD2"/>
    <w:rsid w:val="00435861"/>
    <w:rsid w:val="00443DFF"/>
    <w:rsid w:val="00446EBB"/>
    <w:rsid w:val="00452E06"/>
    <w:rsid w:val="00454BBC"/>
    <w:rsid w:val="004732DA"/>
    <w:rsid w:val="00473958"/>
    <w:rsid w:val="00482269"/>
    <w:rsid w:val="004829E9"/>
    <w:rsid w:val="00482E22"/>
    <w:rsid w:val="00487680"/>
    <w:rsid w:val="00490FBB"/>
    <w:rsid w:val="00491828"/>
    <w:rsid w:val="0049419C"/>
    <w:rsid w:val="00495D30"/>
    <w:rsid w:val="00495E48"/>
    <w:rsid w:val="00497025"/>
    <w:rsid w:val="004B214C"/>
    <w:rsid w:val="004B23B4"/>
    <w:rsid w:val="004B2708"/>
    <w:rsid w:val="004B3BCB"/>
    <w:rsid w:val="004C204F"/>
    <w:rsid w:val="004C2C5E"/>
    <w:rsid w:val="004C3AFC"/>
    <w:rsid w:val="004C69AC"/>
    <w:rsid w:val="004C7458"/>
    <w:rsid w:val="004D0E0D"/>
    <w:rsid w:val="004D5752"/>
    <w:rsid w:val="004D7EE0"/>
    <w:rsid w:val="004E0142"/>
    <w:rsid w:val="004E023A"/>
    <w:rsid w:val="004E04AE"/>
    <w:rsid w:val="004E06D3"/>
    <w:rsid w:val="004E3ABF"/>
    <w:rsid w:val="004E45EC"/>
    <w:rsid w:val="004E6EFC"/>
    <w:rsid w:val="004F17F2"/>
    <w:rsid w:val="004F3549"/>
    <w:rsid w:val="00500C5D"/>
    <w:rsid w:val="00500CA1"/>
    <w:rsid w:val="00503A14"/>
    <w:rsid w:val="00505317"/>
    <w:rsid w:val="0050713A"/>
    <w:rsid w:val="00512C39"/>
    <w:rsid w:val="00522019"/>
    <w:rsid w:val="005221B8"/>
    <w:rsid w:val="00534585"/>
    <w:rsid w:val="00541109"/>
    <w:rsid w:val="00543E05"/>
    <w:rsid w:val="00546B81"/>
    <w:rsid w:val="00547A41"/>
    <w:rsid w:val="0056695C"/>
    <w:rsid w:val="00567686"/>
    <w:rsid w:val="00570208"/>
    <w:rsid w:val="005754F3"/>
    <w:rsid w:val="005771DC"/>
    <w:rsid w:val="00583482"/>
    <w:rsid w:val="00586F54"/>
    <w:rsid w:val="00590D15"/>
    <w:rsid w:val="00592719"/>
    <w:rsid w:val="005941BB"/>
    <w:rsid w:val="00594BA8"/>
    <w:rsid w:val="005A16C1"/>
    <w:rsid w:val="005A4E66"/>
    <w:rsid w:val="005B1F28"/>
    <w:rsid w:val="005B524C"/>
    <w:rsid w:val="005C1E1F"/>
    <w:rsid w:val="005D2196"/>
    <w:rsid w:val="005E0AE1"/>
    <w:rsid w:val="005E11DE"/>
    <w:rsid w:val="005E1AC4"/>
    <w:rsid w:val="005E2B99"/>
    <w:rsid w:val="005E70E1"/>
    <w:rsid w:val="005F3200"/>
    <w:rsid w:val="005F6995"/>
    <w:rsid w:val="005F7A95"/>
    <w:rsid w:val="00600229"/>
    <w:rsid w:val="0060071E"/>
    <w:rsid w:val="006166EB"/>
    <w:rsid w:val="00632B45"/>
    <w:rsid w:val="00634061"/>
    <w:rsid w:val="006372A7"/>
    <w:rsid w:val="00637438"/>
    <w:rsid w:val="006428B8"/>
    <w:rsid w:val="00644725"/>
    <w:rsid w:val="0064711B"/>
    <w:rsid w:val="006478E7"/>
    <w:rsid w:val="00647919"/>
    <w:rsid w:val="0065205D"/>
    <w:rsid w:val="00653966"/>
    <w:rsid w:val="00657B1D"/>
    <w:rsid w:val="00660DD6"/>
    <w:rsid w:val="00662030"/>
    <w:rsid w:val="006750EC"/>
    <w:rsid w:val="00677454"/>
    <w:rsid w:val="00677AE3"/>
    <w:rsid w:val="00677CCD"/>
    <w:rsid w:val="00683145"/>
    <w:rsid w:val="00683FF8"/>
    <w:rsid w:val="00684858"/>
    <w:rsid w:val="0068492C"/>
    <w:rsid w:val="00684E23"/>
    <w:rsid w:val="00685355"/>
    <w:rsid w:val="00686EED"/>
    <w:rsid w:val="006959DD"/>
    <w:rsid w:val="00696465"/>
    <w:rsid w:val="0069673F"/>
    <w:rsid w:val="006A06D2"/>
    <w:rsid w:val="006A467F"/>
    <w:rsid w:val="006A518C"/>
    <w:rsid w:val="006B0BE0"/>
    <w:rsid w:val="006B2A2A"/>
    <w:rsid w:val="006B4AF7"/>
    <w:rsid w:val="006C24D7"/>
    <w:rsid w:val="006C4044"/>
    <w:rsid w:val="006C76CD"/>
    <w:rsid w:val="006E10F8"/>
    <w:rsid w:val="006E6B78"/>
    <w:rsid w:val="006E7D12"/>
    <w:rsid w:val="006F01C4"/>
    <w:rsid w:val="006F14DE"/>
    <w:rsid w:val="006F2C83"/>
    <w:rsid w:val="006F6B81"/>
    <w:rsid w:val="00702929"/>
    <w:rsid w:val="00704E8C"/>
    <w:rsid w:val="0071038D"/>
    <w:rsid w:val="00711D8F"/>
    <w:rsid w:val="00713728"/>
    <w:rsid w:val="00715AE7"/>
    <w:rsid w:val="00717443"/>
    <w:rsid w:val="007310C1"/>
    <w:rsid w:val="00732B57"/>
    <w:rsid w:val="00736C3F"/>
    <w:rsid w:val="00740FA7"/>
    <w:rsid w:val="00744B01"/>
    <w:rsid w:val="00744B64"/>
    <w:rsid w:val="007453C5"/>
    <w:rsid w:val="007474E8"/>
    <w:rsid w:val="00751585"/>
    <w:rsid w:val="007537CA"/>
    <w:rsid w:val="007571DC"/>
    <w:rsid w:val="00760DBF"/>
    <w:rsid w:val="0076740E"/>
    <w:rsid w:val="00771BF0"/>
    <w:rsid w:val="00773C4D"/>
    <w:rsid w:val="00785596"/>
    <w:rsid w:val="00786CCF"/>
    <w:rsid w:val="00792D54"/>
    <w:rsid w:val="007A66C8"/>
    <w:rsid w:val="007A6B1A"/>
    <w:rsid w:val="007B2D20"/>
    <w:rsid w:val="007C0CF1"/>
    <w:rsid w:val="007C2015"/>
    <w:rsid w:val="007C341C"/>
    <w:rsid w:val="007C447A"/>
    <w:rsid w:val="007D3B35"/>
    <w:rsid w:val="007D6B83"/>
    <w:rsid w:val="007D7C3F"/>
    <w:rsid w:val="007E2941"/>
    <w:rsid w:val="007F0C01"/>
    <w:rsid w:val="007F540A"/>
    <w:rsid w:val="008051E8"/>
    <w:rsid w:val="008155FC"/>
    <w:rsid w:val="00824FC7"/>
    <w:rsid w:val="00834135"/>
    <w:rsid w:val="00834A3B"/>
    <w:rsid w:val="00836D51"/>
    <w:rsid w:val="00840416"/>
    <w:rsid w:val="008404A1"/>
    <w:rsid w:val="00841B3B"/>
    <w:rsid w:val="0084737B"/>
    <w:rsid w:val="0085133F"/>
    <w:rsid w:val="00853EEA"/>
    <w:rsid w:val="0085748C"/>
    <w:rsid w:val="00864490"/>
    <w:rsid w:val="0086532C"/>
    <w:rsid w:val="00870841"/>
    <w:rsid w:val="0087262B"/>
    <w:rsid w:val="008727B9"/>
    <w:rsid w:val="00874223"/>
    <w:rsid w:val="00891488"/>
    <w:rsid w:val="008A05A8"/>
    <w:rsid w:val="008A0EB9"/>
    <w:rsid w:val="008A52EC"/>
    <w:rsid w:val="008A5565"/>
    <w:rsid w:val="008A6342"/>
    <w:rsid w:val="008A7BDD"/>
    <w:rsid w:val="008B1E2F"/>
    <w:rsid w:val="008B5AF2"/>
    <w:rsid w:val="008B7E8A"/>
    <w:rsid w:val="008C2C94"/>
    <w:rsid w:val="008C4B3C"/>
    <w:rsid w:val="008D0747"/>
    <w:rsid w:val="008E0E1D"/>
    <w:rsid w:val="008E78DB"/>
    <w:rsid w:val="008F1532"/>
    <w:rsid w:val="00912660"/>
    <w:rsid w:val="009141EF"/>
    <w:rsid w:val="00921A3A"/>
    <w:rsid w:val="00931359"/>
    <w:rsid w:val="0093191E"/>
    <w:rsid w:val="00933860"/>
    <w:rsid w:val="00934AB5"/>
    <w:rsid w:val="00936D91"/>
    <w:rsid w:val="00937A50"/>
    <w:rsid w:val="00940855"/>
    <w:rsid w:val="00941AB8"/>
    <w:rsid w:val="00944B51"/>
    <w:rsid w:val="009663AF"/>
    <w:rsid w:val="00966FF2"/>
    <w:rsid w:val="009703B5"/>
    <w:rsid w:val="009757AB"/>
    <w:rsid w:val="0098030E"/>
    <w:rsid w:val="00985CEE"/>
    <w:rsid w:val="009921E6"/>
    <w:rsid w:val="009934C4"/>
    <w:rsid w:val="00993538"/>
    <w:rsid w:val="00993C3E"/>
    <w:rsid w:val="0099548A"/>
    <w:rsid w:val="009A0C63"/>
    <w:rsid w:val="009A5E20"/>
    <w:rsid w:val="009B2D87"/>
    <w:rsid w:val="009B31CC"/>
    <w:rsid w:val="009B7612"/>
    <w:rsid w:val="009C013F"/>
    <w:rsid w:val="009C4AF2"/>
    <w:rsid w:val="009C5AB2"/>
    <w:rsid w:val="009C5F17"/>
    <w:rsid w:val="009D01B5"/>
    <w:rsid w:val="009D1D8B"/>
    <w:rsid w:val="009E0FB7"/>
    <w:rsid w:val="009E6B94"/>
    <w:rsid w:val="009F2567"/>
    <w:rsid w:val="009F2E3A"/>
    <w:rsid w:val="00A012B9"/>
    <w:rsid w:val="00A0160F"/>
    <w:rsid w:val="00A01B5B"/>
    <w:rsid w:val="00A13F59"/>
    <w:rsid w:val="00A20CF9"/>
    <w:rsid w:val="00A21BC0"/>
    <w:rsid w:val="00A26AFC"/>
    <w:rsid w:val="00A3056E"/>
    <w:rsid w:val="00A31066"/>
    <w:rsid w:val="00A33126"/>
    <w:rsid w:val="00A3453E"/>
    <w:rsid w:val="00A34E85"/>
    <w:rsid w:val="00A43DF1"/>
    <w:rsid w:val="00A44A74"/>
    <w:rsid w:val="00A46BC7"/>
    <w:rsid w:val="00A51163"/>
    <w:rsid w:val="00A55E53"/>
    <w:rsid w:val="00A57735"/>
    <w:rsid w:val="00A610C2"/>
    <w:rsid w:val="00A61676"/>
    <w:rsid w:val="00A62163"/>
    <w:rsid w:val="00A65388"/>
    <w:rsid w:val="00A65B04"/>
    <w:rsid w:val="00A70BC4"/>
    <w:rsid w:val="00A71C1A"/>
    <w:rsid w:val="00A72EAE"/>
    <w:rsid w:val="00A73686"/>
    <w:rsid w:val="00A84228"/>
    <w:rsid w:val="00A84FB1"/>
    <w:rsid w:val="00A85DA9"/>
    <w:rsid w:val="00A90D13"/>
    <w:rsid w:val="00A95149"/>
    <w:rsid w:val="00AA4DCC"/>
    <w:rsid w:val="00AB09D6"/>
    <w:rsid w:val="00AB0C51"/>
    <w:rsid w:val="00AC0720"/>
    <w:rsid w:val="00AC4402"/>
    <w:rsid w:val="00AC5741"/>
    <w:rsid w:val="00AD0A65"/>
    <w:rsid w:val="00AD39A0"/>
    <w:rsid w:val="00AD49DA"/>
    <w:rsid w:val="00AD4C09"/>
    <w:rsid w:val="00AD60AE"/>
    <w:rsid w:val="00AE2363"/>
    <w:rsid w:val="00AE5EA7"/>
    <w:rsid w:val="00AE6FE0"/>
    <w:rsid w:val="00AF2826"/>
    <w:rsid w:val="00AF55EB"/>
    <w:rsid w:val="00AF6211"/>
    <w:rsid w:val="00AF7450"/>
    <w:rsid w:val="00B13C96"/>
    <w:rsid w:val="00B1635A"/>
    <w:rsid w:val="00B16DBB"/>
    <w:rsid w:val="00B17B75"/>
    <w:rsid w:val="00B20BA7"/>
    <w:rsid w:val="00B20E78"/>
    <w:rsid w:val="00B22B6D"/>
    <w:rsid w:val="00B23867"/>
    <w:rsid w:val="00B2443E"/>
    <w:rsid w:val="00B258D9"/>
    <w:rsid w:val="00B30220"/>
    <w:rsid w:val="00B31A99"/>
    <w:rsid w:val="00B33C65"/>
    <w:rsid w:val="00B34266"/>
    <w:rsid w:val="00B42972"/>
    <w:rsid w:val="00B431D4"/>
    <w:rsid w:val="00B46A8F"/>
    <w:rsid w:val="00B51088"/>
    <w:rsid w:val="00B522D0"/>
    <w:rsid w:val="00B52757"/>
    <w:rsid w:val="00B6000D"/>
    <w:rsid w:val="00B63DFA"/>
    <w:rsid w:val="00B651F7"/>
    <w:rsid w:val="00B7053F"/>
    <w:rsid w:val="00B712C1"/>
    <w:rsid w:val="00B819D7"/>
    <w:rsid w:val="00B82A03"/>
    <w:rsid w:val="00B84929"/>
    <w:rsid w:val="00B84A37"/>
    <w:rsid w:val="00B8564E"/>
    <w:rsid w:val="00BA167B"/>
    <w:rsid w:val="00BA55DC"/>
    <w:rsid w:val="00BA6663"/>
    <w:rsid w:val="00BA7F7B"/>
    <w:rsid w:val="00BB1698"/>
    <w:rsid w:val="00BB3207"/>
    <w:rsid w:val="00BB43A1"/>
    <w:rsid w:val="00BC504F"/>
    <w:rsid w:val="00BD4A6F"/>
    <w:rsid w:val="00BD75FC"/>
    <w:rsid w:val="00BE0A40"/>
    <w:rsid w:val="00BE0E73"/>
    <w:rsid w:val="00BE34F1"/>
    <w:rsid w:val="00BE3B2A"/>
    <w:rsid w:val="00BF0E79"/>
    <w:rsid w:val="00BF2D34"/>
    <w:rsid w:val="00BF3A5A"/>
    <w:rsid w:val="00BF7D01"/>
    <w:rsid w:val="00C00097"/>
    <w:rsid w:val="00C045B3"/>
    <w:rsid w:val="00C05BD4"/>
    <w:rsid w:val="00C06E54"/>
    <w:rsid w:val="00C07668"/>
    <w:rsid w:val="00C10695"/>
    <w:rsid w:val="00C109F3"/>
    <w:rsid w:val="00C112C0"/>
    <w:rsid w:val="00C12A35"/>
    <w:rsid w:val="00C14AEE"/>
    <w:rsid w:val="00C1640E"/>
    <w:rsid w:val="00C20CB0"/>
    <w:rsid w:val="00C23C90"/>
    <w:rsid w:val="00C23CD5"/>
    <w:rsid w:val="00C24E7D"/>
    <w:rsid w:val="00C26C02"/>
    <w:rsid w:val="00C277F7"/>
    <w:rsid w:val="00C36535"/>
    <w:rsid w:val="00C375B2"/>
    <w:rsid w:val="00C3761B"/>
    <w:rsid w:val="00C40CC4"/>
    <w:rsid w:val="00C43D1B"/>
    <w:rsid w:val="00C45943"/>
    <w:rsid w:val="00C47066"/>
    <w:rsid w:val="00C50B74"/>
    <w:rsid w:val="00C51790"/>
    <w:rsid w:val="00C5307B"/>
    <w:rsid w:val="00C54349"/>
    <w:rsid w:val="00C56B42"/>
    <w:rsid w:val="00C64764"/>
    <w:rsid w:val="00C71549"/>
    <w:rsid w:val="00C83DE2"/>
    <w:rsid w:val="00C84E1A"/>
    <w:rsid w:val="00C9004A"/>
    <w:rsid w:val="00C92960"/>
    <w:rsid w:val="00CA0EA5"/>
    <w:rsid w:val="00CA18A3"/>
    <w:rsid w:val="00CA7065"/>
    <w:rsid w:val="00CB0015"/>
    <w:rsid w:val="00CB22FB"/>
    <w:rsid w:val="00CC2AB8"/>
    <w:rsid w:val="00CC4B9F"/>
    <w:rsid w:val="00CC5C4A"/>
    <w:rsid w:val="00CC7D3E"/>
    <w:rsid w:val="00CD270E"/>
    <w:rsid w:val="00CD6022"/>
    <w:rsid w:val="00CE1414"/>
    <w:rsid w:val="00CE1B13"/>
    <w:rsid w:val="00CE5BB0"/>
    <w:rsid w:val="00CF2103"/>
    <w:rsid w:val="00CF7099"/>
    <w:rsid w:val="00D00BDA"/>
    <w:rsid w:val="00D0135E"/>
    <w:rsid w:val="00D14EDC"/>
    <w:rsid w:val="00D201E6"/>
    <w:rsid w:val="00D220AB"/>
    <w:rsid w:val="00D25D74"/>
    <w:rsid w:val="00D2670B"/>
    <w:rsid w:val="00D27845"/>
    <w:rsid w:val="00D27C51"/>
    <w:rsid w:val="00D37A3F"/>
    <w:rsid w:val="00D42613"/>
    <w:rsid w:val="00D441CC"/>
    <w:rsid w:val="00D51C77"/>
    <w:rsid w:val="00D52956"/>
    <w:rsid w:val="00D53699"/>
    <w:rsid w:val="00D61DA2"/>
    <w:rsid w:val="00D63E52"/>
    <w:rsid w:val="00D6402A"/>
    <w:rsid w:val="00D66DA6"/>
    <w:rsid w:val="00D678F0"/>
    <w:rsid w:val="00D70A4B"/>
    <w:rsid w:val="00D72DBA"/>
    <w:rsid w:val="00D73332"/>
    <w:rsid w:val="00D809E1"/>
    <w:rsid w:val="00D83062"/>
    <w:rsid w:val="00D846A6"/>
    <w:rsid w:val="00D84E12"/>
    <w:rsid w:val="00D85150"/>
    <w:rsid w:val="00D867D5"/>
    <w:rsid w:val="00D9424E"/>
    <w:rsid w:val="00DA10BB"/>
    <w:rsid w:val="00DA1F3D"/>
    <w:rsid w:val="00DA4895"/>
    <w:rsid w:val="00DA79F1"/>
    <w:rsid w:val="00DB0A10"/>
    <w:rsid w:val="00DB413C"/>
    <w:rsid w:val="00DB79FC"/>
    <w:rsid w:val="00DC1BEC"/>
    <w:rsid w:val="00DC285E"/>
    <w:rsid w:val="00DC616A"/>
    <w:rsid w:val="00DD320B"/>
    <w:rsid w:val="00DD5CCC"/>
    <w:rsid w:val="00DD6981"/>
    <w:rsid w:val="00DD754D"/>
    <w:rsid w:val="00DE762F"/>
    <w:rsid w:val="00DE7BDE"/>
    <w:rsid w:val="00DF081B"/>
    <w:rsid w:val="00E00FE9"/>
    <w:rsid w:val="00E01349"/>
    <w:rsid w:val="00E02CEB"/>
    <w:rsid w:val="00E03982"/>
    <w:rsid w:val="00E05AF5"/>
    <w:rsid w:val="00E12D52"/>
    <w:rsid w:val="00E12DB9"/>
    <w:rsid w:val="00E16F9D"/>
    <w:rsid w:val="00E219B0"/>
    <w:rsid w:val="00E2296E"/>
    <w:rsid w:val="00E2352F"/>
    <w:rsid w:val="00E31FBB"/>
    <w:rsid w:val="00E33FE7"/>
    <w:rsid w:val="00E42D65"/>
    <w:rsid w:val="00E435EE"/>
    <w:rsid w:val="00E470B0"/>
    <w:rsid w:val="00E51301"/>
    <w:rsid w:val="00E55EA7"/>
    <w:rsid w:val="00E607F3"/>
    <w:rsid w:val="00E642F3"/>
    <w:rsid w:val="00E65236"/>
    <w:rsid w:val="00E667AE"/>
    <w:rsid w:val="00E66F27"/>
    <w:rsid w:val="00E6737F"/>
    <w:rsid w:val="00E70D05"/>
    <w:rsid w:val="00E70DE3"/>
    <w:rsid w:val="00E77E7A"/>
    <w:rsid w:val="00E82424"/>
    <w:rsid w:val="00E82916"/>
    <w:rsid w:val="00E84179"/>
    <w:rsid w:val="00E87907"/>
    <w:rsid w:val="00E946F1"/>
    <w:rsid w:val="00EA30E9"/>
    <w:rsid w:val="00EB107B"/>
    <w:rsid w:val="00EC00A5"/>
    <w:rsid w:val="00EC0A06"/>
    <w:rsid w:val="00EC13CD"/>
    <w:rsid w:val="00EE0D7A"/>
    <w:rsid w:val="00EE3DDA"/>
    <w:rsid w:val="00EE4C2C"/>
    <w:rsid w:val="00EF0817"/>
    <w:rsid w:val="00EF0979"/>
    <w:rsid w:val="00EF16EB"/>
    <w:rsid w:val="00EF23F2"/>
    <w:rsid w:val="00EF6F92"/>
    <w:rsid w:val="00F04AC0"/>
    <w:rsid w:val="00F06201"/>
    <w:rsid w:val="00F06230"/>
    <w:rsid w:val="00F130F5"/>
    <w:rsid w:val="00F1429D"/>
    <w:rsid w:val="00F145B1"/>
    <w:rsid w:val="00F17BC4"/>
    <w:rsid w:val="00F2073A"/>
    <w:rsid w:val="00F24DCF"/>
    <w:rsid w:val="00F26069"/>
    <w:rsid w:val="00F262EC"/>
    <w:rsid w:val="00F364A5"/>
    <w:rsid w:val="00F37279"/>
    <w:rsid w:val="00F45C7D"/>
    <w:rsid w:val="00F55901"/>
    <w:rsid w:val="00F57983"/>
    <w:rsid w:val="00F57B8B"/>
    <w:rsid w:val="00F60059"/>
    <w:rsid w:val="00F62FC1"/>
    <w:rsid w:val="00F63F28"/>
    <w:rsid w:val="00F654AE"/>
    <w:rsid w:val="00F660E8"/>
    <w:rsid w:val="00F70808"/>
    <w:rsid w:val="00F822F2"/>
    <w:rsid w:val="00F930DC"/>
    <w:rsid w:val="00FA564E"/>
    <w:rsid w:val="00FA66D0"/>
    <w:rsid w:val="00FB0110"/>
    <w:rsid w:val="00FB0DA5"/>
    <w:rsid w:val="00FB15A3"/>
    <w:rsid w:val="00FB2DEE"/>
    <w:rsid w:val="00FB4096"/>
    <w:rsid w:val="00FB56AC"/>
    <w:rsid w:val="00FB795C"/>
    <w:rsid w:val="00FC1519"/>
    <w:rsid w:val="00FC6753"/>
    <w:rsid w:val="00FC73D9"/>
    <w:rsid w:val="00FD004D"/>
    <w:rsid w:val="00FD4C65"/>
    <w:rsid w:val="00FD4E33"/>
    <w:rsid w:val="00FE0460"/>
    <w:rsid w:val="00FE11CE"/>
    <w:rsid w:val="00FE1356"/>
    <w:rsid w:val="00FE2409"/>
    <w:rsid w:val="00FE2FC4"/>
    <w:rsid w:val="00FE32ED"/>
    <w:rsid w:val="00FE4E3C"/>
    <w:rsid w:val="00FF1D60"/>
    <w:rsid w:val="00FF4B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196"/>
    <w:pPr>
      <w:spacing w:after="240" w:line="276" w:lineRule="auto"/>
    </w:pPr>
    <w:rPr>
      <w:rFonts w:ascii="Calibri" w:eastAsia="Calibri" w:hAnsi="Calibri" w:cs="Times New Roman"/>
      <w:iCs/>
    </w:rPr>
  </w:style>
  <w:style w:type="paragraph" w:styleId="Heading1">
    <w:name w:val="heading 1"/>
    <w:basedOn w:val="Heading10"/>
    <w:next w:val="Normal"/>
    <w:link w:val="Heading1Char"/>
    <w:uiPriority w:val="9"/>
    <w:qFormat/>
    <w:rsid w:val="008C4B3C"/>
    <w:pPr>
      <w:spacing w:before="1000"/>
      <w:jc w:val="center"/>
      <w:outlineLvl w:val="0"/>
    </w:pPr>
    <w:rPr>
      <w:sz w:val="72"/>
      <w:szCs w:val="72"/>
    </w:rPr>
  </w:style>
  <w:style w:type="paragraph" w:styleId="Heading2">
    <w:name w:val="heading 2"/>
    <w:basedOn w:val="Normal"/>
    <w:next w:val="Normal"/>
    <w:link w:val="Heading2Char"/>
    <w:uiPriority w:val="9"/>
    <w:unhideWhenUsed/>
    <w:qFormat/>
    <w:rsid w:val="004C7458"/>
    <w:pPr>
      <w:keepNext/>
      <w:keepLines/>
      <w:tabs>
        <w:tab w:val="left" w:pos="1701"/>
      </w:tabs>
      <w:spacing w:before="360" w:after="120"/>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Heading2"/>
    <w:next w:val="Normal"/>
    <w:link w:val="Heading3Char"/>
    <w:uiPriority w:val="9"/>
    <w:unhideWhenUsed/>
    <w:qFormat/>
    <w:rsid w:val="00713728"/>
    <w:pPr>
      <w:tabs>
        <w:tab w:val="clear" w:pos="1701"/>
      </w:tabs>
      <w:outlineLvl w:val="2"/>
    </w:pPr>
    <w:rPr>
      <w:rFonts w:ascii="Calibri" w:eastAsia="MS Gothic" w:hAnsi="Calibri" w:cs="Times New Roman"/>
      <w:b/>
      <w:bCs/>
      <w:i/>
      <w:color w:val="auto"/>
      <w:sz w:val="24"/>
      <w:szCs w:val="24"/>
    </w:rPr>
  </w:style>
  <w:style w:type="paragraph" w:styleId="Heading4">
    <w:name w:val="heading 4"/>
    <w:basedOn w:val="Normal"/>
    <w:next w:val="Normal"/>
    <w:link w:val="Heading4Char"/>
    <w:uiPriority w:val="9"/>
    <w:unhideWhenUsed/>
    <w:qFormat/>
    <w:rsid w:val="00B13C96"/>
    <w:pPr>
      <w:keepNext/>
      <w:keepLines/>
      <w:spacing w:before="40"/>
      <w:outlineLvl w:val="3"/>
    </w:pPr>
    <w:rPr>
      <w:rFonts w:asciiTheme="majorHAnsi" w:eastAsiaTheme="majorEastAsia" w:hAnsiTheme="majorHAnsi" w:cstheme="majorBidi"/>
      <w:i/>
      <w:iCs w:val="0"/>
    </w:rPr>
  </w:style>
  <w:style w:type="paragraph" w:styleId="Heading5">
    <w:name w:val="heading 5"/>
    <w:basedOn w:val="Normal"/>
    <w:next w:val="Normal"/>
    <w:link w:val="Heading5Char"/>
    <w:uiPriority w:val="9"/>
    <w:unhideWhenUsed/>
    <w:qFormat/>
    <w:rsid w:val="00135F3D"/>
    <w:pPr>
      <w:keepNext/>
      <w:keepLines/>
      <w:spacing w:before="40" w:after="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8E7"/>
    <w:rPr>
      <w:rFonts w:ascii="Times New Roman" w:hAnsi="Times New Roman" w:cs="Times New Roman" w:hint="default"/>
      <w:color w:val="0000FF"/>
      <w:u w:val="single"/>
    </w:rPr>
  </w:style>
  <w:style w:type="paragraph" w:customStyle="1" w:styleId="Heading10">
    <w:name w:val="Heading1"/>
    <w:rsid w:val="006478E7"/>
    <w:pPr>
      <w:spacing w:after="200" w:line="240" w:lineRule="auto"/>
    </w:pPr>
    <w:rPr>
      <w:rFonts w:ascii="Calibri" w:eastAsia="Calibri" w:hAnsi="Calibri" w:cs="Calibri"/>
      <w:b/>
      <w:bCs/>
      <w:color w:val="000000"/>
      <w:sz w:val="36"/>
      <w:szCs w:val="36"/>
      <w:u w:color="000000"/>
      <w:lang w:val="en-US" w:eastAsia="en-AU"/>
    </w:rPr>
  </w:style>
  <w:style w:type="character" w:customStyle="1" w:styleId="Heading2Char">
    <w:name w:val="Heading 2 Char"/>
    <w:basedOn w:val="DefaultParagraphFont"/>
    <w:link w:val="Heading2"/>
    <w:uiPriority w:val="9"/>
    <w:rsid w:val="004C7458"/>
    <w:rPr>
      <w:rFonts w:ascii="Franklin Gothic Medium" w:eastAsiaTheme="majorEastAsia" w:hAnsi="Franklin Gothic Medium" w:cstheme="majorBidi"/>
      <w:color w:val="000000" w:themeColor="text1"/>
      <w:sz w:val="32"/>
      <w:szCs w:val="26"/>
    </w:rPr>
  </w:style>
  <w:style w:type="table" w:customStyle="1" w:styleId="TableGrid1">
    <w:name w:val="Table Grid1"/>
    <w:basedOn w:val="TableNormal"/>
    <w:uiPriority w:val="59"/>
    <w:rsid w:val="006478E7"/>
    <w:pPr>
      <w:spacing w:after="240" w:line="240" w:lineRule="auto"/>
      <w:ind w:left="72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35F3D"/>
    <w:pPr>
      <w:numPr>
        <w:numId w:val="12"/>
      </w:numPr>
      <w:contextualSpacing/>
    </w:pPr>
  </w:style>
  <w:style w:type="table" w:styleId="TableGrid">
    <w:name w:val="Table Grid"/>
    <w:aliases w:val="HealthConsult"/>
    <w:basedOn w:val="TableNormal"/>
    <w:uiPriority w:val="39"/>
    <w:rsid w:val="002F3E40"/>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01349"/>
    <w:pPr>
      <w:keepNext/>
      <w:spacing w:before="360" w:after="120"/>
      <w:ind w:left="709" w:hanging="709"/>
    </w:pPr>
    <w:rPr>
      <w:rFonts w:ascii="Arial Narrow" w:hAnsi="Arial Narrow" w:cs="Tahoma"/>
      <w:b/>
      <w:sz w:val="20"/>
      <w:szCs w:val="20"/>
      <w:lang w:val="en-GB" w:eastAsia="ja-JP"/>
    </w:rPr>
  </w:style>
  <w:style w:type="paragraph" w:customStyle="1" w:styleId="TableHeading">
    <w:name w:val="TableHeading"/>
    <w:basedOn w:val="Normal"/>
    <w:link w:val="TableHeadingChar"/>
    <w:qFormat/>
    <w:rsid w:val="000939E0"/>
    <w:pPr>
      <w:keepNext/>
      <w:spacing w:before="40" w:after="40"/>
    </w:pPr>
    <w:rPr>
      <w:rFonts w:ascii="Arial Narrow" w:hAnsi="Arial Narrow" w:cs="Tahoma"/>
      <w:b/>
      <w:sz w:val="20"/>
      <w:szCs w:val="20"/>
      <w:lang w:eastAsia="en-AU"/>
    </w:rPr>
  </w:style>
  <w:style w:type="character" w:customStyle="1" w:styleId="TableHeadingChar">
    <w:name w:val="TableHeading Char"/>
    <w:link w:val="TableHeading"/>
    <w:rsid w:val="000939E0"/>
    <w:rPr>
      <w:rFonts w:ascii="Arial Narrow" w:eastAsia="Times New Roman" w:hAnsi="Arial Narrow" w:cs="Tahoma"/>
      <w:b/>
      <w:sz w:val="20"/>
      <w:szCs w:val="20"/>
      <w:lang w:eastAsia="en-AU"/>
    </w:rPr>
  </w:style>
  <w:style w:type="paragraph" w:customStyle="1" w:styleId="Tabletext0">
    <w:name w:val="Table text"/>
    <w:basedOn w:val="Normal"/>
    <w:link w:val="TabletextChar"/>
    <w:qFormat/>
    <w:rsid w:val="000939E0"/>
    <w:pPr>
      <w:spacing w:before="40" w:after="40"/>
    </w:pPr>
    <w:rPr>
      <w:rFonts w:ascii="Arial Narrow" w:hAnsi="Arial Narrow" w:cs="Tahoma"/>
      <w:sz w:val="20"/>
      <w:szCs w:val="20"/>
      <w:lang w:eastAsia="en-AU"/>
    </w:rPr>
  </w:style>
  <w:style w:type="character" w:customStyle="1" w:styleId="TabletextChar">
    <w:name w:val="Table text Char"/>
    <w:link w:val="Tabletext0"/>
    <w:rsid w:val="000939E0"/>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0939E0"/>
    <w:pPr>
      <w:widowControl w:val="0"/>
      <w:spacing w:after="120"/>
      <w:jc w:val="both"/>
    </w:pPr>
    <w:rPr>
      <w:rFonts w:ascii="Arial Narrow" w:hAnsi="Arial Narrow" w:cs="Arial"/>
      <w:snapToGrid w:val="0"/>
      <w:sz w:val="18"/>
      <w:szCs w:val="20"/>
    </w:rPr>
  </w:style>
  <w:style w:type="character" w:customStyle="1" w:styleId="TablenotesChar">
    <w:name w:val="Tablenotes Char"/>
    <w:basedOn w:val="DefaultParagraphFont"/>
    <w:link w:val="Tablenotes"/>
    <w:rsid w:val="000939E0"/>
    <w:rPr>
      <w:rFonts w:ascii="Arial Narrow" w:eastAsia="Times New Roman" w:hAnsi="Arial Narrow" w:cs="Arial"/>
      <w:snapToGrid w:val="0"/>
      <w:sz w:val="18"/>
      <w:szCs w:val="20"/>
    </w:rPr>
  </w:style>
  <w:style w:type="paragraph" w:customStyle="1" w:styleId="TableName">
    <w:name w:val="TableName"/>
    <w:basedOn w:val="Normal"/>
    <w:qFormat/>
    <w:rsid w:val="00891488"/>
    <w:pPr>
      <w:keepNext/>
      <w:ind w:left="1134" w:hanging="1134"/>
    </w:pPr>
    <w:rPr>
      <w:rFonts w:ascii="Franklin Gothic Medium" w:eastAsiaTheme="minorHAnsi" w:hAnsi="Franklin Gothic Medium" w:cstheme="minorBidi"/>
    </w:rPr>
  </w:style>
  <w:style w:type="character" w:customStyle="1" w:styleId="ListParagraphChar">
    <w:name w:val="List Paragraph Char"/>
    <w:basedOn w:val="DefaultParagraphFont"/>
    <w:link w:val="ListParagraph"/>
    <w:uiPriority w:val="34"/>
    <w:rsid w:val="00135F3D"/>
    <w:rPr>
      <w:rFonts w:ascii="Calibri" w:eastAsia="Calibri" w:hAnsi="Calibri" w:cs="Times New Roman"/>
      <w:iCs/>
    </w:rPr>
  </w:style>
  <w:style w:type="paragraph" w:styleId="Header">
    <w:name w:val="header"/>
    <w:basedOn w:val="Normal"/>
    <w:link w:val="HeaderChar"/>
    <w:uiPriority w:val="99"/>
    <w:unhideWhenUsed/>
    <w:rsid w:val="0016315C"/>
    <w:pPr>
      <w:tabs>
        <w:tab w:val="center" w:pos="4513"/>
        <w:tab w:val="right" w:pos="9026"/>
      </w:tabs>
    </w:pPr>
  </w:style>
  <w:style w:type="character" w:customStyle="1" w:styleId="HeaderChar">
    <w:name w:val="Header Char"/>
    <w:basedOn w:val="DefaultParagraphFont"/>
    <w:link w:val="Header"/>
    <w:uiPriority w:val="99"/>
    <w:rsid w:val="0016315C"/>
    <w:rPr>
      <w:rFonts w:ascii="Calibri" w:eastAsia="Calibri" w:hAnsi="Calibri" w:cs="Times New Roman"/>
    </w:rPr>
  </w:style>
  <w:style w:type="paragraph" w:styleId="Footer">
    <w:name w:val="footer"/>
    <w:basedOn w:val="Normal"/>
    <w:link w:val="FooterChar"/>
    <w:uiPriority w:val="99"/>
    <w:unhideWhenUsed/>
    <w:rsid w:val="0016315C"/>
    <w:pPr>
      <w:tabs>
        <w:tab w:val="center" w:pos="4513"/>
        <w:tab w:val="right" w:pos="9026"/>
      </w:tabs>
    </w:pPr>
  </w:style>
  <w:style w:type="character" w:customStyle="1" w:styleId="FooterChar">
    <w:name w:val="Footer Char"/>
    <w:basedOn w:val="DefaultParagraphFont"/>
    <w:link w:val="Footer"/>
    <w:uiPriority w:val="99"/>
    <w:rsid w:val="0016315C"/>
    <w:rPr>
      <w:rFonts w:ascii="Calibri" w:eastAsia="Calibri" w:hAnsi="Calibri" w:cs="Times New Roman"/>
    </w:rPr>
  </w:style>
  <w:style w:type="paragraph" w:styleId="Subtitle">
    <w:name w:val="Subtitle"/>
    <w:basedOn w:val="Normal"/>
    <w:next w:val="Normal"/>
    <w:link w:val="SubtitleChar"/>
    <w:uiPriority w:val="11"/>
    <w:qFormat/>
    <w:rsid w:val="006F01C4"/>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6F01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331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126"/>
    <w:rPr>
      <w:rFonts w:ascii="Segoe UI" w:eastAsia="Calibri" w:hAnsi="Segoe UI" w:cs="Segoe UI"/>
      <w:sz w:val="18"/>
      <w:szCs w:val="18"/>
    </w:rPr>
  </w:style>
  <w:style w:type="character" w:styleId="CommentReference">
    <w:name w:val="annotation reference"/>
    <w:aliases w:val="Table Title"/>
    <w:basedOn w:val="DefaultParagraphFont"/>
    <w:uiPriority w:val="99"/>
    <w:unhideWhenUsed/>
    <w:qFormat/>
    <w:rsid w:val="00D84E12"/>
    <w:rPr>
      <w:sz w:val="16"/>
      <w:szCs w:val="16"/>
    </w:rPr>
  </w:style>
  <w:style w:type="paragraph" w:styleId="CommentText">
    <w:name w:val="annotation text"/>
    <w:basedOn w:val="Normal"/>
    <w:link w:val="CommentTextChar"/>
    <w:uiPriority w:val="99"/>
    <w:unhideWhenUsed/>
    <w:rsid w:val="00D84E12"/>
    <w:rPr>
      <w:sz w:val="20"/>
      <w:szCs w:val="20"/>
    </w:rPr>
  </w:style>
  <w:style w:type="character" w:customStyle="1" w:styleId="CommentTextChar">
    <w:name w:val="Comment Text Char"/>
    <w:basedOn w:val="DefaultParagraphFont"/>
    <w:link w:val="CommentText"/>
    <w:uiPriority w:val="99"/>
    <w:rsid w:val="00D84E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84E12"/>
    <w:rPr>
      <w:b/>
      <w:bCs/>
    </w:rPr>
  </w:style>
  <w:style w:type="character" w:customStyle="1" w:styleId="CommentSubjectChar">
    <w:name w:val="Comment Subject Char"/>
    <w:basedOn w:val="CommentTextChar"/>
    <w:link w:val="CommentSubject"/>
    <w:uiPriority w:val="99"/>
    <w:semiHidden/>
    <w:rsid w:val="00D84E12"/>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C4B3C"/>
    <w:rPr>
      <w:color w:val="954F72" w:themeColor="followedHyperlink"/>
      <w:u w:val="single"/>
    </w:rPr>
  </w:style>
  <w:style w:type="character" w:customStyle="1" w:styleId="Heading1Char">
    <w:name w:val="Heading 1 Char"/>
    <w:basedOn w:val="DefaultParagraphFont"/>
    <w:link w:val="Heading1"/>
    <w:uiPriority w:val="9"/>
    <w:rsid w:val="008C4B3C"/>
    <w:rPr>
      <w:rFonts w:ascii="Calibri" w:eastAsia="Calibri" w:hAnsi="Calibri" w:cs="Calibri"/>
      <w:b/>
      <w:bCs/>
      <w:color w:val="000000"/>
      <w:sz w:val="72"/>
      <w:szCs w:val="72"/>
      <w:u w:color="000000"/>
      <w:lang w:val="en-US" w:eastAsia="en-AU"/>
    </w:rPr>
  </w:style>
  <w:style w:type="paragraph" w:customStyle="1" w:styleId="Instructionaltext">
    <w:name w:val="Instructional text"/>
    <w:basedOn w:val="Normal"/>
    <w:link w:val="InstructionaltextChar"/>
    <w:qFormat/>
    <w:rsid w:val="006A467F"/>
    <w:pPr>
      <w:spacing w:before="120" w:after="160"/>
    </w:pPr>
    <w:rPr>
      <w:rFonts w:eastAsiaTheme="minorHAnsi" w:cstheme="minorBidi"/>
      <w:color w:val="258221"/>
    </w:rPr>
  </w:style>
  <w:style w:type="character" w:customStyle="1" w:styleId="InstructionaltextChar">
    <w:name w:val="Instructional text Char"/>
    <w:basedOn w:val="DefaultParagraphFont"/>
    <w:link w:val="Instructionaltext"/>
    <w:rsid w:val="006A467F"/>
    <w:rPr>
      <w:rFonts w:ascii="Calibri" w:hAnsi="Calibri"/>
      <w:color w:val="258221"/>
    </w:rPr>
  </w:style>
  <w:style w:type="character" w:customStyle="1" w:styleId="Heading3Char">
    <w:name w:val="Heading 3 Char"/>
    <w:basedOn w:val="DefaultParagraphFont"/>
    <w:link w:val="Heading3"/>
    <w:uiPriority w:val="9"/>
    <w:rsid w:val="00713728"/>
    <w:rPr>
      <w:rFonts w:ascii="Calibri" w:eastAsia="MS Gothic" w:hAnsi="Calibri" w:cs="Times New Roman"/>
      <w:b/>
      <w:bCs/>
      <w:i/>
      <w:sz w:val="24"/>
      <w:szCs w:val="24"/>
    </w:rPr>
  </w:style>
  <w:style w:type="paragraph" w:customStyle="1" w:styleId="Instructionaltext-bullet">
    <w:name w:val="Instructional text - bullet"/>
    <w:basedOn w:val="Instructionaltext"/>
    <w:qFormat/>
    <w:rsid w:val="006A467F"/>
    <w:pPr>
      <w:numPr>
        <w:numId w:val="1"/>
      </w:numPr>
      <w:spacing w:before="0" w:after="0"/>
    </w:pPr>
  </w:style>
  <w:style w:type="paragraph" w:customStyle="1" w:styleId="Guidelinescross-ref">
    <w:name w:val="Guidelines cross-ref"/>
    <w:basedOn w:val="Normal"/>
    <w:qFormat/>
    <w:rsid w:val="00E01349"/>
    <w:pPr>
      <w:keepNext/>
      <w:spacing w:before="240"/>
    </w:pPr>
    <w:rPr>
      <w:rFonts w:eastAsiaTheme="minorHAnsi" w:cstheme="minorBidi"/>
      <w:b/>
      <w:color w:val="0070C0"/>
      <w:sz w:val="24"/>
    </w:rPr>
  </w:style>
  <w:style w:type="paragraph" w:customStyle="1" w:styleId="Instructionaltext-afterfiguretable">
    <w:name w:val="Instructional text - after figure/table"/>
    <w:basedOn w:val="Instructionaltext"/>
    <w:qFormat/>
    <w:rsid w:val="00E01349"/>
    <w:pPr>
      <w:spacing w:before="360"/>
    </w:pPr>
  </w:style>
  <w:style w:type="paragraph" w:styleId="Revision">
    <w:name w:val="Revision"/>
    <w:hidden/>
    <w:uiPriority w:val="99"/>
    <w:semiHidden/>
    <w:rsid w:val="004E3ABF"/>
    <w:pPr>
      <w:spacing w:after="0" w:line="240" w:lineRule="auto"/>
    </w:pPr>
    <w:rPr>
      <w:rFonts w:ascii="Calibri" w:eastAsia="Calibri" w:hAnsi="Calibri" w:cs="Times New Roman"/>
    </w:rPr>
  </w:style>
  <w:style w:type="paragraph" w:customStyle="1" w:styleId="TableText">
    <w:name w:val="Table Text"/>
    <w:basedOn w:val="ListParagraph"/>
    <w:link w:val="TableTextChar0"/>
    <w:qFormat/>
    <w:rsid w:val="00135F3D"/>
    <w:pPr>
      <w:numPr>
        <w:numId w:val="19"/>
      </w:numPr>
      <w:spacing w:after="0" w:line="240" w:lineRule="auto"/>
      <w:ind w:hanging="556"/>
    </w:pPr>
    <w:rPr>
      <w:rFonts w:ascii="Arial Narrow" w:hAnsi="Arial Narrow"/>
      <w:sz w:val="20"/>
      <w:szCs w:val="20"/>
    </w:rPr>
  </w:style>
  <w:style w:type="character" w:customStyle="1" w:styleId="TableTextChar0">
    <w:name w:val="Table Text Char"/>
    <w:basedOn w:val="DefaultParagraphFont"/>
    <w:link w:val="TableText"/>
    <w:rsid w:val="00135F3D"/>
    <w:rPr>
      <w:rFonts w:ascii="Arial Narrow" w:eastAsia="Calibri" w:hAnsi="Arial Narrow" w:cs="Times New Roman"/>
      <w:iCs/>
      <w:sz w:val="20"/>
      <w:szCs w:val="20"/>
    </w:rPr>
  </w:style>
  <w:style w:type="character" w:styleId="PageNumber">
    <w:name w:val="page number"/>
    <w:basedOn w:val="DefaultParagraphFont"/>
    <w:uiPriority w:val="99"/>
    <w:semiHidden/>
    <w:unhideWhenUsed/>
    <w:rsid w:val="00685355"/>
  </w:style>
  <w:style w:type="character" w:customStyle="1" w:styleId="Heading4Char">
    <w:name w:val="Heading 4 Char"/>
    <w:basedOn w:val="DefaultParagraphFont"/>
    <w:link w:val="Heading4"/>
    <w:uiPriority w:val="9"/>
    <w:rsid w:val="00B13C96"/>
    <w:rPr>
      <w:rFonts w:asciiTheme="majorHAnsi" w:eastAsiaTheme="majorEastAsia" w:hAnsiTheme="majorHAnsi" w:cstheme="majorBidi"/>
      <w:i/>
      <w:iCs/>
      <w:szCs w:val="24"/>
      <w:lang w:val="en-US"/>
    </w:rPr>
  </w:style>
  <w:style w:type="paragraph" w:customStyle="1" w:styleId="loaitem">
    <w:name w:val="loa__item"/>
    <w:basedOn w:val="Normal"/>
    <w:rsid w:val="00C05BD4"/>
    <w:pPr>
      <w:spacing w:before="100" w:beforeAutospacing="1" w:after="100" w:afterAutospacing="1"/>
    </w:pPr>
    <w:rPr>
      <w:rFonts w:ascii="Times New Roman" w:hAnsi="Times New Roman"/>
      <w:sz w:val="24"/>
    </w:rPr>
  </w:style>
  <w:style w:type="character" w:customStyle="1" w:styleId="refseries">
    <w:name w:val="ref__series"/>
    <w:basedOn w:val="DefaultParagraphFont"/>
    <w:rsid w:val="00C05BD4"/>
  </w:style>
  <w:style w:type="character" w:customStyle="1" w:styleId="refseriesdate">
    <w:name w:val="ref__seriesdate"/>
    <w:basedOn w:val="DefaultParagraphFont"/>
    <w:rsid w:val="00C05BD4"/>
  </w:style>
  <w:style w:type="character" w:customStyle="1" w:styleId="refseriesvolume">
    <w:name w:val="ref__seriesvolume"/>
    <w:basedOn w:val="DefaultParagraphFont"/>
    <w:rsid w:val="00C05BD4"/>
  </w:style>
  <w:style w:type="character" w:customStyle="1" w:styleId="refseriespages">
    <w:name w:val="ref__seriespages"/>
    <w:basedOn w:val="DefaultParagraphFont"/>
    <w:rsid w:val="00C05BD4"/>
  </w:style>
  <w:style w:type="character" w:styleId="Emphasis">
    <w:name w:val="Emphasis"/>
    <w:basedOn w:val="DefaultParagraphFont"/>
    <w:uiPriority w:val="20"/>
    <w:qFormat/>
    <w:rsid w:val="00122CD1"/>
    <w:rPr>
      <w:i/>
      <w:iCs/>
    </w:rPr>
  </w:style>
  <w:style w:type="character" w:customStyle="1" w:styleId="UnresolvedMention1">
    <w:name w:val="Unresolved Mention1"/>
    <w:basedOn w:val="DefaultParagraphFont"/>
    <w:uiPriority w:val="99"/>
    <w:semiHidden/>
    <w:unhideWhenUsed/>
    <w:rsid w:val="002C271A"/>
    <w:rPr>
      <w:color w:val="605E5C"/>
      <w:shd w:val="clear" w:color="auto" w:fill="E1DFDD"/>
    </w:rPr>
  </w:style>
  <w:style w:type="character" w:customStyle="1" w:styleId="authors-list-item">
    <w:name w:val="authors-list-item"/>
    <w:basedOn w:val="DefaultParagraphFont"/>
    <w:rsid w:val="002C271A"/>
  </w:style>
  <w:style w:type="character" w:customStyle="1" w:styleId="author-sup-separator">
    <w:name w:val="author-sup-separator"/>
    <w:basedOn w:val="DefaultParagraphFont"/>
    <w:rsid w:val="002C271A"/>
  </w:style>
  <w:style w:type="character" w:customStyle="1" w:styleId="comma">
    <w:name w:val="comma"/>
    <w:basedOn w:val="DefaultParagraphFont"/>
    <w:rsid w:val="002C271A"/>
  </w:style>
  <w:style w:type="character" w:customStyle="1" w:styleId="ending">
    <w:name w:val="ending"/>
    <w:basedOn w:val="DefaultParagraphFont"/>
    <w:rsid w:val="002C271A"/>
  </w:style>
  <w:style w:type="character" w:customStyle="1" w:styleId="chapter-contribution-date">
    <w:name w:val="chapter-contribution-date"/>
    <w:basedOn w:val="DefaultParagraphFont"/>
    <w:rsid w:val="002C271A"/>
  </w:style>
  <w:style w:type="character" w:customStyle="1" w:styleId="chapter-updated-date-label">
    <w:name w:val="chapter-updated-date-label"/>
    <w:basedOn w:val="DefaultParagraphFont"/>
    <w:rsid w:val="002C271A"/>
  </w:style>
  <w:style w:type="character" w:customStyle="1" w:styleId="chapter-updated-date">
    <w:name w:val="chapter-updated-date"/>
    <w:basedOn w:val="DefaultParagraphFont"/>
    <w:rsid w:val="002C271A"/>
  </w:style>
  <w:style w:type="character" w:customStyle="1" w:styleId="chapter-date-punctuation">
    <w:name w:val="chapter-date-punctuation"/>
    <w:basedOn w:val="DefaultParagraphFont"/>
    <w:rsid w:val="002C271A"/>
  </w:style>
  <w:style w:type="character" w:customStyle="1" w:styleId="mim-font">
    <w:name w:val="mim-font"/>
    <w:basedOn w:val="DefaultParagraphFont"/>
    <w:rsid w:val="009D01B5"/>
  </w:style>
  <w:style w:type="character" w:styleId="Strong">
    <w:name w:val="Strong"/>
    <w:basedOn w:val="DefaultParagraphFont"/>
    <w:uiPriority w:val="22"/>
    <w:qFormat/>
    <w:rsid w:val="00BA7F7B"/>
    <w:rPr>
      <w:b/>
      <w:bCs/>
    </w:rPr>
  </w:style>
  <w:style w:type="character" w:customStyle="1" w:styleId="markedcontent">
    <w:name w:val="markedcontent"/>
    <w:basedOn w:val="DefaultParagraphFont"/>
    <w:rsid w:val="00D27C51"/>
  </w:style>
  <w:style w:type="table" w:customStyle="1" w:styleId="TableGrid0">
    <w:name w:val="TableGrid"/>
    <w:rsid w:val="00D27C51"/>
    <w:pPr>
      <w:spacing w:after="0" w:line="240" w:lineRule="auto"/>
    </w:pPr>
    <w:rPr>
      <w:rFonts w:eastAsiaTheme="minorEastAsia"/>
      <w:sz w:val="24"/>
      <w:szCs w:val="24"/>
      <w:lang w:val="en-US"/>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3B19DE"/>
    <w:rPr>
      <w:sz w:val="20"/>
      <w:szCs w:val="20"/>
    </w:rPr>
  </w:style>
  <w:style w:type="character" w:customStyle="1" w:styleId="FootnoteTextChar">
    <w:name w:val="Footnote Text Char"/>
    <w:basedOn w:val="DefaultParagraphFont"/>
    <w:link w:val="FootnoteText"/>
    <w:uiPriority w:val="99"/>
    <w:rsid w:val="003B19D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3B19DE"/>
    <w:rPr>
      <w:vertAlign w:val="superscript"/>
    </w:rPr>
  </w:style>
  <w:style w:type="paragraph" w:styleId="NormalWeb">
    <w:name w:val="Normal (Web)"/>
    <w:basedOn w:val="Normal"/>
    <w:uiPriority w:val="99"/>
    <w:semiHidden/>
    <w:unhideWhenUsed/>
    <w:rsid w:val="009F2E3A"/>
    <w:pPr>
      <w:spacing w:before="100" w:beforeAutospacing="1" w:after="100" w:afterAutospacing="1"/>
    </w:pPr>
  </w:style>
  <w:style w:type="character" w:customStyle="1" w:styleId="ref-journal">
    <w:name w:val="ref-journal"/>
    <w:basedOn w:val="DefaultParagraphFont"/>
    <w:rsid w:val="001D7DDE"/>
  </w:style>
  <w:style w:type="character" w:customStyle="1" w:styleId="ref-vol">
    <w:name w:val="ref-vol"/>
    <w:basedOn w:val="DefaultParagraphFont"/>
    <w:rsid w:val="001D7DDE"/>
  </w:style>
  <w:style w:type="paragraph" w:customStyle="1" w:styleId="paragraph">
    <w:name w:val="paragraph"/>
    <w:basedOn w:val="Normal"/>
    <w:rsid w:val="00DF081B"/>
    <w:pPr>
      <w:spacing w:before="100" w:beforeAutospacing="1" w:after="100" w:afterAutospacing="1" w:line="240" w:lineRule="auto"/>
    </w:pPr>
    <w:rPr>
      <w:rFonts w:ascii="Times New Roman" w:hAnsi="Times New Roman"/>
      <w:sz w:val="24"/>
      <w:lang w:eastAsia="en-AU"/>
    </w:rPr>
  </w:style>
  <w:style w:type="character" w:customStyle="1" w:styleId="eop">
    <w:name w:val="eop"/>
    <w:basedOn w:val="DefaultParagraphFont"/>
    <w:rsid w:val="00DF081B"/>
  </w:style>
  <w:style w:type="character" w:customStyle="1" w:styleId="normaltextrun">
    <w:name w:val="normaltextrun"/>
    <w:basedOn w:val="DefaultParagraphFont"/>
    <w:rsid w:val="00DF081B"/>
  </w:style>
  <w:style w:type="character" w:customStyle="1" w:styleId="Heading5Char">
    <w:name w:val="Heading 5 Char"/>
    <w:basedOn w:val="DefaultParagraphFont"/>
    <w:link w:val="Heading5"/>
    <w:uiPriority w:val="9"/>
    <w:rsid w:val="00135F3D"/>
    <w:rPr>
      <w:rFonts w:asciiTheme="majorHAnsi" w:eastAsiaTheme="majorEastAsia" w:hAnsiTheme="majorHAnsi" w:cstheme="majorBid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6119">
      <w:bodyDiv w:val="1"/>
      <w:marLeft w:val="0"/>
      <w:marRight w:val="0"/>
      <w:marTop w:val="0"/>
      <w:marBottom w:val="0"/>
      <w:divBdr>
        <w:top w:val="none" w:sz="0" w:space="0" w:color="auto"/>
        <w:left w:val="none" w:sz="0" w:space="0" w:color="auto"/>
        <w:bottom w:val="none" w:sz="0" w:space="0" w:color="auto"/>
        <w:right w:val="none" w:sz="0" w:space="0" w:color="auto"/>
      </w:divBdr>
    </w:div>
    <w:div w:id="55400520">
      <w:bodyDiv w:val="1"/>
      <w:marLeft w:val="0"/>
      <w:marRight w:val="0"/>
      <w:marTop w:val="0"/>
      <w:marBottom w:val="0"/>
      <w:divBdr>
        <w:top w:val="none" w:sz="0" w:space="0" w:color="auto"/>
        <w:left w:val="none" w:sz="0" w:space="0" w:color="auto"/>
        <w:bottom w:val="none" w:sz="0" w:space="0" w:color="auto"/>
        <w:right w:val="none" w:sz="0" w:space="0" w:color="auto"/>
      </w:divBdr>
    </w:div>
    <w:div w:id="67312797">
      <w:bodyDiv w:val="1"/>
      <w:marLeft w:val="0"/>
      <w:marRight w:val="0"/>
      <w:marTop w:val="0"/>
      <w:marBottom w:val="0"/>
      <w:divBdr>
        <w:top w:val="none" w:sz="0" w:space="0" w:color="auto"/>
        <w:left w:val="none" w:sz="0" w:space="0" w:color="auto"/>
        <w:bottom w:val="none" w:sz="0" w:space="0" w:color="auto"/>
        <w:right w:val="none" w:sz="0" w:space="0" w:color="auto"/>
      </w:divBdr>
    </w:div>
    <w:div w:id="68775786">
      <w:bodyDiv w:val="1"/>
      <w:marLeft w:val="0"/>
      <w:marRight w:val="0"/>
      <w:marTop w:val="0"/>
      <w:marBottom w:val="0"/>
      <w:divBdr>
        <w:top w:val="none" w:sz="0" w:space="0" w:color="auto"/>
        <w:left w:val="none" w:sz="0" w:space="0" w:color="auto"/>
        <w:bottom w:val="none" w:sz="0" w:space="0" w:color="auto"/>
        <w:right w:val="none" w:sz="0" w:space="0" w:color="auto"/>
      </w:divBdr>
    </w:div>
    <w:div w:id="75636622">
      <w:bodyDiv w:val="1"/>
      <w:marLeft w:val="0"/>
      <w:marRight w:val="0"/>
      <w:marTop w:val="0"/>
      <w:marBottom w:val="0"/>
      <w:divBdr>
        <w:top w:val="none" w:sz="0" w:space="0" w:color="auto"/>
        <w:left w:val="none" w:sz="0" w:space="0" w:color="auto"/>
        <w:bottom w:val="none" w:sz="0" w:space="0" w:color="auto"/>
        <w:right w:val="none" w:sz="0" w:space="0" w:color="auto"/>
      </w:divBdr>
    </w:div>
    <w:div w:id="83310216">
      <w:bodyDiv w:val="1"/>
      <w:marLeft w:val="0"/>
      <w:marRight w:val="0"/>
      <w:marTop w:val="0"/>
      <w:marBottom w:val="0"/>
      <w:divBdr>
        <w:top w:val="none" w:sz="0" w:space="0" w:color="auto"/>
        <w:left w:val="none" w:sz="0" w:space="0" w:color="auto"/>
        <w:bottom w:val="none" w:sz="0" w:space="0" w:color="auto"/>
        <w:right w:val="none" w:sz="0" w:space="0" w:color="auto"/>
      </w:divBdr>
    </w:div>
    <w:div w:id="86391397">
      <w:bodyDiv w:val="1"/>
      <w:marLeft w:val="0"/>
      <w:marRight w:val="0"/>
      <w:marTop w:val="0"/>
      <w:marBottom w:val="0"/>
      <w:divBdr>
        <w:top w:val="none" w:sz="0" w:space="0" w:color="auto"/>
        <w:left w:val="none" w:sz="0" w:space="0" w:color="auto"/>
        <w:bottom w:val="none" w:sz="0" w:space="0" w:color="auto"/>
        <w:right w:val="none" w:sz="0" w:space="0" w:color="auto"/>
      </w:divBdr>
    </w:div>
    <w:div w:id="86775310">
      <w:bodyDiv w:val="1"/>
      <w:marLeft w:val="0"/>
      <w:marRight w:val="0"/>
      <w:marTop w:val="0"/>
      <w:marBottom w:val="0"/>
      <w:divBdr>
        <w:top w:val="none" w:sz="0" w:space="0" w:color="auto"/>
        <w:left w:val="none" w:sz="0" w:space="0" w:color="auto"/>
        <w:bottom w:val="none" w:sz="0" w:space="0" w:color="auto"/>
        <w:right w:val="none" w:sz="0" w:space="0" w:color="auto"/>
      </w:divBdr>
    </w:div>
    <w:div w:id="92828850">
      <w:bodyDiv w:val="1"/>
      <w:marLeft w:val="0"/>
      <w:marRight w:val="0"/>
      <w:marTop w:val="0"/>
      <w:marBottom w:val="0"/>
      <w:divBdr>
        <w:top w:val="none" w:sz="0" w:space="0" w:color="auto"/>
        <w:left w:val="none" w:sz="0" w:space="0" w:color="auto"/>
        <w:bottom w:val="none" w:sz="0" w:space="0" w:color="auto"/>
        <w:right w:val="none" w:sz="0" w:space="0" w:color="auto"/>
      </w:divBdr>
    </w:div>
    <w:div w:id="116920213">
      <w:bodyDiv w:val="1"/>
      <w:marLeft w:val="0"/>
      <w:marRight w:val="0"/>
      <w:marTop w:val="0"/>
      <w:marBottom w:val="0"/>
      <w:divBdr>
        <w:top w:val="none" w:sz="0" w:space="0" w:color="auto"/>
        <w:left w:val="none" w:sz="0" w:space="0" w:color="auto"/>
        <w:bottom w:val="none" w:sz="0" w:space="0" w:color="auto"/>
        <w:right w:val="none" w:sz="0" w:space="0" w:color="auto"/>
      </w:divBdr>
    </w:div>
    <w:div w:id="122234473">
      <w:bodyDiv w:val="1"/>
      <w:marLeft w:val="0"/>
      <w:marRight w:val="0"/>
      <w:marTop w:val="0"/>
      <w:marBottom w:val="0"/>
      <w:divBdr>
        <w:top w:val="none" w:sz="0" w:space="0" w:color="auto"/>
        <w:left w:val="none" w:sz="0" w:space="0" w:color="auto"/>
        <w:bottom w:val="none" w:sz="0" w:space="0" w:color="auto"/>
        <w:right w:val="none" w:sz="0" w:space="0" w:color="auto"/>
      </w:divBdr>
    </w:div>
    <w:div w:id="141580759">
      <w:bodyDiv w:val="1"/>
      <w:marLeft w:val="0"/>
      <w:marRight w:val="0"/>
      <w:marTop w:val="0"/>
      <w:marBottom w:val="0"/>
      <w:divBdr>
        <w:top w:val="none" w:sz="0" w:space="0" w:color="auto"/>
        <w:left w:val="none" w:sz="0" w:space="0" w:color="auto"/>
        <w:bottom w:val="none" w:sz="0" w:space="0" w:color="auto"/>
        <w:right w:val="none" w:sz="0" w:space="0" w:color="auto"/>
      </w:divBdr>
    </w:div>
    <w:div w:id="203716388">
      <w:bodyDiv w:val="1"/>
      <w:marLeft w:val="0"/>
      <w:marRight w:val="0"/>
      <w:marTop w:val="0"/>
      <w:marBottom w:val="0"/>
      <w:divBdr>
        <w:top w:val="none" w:sz="0" w:space="0" w:color="auto"/>
        <w:left w:val="none" w:sz="0" w:space="0" w:color="auto"/>
        <w:bottom w:val="none" w:sz="0" w:space="0" w:color="auto"/>
        <w:right w:val="none" w:sz="0" w:space="0" w:color="auto"/>
      </w:divBdr>
    </w:div>
    <w:div w:id="217480257">
      <w:bodyDiv w:val="1"/>
      <w:marLeft w:val="0"/>
      <w:marRight w:val="0"/>
      <w:marTop w:val="0"/>
      <w:marBottom w:val="0"/>
      <w:divBdr>
        <w:top w:val="none" w:sz="0" w:space="0" w:color="auto"/>
        <w:left w:val="none" w:sz="0" w:space="0" w:color="auto"/>
        <w:bottom w:val="none" w:sz="0" w:space="0" w:color="auto"/>
        <w:right w:val="none" w:sz="0" w:space="0" w:color="auto"/>
      </w:divBdr>
    </w:div>
    <w:div w:id="222330021">
      <w:bodyDiv w:val="1"/>
      <w:marLeft w:val="0"/>
      <w:marRight w:val="0"/>
      <w:marTop w:val="0"/>
      <w:marBottom w:val="0"/>
      <w:divBdr>
        <w:top w:val="none" w:sz="0" w:space="0" w:color="auto"/>
        <w:left w:val="none" w:sz="0" w:space="0" w:color="auto"/>
        <w:bottom w:val="none" w:sz="0" w:space="0" w:color="auto"/>
        <w:right w:val="none" w:sz="0" w:space="0" w:color="auto"/>
      </w:divBdr>
    </w:div>
    <w:div w:id="234315151">
      <w:bodyDiv w:val="1"/>
      <w:marLeft w:val="0"/>
      <w:marRight w:val="0"/>
      <w:marTop w:val="0"/>
      <w:marBottom w:val="0"/>
      <w:divBdr>
        <w:top w:val="none" w:sz="0" w:space="0" w:color="auto"/>
        <w:left w:val="none" w:sz="0" w:space="0" w:color="auto"/>
        <w:bottom w:val="none" w:sz="0" w:space="0" w:color="auto"/>
        <w:right w:val="none" w:sz="0" w:space="0" w:color="auto"/>
      </w:divBdr>
    </w:div>
    <w:div w:id="273293194">
      <w:bodyDiv w:val="1"/>
      <w:marLeft w:val="0"/>
      <w:marRight w:val="0"/>
      <w:marTop w:val="0"/>
      <w:marBottom w:val="0"/>
      <w:divBdr>
        <w:top w:val="none" w:sz="0" w:space="0" w:color="auto"/>
        <w:left w:val="none" w:sz="0" w:space="0" w:color="auto"/>
        <w:bottom w:val="none" w:sz="0" w:space="0" w:color="auto"/>
        <w:right w:val="none" w:sz="0" w:space="0" w:color="auto"/>
      </w:divBdr>
    </w:div>
    <w:div w:id="275986102">
      <w:bodyDiv w:val="1"/>
      <w:marLeft w:val="0"/>
      <w:marRight w:val="0"/>
      <w:marTop w:val="0"/>
      <w:marBottom w:val="0"/>
      <w:divBdr>
        <w:top w:val="none" w:sz="0" w:space="0" w:color="auto"/>
        <w:left w:val="none" w:sz="0" w:space="0" w:color="auto"/>
        <w:bottom w:val="none" w:sz="0" w:space="0" w:color="auto"/>
        <w:right w:val="none" w:sz="0" w:space="0" w:color="auto"/>
      </w:divBdr>
    </w:div>
    <w:div w:id="316997725">
      <w:bodyDiv w:val="1"/>
      <w:marLeft w:val="0"/>
      <w:marRight w:val="0"/>
      <w:marTop w:val="0"/>
      <w:marBottom w:val="0"/>
      <w:divBdr>
        <w:top w:val="none" w:sz="0" w:space="0" w:color="auto"/>
        <w:left w:val="none" w:sz="0" w:space="0" w:color="auto"/>
        <w:bottom w:val="none" w:sz="0" w:space="0" w:color="auto"/>
        <w:right w:val="none" w:sz="0" w:space="0" w:color="auto"/>
      </w:divBdr>
    </w:div>
    <w:div w:id="329145250">
      <w:bodyDiv w:val="1"/>
      <w:marLeft w:val="0"/>
      <w:marRight w:val="0"/>
      <w:marTop w:val="0"/>
      <w:marBottom w:val="0"/>
      <w:divBdr>
        <w:top w:val="none" w:sz="0" w:space="0" w:color="auto"/>
        <w:left w:val="none" w:sz="0" w:space="0" w:color="auto"/>
        <w:bottom w:val="none" w:sz="0" w:space="0" w:color="auto"/>
        <w:right w:val="none" w:sz="0" w:space="0" w:color="auto"/>
      </w:divBdr>
    </w:div>
    <w:div w:id="350108484">
      <w:bodyDiv w:val="1"/>
      <w:marLeft w:val="0"/>
      <w:marRight w:val="0"/>
      <w:marTop w:val="0"/>
      <w:marBottom w:val="0"/>
      <w:divBdr>
        <w:top w:val="none" w:sz="0" w:space="0" w:color="auto"/>
        <w:left w:val="none" w:sz="0" w:space="0" w:color="auto"/>
        <w:bottom w:val="none" w:sz="0" w:space="0" w:color="auto"/>
        <w:right w:val="none" w:sz="0" w:space="0" w:color="auto"/>
      </w:divBdr>
    </w:div>
    <w:div w:id="371467065">
      <w:bodyDiv w:val="1"/>
      <w:marLeft w:val="0"/>
      <w:marRight w:val="0"/>
      <w:marTop w:val="0"/>
      <w:marBottom w:val="0"/>
      <w:divBdr>
        <w:top w:val="none" w:sz="0" w:space="0" w:color="auto"/>
        <w:left w:val="none" w:sz="0" w:space="0" w:color="auto"/>
        <w:bottom w:val="none" w:sz="0" w:space="0" w:color="auto"/>
        <w:right w:val="none" w:sz="0" w:space="0" w:color="auto"/>
      </w:divBdr>
    </w:div>
    <w:div w:id="378169523">
      <w:bodyDiv w:val="1"/>
      <w:marLeft w:val="0"/>
      <w:marRight w:val="0"/>
      <w:marTop w:val="0"/>
      <w:marBottom w:val="0"/>
      <w:divBdr>
        <w:top w:val="none" w:sz="0" w:space="0" w:color="auto"/>
        <w:left w:val="none" w:sz="0" w:space="0" w:color="auto"/>
        <w:bottom w:val="none" w:sz="0" w:space="0" w:color="auto"/>
        <w:right w:val="none" w:sz="0" w:space="0" w:color="auto"/>
      </w:divBdr>
    </w:div>
    <w:div w:id="402030214">
      <w:bodyDiv w:val="1"/>
      <w:marLeft w:val="0"/>
      <w:marRight w:val="0"/>
      <w:marTop w:val="0"/>
      <w:marBottom w:val="0"/>
      <w:divBdr>
        <w:top w:val="none" w:sz="0" w:space="0" w:color="auto"/>
        <w:left w:val="none" w:sz="0" w:space="0" w:color="auto"/>
        <w:bottom w:val="none" w:sz="0" w:space="0" w:color="auto"/>
        <w:right w:val="none" w:sz="0" w:space="0" w:color="auto"/>
      </w:divBdr>
    </w:div>
    <w:div w:id="429618879">
      <w:bodyDiv w:val="1"/>
      <w:marLeft w:val="0"/>
      <w:marRight w:val="0"/>
      <w:marTop w:val="0"/>
      <w:marBottom w:val="0"/>
      <w:divBdr>
        <w:top w:val="none" w:sz="0" w:space="0" w:color="auto"/>
        <w:left w:val="none" w:sz="0" w:space="0" w:color="auto"/>
        <w:bottom w:val="none" w:sz="0" w:space="0" w:color="auto"/>
        <w:right w:val="none" w:sz="0" w:space="0" w:color="auto"/>
      </w:divBdr>
    </w:div>
    <w:div w:id="429857470">
      <w:bodyDiv w:val="1"/>
      <w:marLeft w:val="0"/>
      <w:marRight w:val="0"/>
      <w:marTop w:val="0"/>
      <w:marBottom w:val="0"/>
      <w:divBdr>
        <w:top w:val="none" w:sz="0" w:space="0" w:color="auto"/>
        <w:left w:val="none" w:sz="0" w:space="0" w:color="auto"/>
        <w:bottom w:val="none" w:sz="0" w:space="0" w:color="auto"/>
        <w:right w:val="none" w:sz="0" w:space="0" w:color="auto"/>
      </w:divBdr>
    </w:div>
    <w:div w:id="436947880">
      <w:bodyDiv w:val="1"/>
      <w:marLeft w:val="0"/>
      <w:marRight w:val="0"/>
      <w:marTop w:val="0"/>
      <w:marBottom w:val="0"/>
      <w:divBdr>
        <w:top w:val="none" w:sz="0" w:space="0" w:color="auto"/>
        <w:left w:val="none" w:sz="0" w:space="0" w:color="auto"/>
        <w:bottom w:val="none" w:sz="0" w:space="0" w:color="auto"/>
        <w:right w:val="none" w:sz="0" w:space="0" w:color="auto"/>
      </w:divBdr>
    </w:div>
    <w:div w:id="448596078">
      <w:bodyDiv w:val="1"/>
      <w:marLeft w:val="0"/>
      <w:marRight w:val="0"/>
      <w:marTop w:val="0"/>
      <w:marBottom w:val="0"/>
      <w:divBdr>
        <w:top w:val="none" w:sz="0" w:space="0" w:color="auto"/>
        <w:left w:val="none" w:sz="0" w:space="0" w:color="auto"/>
        <w:bottom w:val="none" w:sz="0" w:space="0" w:color="auto"/>
        <w:right w:val="none" w:sz="0" w:space="0" w:color="auto"/>
      </w:divBdr>
    </w:div>
    <w:div w:id="458425995">
      <w:bodyDiv w:val="1"/>
      <w:marLeft w:val="0"/>
      <w:marRight w:val="0"/>
      <w:marTop w:val="0"/>
      <w:marBottom w:val="0"/>
      <w:divBdr>
        <w:top w:val="none" w:sz="0" w:space="0" w:color="auto"/>
        <w:left w:val="none" w:sz="0" w:space="0" w:color="auto"/>
        <w:bottom w:val="none" w:sz="0" w:space="0" w:color="auto"/>
        <w:right w:val="none" w:sz="0" w:space="0" w:color="auto"/>
      </w:divBdr>
    </w:div>
    <w:div w:id="485707516">
      <w:bodyDiv w:val="1"/>
      <w:marLeft w:val="0"/>
      <w:marRight w:val="0"/>
      <w:marTop w:val="0"/>
      <w:marBottom w:val="0"/>
      <w:divBdr>
        <w:top w:val="none" w:sz="0" w:space="0" w:color="auto"/>
        <w:left w:val="none" w:sz="0" w:space="0" w:color="auto"/>
        <w:bottom w:val="none" w:sz="0" w:space="0" w:color="auto"/>
        <w:right w:val="none" w:sz="0" w:space="0" w:color="auto"/>
      </w:divBdr>
    </w:div>
    <w:div w:id="488061391">
      <w:bodyDiv w:val="1"/>
      <w:marLeft w:val="0"/>
      <w:marRight w:val="0"/>
      <w:marTop w:val="0"/>
      <w:marBottom w:val="0"/>
      <w:divBdr>
        <w:top w:val="none" w:sz="0" w:space="0" w:color="auto"/>
        <w:left w:val="none" w:sz="0" w:space="0" w:color="auto"/>
        <w:bottom w:val="none" w:sz="0" w:space="0" w:color="auto"/>
        <w:right w:val="none" w:sz="0" w:space="0" w:color="auto"/>
      </w:divBdr>
    </w:div>
    <w:div w:id="510267069">
      <w:bodyDiv w:val="1"/>
      <w:marLeft w:val="0"/>
      <w:marRight w:val="0"/>
      <w:marTop w:val="0"/>
      <w:marBottom w:val="0"/>
      <w:divBdr>
        <w:top w:val="none" w:sz="0" w:space="0" w:color="auto"/>
        <w:left w:val="none" w:sz="0" w:space="0" w:color="auto"/>
        <w:bottom w:val="none" w:sz="0" w:space="0" w:color="auto"/>
        <w:right w:val="none" w:sz="0" w:space="0" w:color="auto"/>
      </w:divBdr>
    </w:div>
    <w:div w:id="527261467">
      <w:bodyDiv w:val="1"/>
      <w:marLeft w:val="0"/>
      <w:marRight w:val="0"/>
      <w:marTop w:val="0"/>
      <w:marBottom w:val="0"/>
      <w:divBdr>
        <w:top w:val="none" w:sz="0" w:space="0" w:color="auto"/>
        <w:left w:val="none" w:sz="0" w:space="0" w:color="auto"/>
        <w:bottom w:val="none" w:sz="0" w:space="0" w:color="auto"/>
        <w:right w:val="none" w:sz="0" w:space="0" w:color="auto"/>
      </w:divBdr>
    </w:div>
    <w:div w:id="529028183">
      <w:bodyDiv w:val="1"/>
      <w:marLeft w:val="0"/>
      <w:marRight w:val="0"/>
      <w:marTop w:val="0"/>
      <w:marBottom w:val="0"/>
      <w:divBdr>
        <w:top w:val="none" w:sz="0" w:space="0" w:color="auto"/>
        <w:left w:val="none" w:sz="0" w:space="0" w:color="auto"/>
        <w:bottom w:val="none" w:sz="0" w:space="0" w:color="auto"/>
        <w:right w:val="none" w:sz="0" w:space="0" w:color="auto"/>
      </w:divBdr>
    </w:div>
    <w:div w:id="557087695">
      <w:bodyDiv w:val="1"/>
      <w:marLeft w:val="0"/>
      <w:marRight w:val="0"/>
      <w:marTop w:val="0"/>
      <w:marBottom w:val="0"/>
      <w:divBdr>
        <w:top w:val="none" w:sz="0" w:space="0" w:color="auto"/>
        <w:left w:val="none" w:sz="0" w:space="0" w:color="auto"/>
        <w:bottom w:val="none" w:sz="0" w:space="0" w:color="auto"/>
        <w:right w:val="none" w:sz="0" w:space="0" w:color="auto"/>
      </w:divBdr>
    </w:div>
    <w:div w:id="557253166">
      <w:bodyDiv w:val="1"/>
      <w:marLeft w:val="0"/>
      <w:marRight w:val="0"/>
      <w:marTop w:val="0"/>
      <w:marBottom w:val="0"/>
      <w:divBdr>
        <w:top w:val="none" w:sz="0" w:space="0" w:color="auto"/>
        <w:left w:val="none" w:sz="0" w:space="0" w:color="auto"/>
        <w:bottom w:val="none" w:sz="0" w:space="0" w:color="auto"/>
        <w:right w:val="none" w:sz="0" w:space="0" w:color="auto"/>
      </w:divBdr>
    </w:div>
    <w:div w:id="571234566">
      <w:bodyDiv w:val="1"/>
      <w:marLeft w:val="0"/>
      <w:marRight w:val="0"/>
      <w:marTop w:val="0"/>
      <w:marBottom w:val="0"/>
      <w:divBdr>
        <w:top w:val="none" w:sz="0" w:space="0" w:color="auto"/>
        <w:left w:val="none" w:sz="0" w:space="0" w:color="auto"/>
        <w:bottom w:val="none" w:sz="0" w:space="0" w:color="auto"/>
        <w:right w:val="none" w:sz="0" w:space="0" w:color="auto"/>
      </w:divBdr>
    </w:div>
    <w:div w:id="594484588">
      <w:bodyDiv w:val="1"/>
      <w:marLeft w:val="0"/>
      <w:marRight w:val="0"/>
      <w:marTop w:val="0"/>
      <w:marBottom w:val="0"/>
      <w:divBdr>
        <w:top w:val="none" w:sz="0" w:space="0" w:color="auto"/>
        <w:left w:val="none" w:sz="0" w:space="0" w:color="auto"/>
        <w:bottom w:val="none" w:sz="0" w:space="0" w:color="auto"/>
        <w:right w:val="none" w:sz="0" w:space="0" w:color="auto"/>
      </w:divBdr>
    </w:div>
    <w:div w:id="599919428">
      <w:bodyDiv w:val="1"/>
      <w:marLeft w:val="0"/>
      <w:marRight w:val="0"/>
      <w:marTop w:val="0"/>
      <w:marBottom w:val="0"/>
      <w:divBdr>
        <w:top w:val="none" w:sz="0" w:space="0" w:color="auto"/>
        <w:left w:val="none" w:sz="0" w:space="0" w:color="auto"/>
        <w:bottom w:val="none" w:sz="0" w:space="0" w:color="auto"/>
        <w:right w:val="none" w:sz="0" w:space="0" w:color="auto"/>
      </w:divBdr>
    </w:div>
    <w:div w:id="646855915">
      <w:bodyDiv w:val="1"/>
      <w:marLeft w:val="0"/>
      <w:marRight w:val="0"/>
      <w:marTop w:val="0"/>
      <w:marBottom w:val="0"/>
      <w:divBdr>
        <w:top w:val="none" w:sz="0" w:space="0" w:color="auto"/>
        <w:left w:val="none" w:sz="0" w:space="0" w:color="auto"/>
        <w:bottom w:val="none" w:sz="0" w:space="0" w:color="auto"/>
        <w:right w:val="none" w:sz="0" w:space="0" w:color="auto"/>
      </w:divBdr>
    </w:div>
    <w:div w:id="663361090">
      <w:bodyDiv w:val="1"/>
      <w:marLeft w:val="0"/>
      <w:marRight w:val="0"/>
      <w:marTop w:val="0"/>
      <w:marBottom w:val="0"/>
      <w:divBdr>
        <w:top w:val="none" w:sz="0" w:space="0" w:color="auto"/>
        <w:left w:val="none" w:sz="0" w:space="0" w:color="auto"/>
        <w:bottom w:val="none" w:sz="0" w:space="0" w:color="auto"/>
        <w:right w:val="none" w:sz="0" w:space="0" w:color="auto"/>
      </w:divBdr>
    </w:div>
    <w:div w:id="664434521">
      <w:bodyDiv w:val="1"/>
      <w:marLeft w:val="0"/>
      <w:marRight w:val="0"/>
      <w:marTop w:val="0"/>
      <w:marBottom w:val="0"/>
      <w:divBdr>
        <w:top w:val="none" w:sz="0" w:space="0" w:color="auto"/>
        <w:left w:val="none" w:sz="0" w:space="0" w:color="auto"/>
        <w:bottom w:val="none" w:sz="0" w:space="0" w:color="auto"/>
        <w:right w:val="none" w:sz="0" w:space="0" w:color="auto"/>
      </w:divBdr>
    </w:div>
    <w:div w:id="678044437">
      <w:bodyDiv w:val="1"/>
      <w:marLeft w:val="0"/>
      <w:marRight w:val="0"/>
      <w:marTop w:val="0"/>
      <w:marBottom w:val="0"/>
      <w:divBdr>
        <w:top w:val="none" w:sz="0" w:space="0" w:color="auto"/>
        <w:left w:val="none" w:sz="0" w:space="0" w:color="auto"/>
        <w:bottom w:val="none" w:sz="0" w:space="0" w:color="auto"/>
        <w:right w:val="none" w:sz="0" w:space="0" w:color="auto"/>
      </w:divBdr>
    </w:div>
    <w:div w:id="688532201">
      <w:bodyDiv w:val="1"/>
      <w:marLeft w:val="0"/>
      <w:marRight w:val="0"/>
      <w:marTop w:val="0"/>
      <w:marBottom w:val="0"/>
      <w:divBdr>
        <w:top w:val="none" w:sz="0" w:space="0" w:color="auto"/>
        <w:left w:val="none" w:sz="0" w:space="0" w:color="auto"/>
        <w:bottom w:val="none" w:sz="0" w:space="0" w:color="auto"/>
        <w:right w:val="none" w:sz="0" w:space="0" w:color="auto"/>
      </w:divBdr>
    </w:div>
    <w:div w:id="705906956">
      <w:bodyDiv w:val="1"/>
      <w:marLeft w:val="0"/>
      <w:marRight w:val="0"/>
      <w:marTop w:val="0"/>
      <w:marBottom w:val="0"/>
      <w:divBdr>
        <w:top w:val="none" w:sz="0" w:space="0" w:color="auto"/>
        <w:left w:val="none" w:sz="0" w:space="0" w:color="auto"/>
        <w:bottom w:val="none" w:sz="0" w:space="0" w:color="auto"/>
        <w:right w:val="none" w:sz="0" w:space="0" w:color="auto"/>
      </w:divBdr>
    </w:div>
    <w:div w:id="719792999">
      <w:bodyDiv w:val="1"/>
      <w:marLeft w:val="0"/>
      <w:marRight w:val="0"/>
      <w:marTop w:val="0"/>
      <w:marBottom w:val="0"/>
      <w:divBdr>
        <w:top w:val="none" w:sz="0" w:space="0" w:color="auto"/>
        <w:left w:val="none" w:sz="0" w:space="0" w:color="auto"/>
        <w:bottom w:val="none" w:sz="0" w:space="0" w:color="auto"/>
        <w:right w:val="none" w:sz="0" w:space="0" w:color="auto"/>
      </w:divBdr>
    </w:div>
    <w:div w:id="730082767">
      <w:bodyDiv w:val="1"/>
      <w:marLeft w:val="0"/>
      <w:marRight w:val="0"/>
      <w:marTop w:val="0"/>
      <w:marBottom w:val="0"/>
      <w:divBdr>
        <w:top w:val="none" w:sz="0" w:space="0" w:color="auto"/>
        <w:left w:val="none" w:sz="0" w:space="0" w:color="auto"/>
        <w:bottom w:val="none" w:sz="0" w:space="0" w:color="auto"/>
        <w:right w:val="none" w:sz="0" w:space="0" w:color="auto"/>
      </w:divBdr>
    </w:div>
    <w:div w:id="732852680">
      <w:bodyDiv w:val="1"/>
      <w:marLeft w:val="0"/>
      <w:marRight w:val="0"/>
      <w:marTop w:val="0"/>
      <w:marBottom w:val="0"/>
      <w:divBdr>
        <w:top w:val="none" w:sz="0" w:space="0" w:color="auto"/>
        <w:left w:val="none" w:sz="0" w:space="0" w:color="auto"/>
        <w:bottom w:val="none" w:sz="0" w:space="0" w:color="auto"/>
        <w:right w:val="none" w:sz="0" w:space="0" w:color="auto"/>
      </w:divBdr>
    </w:div>
    <w:div w:id="744491731">
      <w:bodyDiv w:val="1"/>
      <w:marLeft w:val="0"/>
      <w:marRight w:val="0"/>
      <w:marTop w:val="0"/>
      <w:marBottom w:val="0"/>
      <w:divBdr>
        <w:top w:val="none" w:sz="0" w:space="0" w:color="auto"/>
        <w:left w:val="none" w:sz="0" w:space="0" w:color="auto"/>
        <w:bottom w:val="none" w:sz="0" w:space="0" w:color="auto"/>
        <w:right w:val="none" w:sz="0" w:space="0" w:color="auto"/>
      </w:divBdr>
    </w:div>
    <w:div w:id="763304596">
      <w:bodyDiv w:val="1"/>
      <w:marLeft w:val="0"/>
      <w:marRight w:val="0"/>
      <w:marTop w:val="0"/>
      <w:marBottom w:val="0"/>
      <w:divBdr>
        <w:top w:val="none" w:sz="0" w:space="0" w:color="auto"/>
        <w:left w:val="none" w:sz="0" w:space="0" w:color="auto"/>
        <w:bottom w:val="none" w:sz="0" w:space="0" w:color="auto"/>
        <w:right w:val="none" w:sz="0" w:space="0" w:color="auto"/>
      </w:divBdr>
    </w:div>
    <w:div w:id="798306650">
      <w:bodyDiv w:val="1"/>
      <w:marLeft w:val="0"/>
      <w:marRight w:val="0"/>
      <w:marTop w:val="0"/>
      <w:marBottom w:val="0"/>
      <w:divBdr>
        <w:top w:val="none" w:sz="0" w:space="0" w:color="auto"/>
        <w:left w:val="none" w:sz="0" w:space="0" w:color="auto"/>
        <w:bottom w:val="none" w:sz="0" w:space="0" w:color="auto"/>
        <w:right w:val="none" w:sz="0" w:space="0" w:color="auto"/>
      </w:divBdr>
    </w:div>
    <w:div w:id="804666614">
      <w:bodyDiv w:val="1"/>
      <w:marLeft w:val="0"/>
      <w:marRight w:val="0"/>
      <w:marTop w:val="0"/>
      <w:marBottom w:val="0"/>
      <w:divBdr>
        <w:top w:val="none" w:sz="0" w:space="0" w:color="auto"/>
        <w:left w:val="none" w:sz="0" w:space="0" w:color="auto"/>
        <w:bottom w:val="none" w:sz="0" w:space="0" w:color="auto"/>
        <w:right w:val="none" w:sz="0" w:space="0" w:color="auto"/>
      </w:divBdr>
      <w:divsChild>
        <w:div w:id="33432445">
          <w:marLeft w:val="0"/>
          <w:marRight w:val="0"/>
          <w:marTop w:val="0"/>
          <w:marBottom w:val="0"/>
          <w:divBdr>
            <w:top w:val="none" w:sz="0" w:space="0" w:color="auto"/>
            <w:left w:val="none" w:sz="0" w:space="0" w:color="auto"/>
            <w:bottom w:val="none" w:sz="0" w:space="0" w:color="auto"/>
            <w:right w:val="none" w:sz="0" w:space="0" w:color="auto"/>
          </w:divBdr>
          <w:divsChild>
            <w:div w:id="753432114">
              <w:marLeft w:val="0"/>
              <w:marRight w:val="0"/>
              <w:marTop w:val="0"/>
              <w:marBottom w:val="0"/>
              <w:divBdr>
                <w:top w:val="none" w:sz="0" w:space="0" w:color="auto"/>
                <w:left w:val="none" w:sz="0" w:space="0" w:color="auto"/>
                <w:bottom w:val="none" w:sz="0" w:space="0" w:color="auto"/>
                <w:right w:val="none" w:sz="0" w:space="0" w:color="auto"/>
              </w:divBdr>
              <w:divsChild>
                <w:div w:id="1286276021">
                  <w:marLeft w:val="0"/>
                  <w:marRight w:val="0"/>
                  <w:marTop w:val="0"/>
                  <w:marBottom w:val="0"/>
                  <w:divBdr>
                    <w:top w:val="none" w:sz="0" w:space="0" w:color="auto"/>
                    <w:left w:val="none" w:sz="0" w:space="0" w:color="auto"/>
                    <w:bottom w:val="none" w:sz="0" w:space="0" w:color="auto"/>
                    <w:right w:val="none" w:sz="0" w:space="0" w:color="auto"/>
                  </w:divBdr>
                  <w:divsChild>
                    <w:div w:id="20916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9874">
          <w:marLeft w:val="0"/>
          <w:marRight w:val="0"/>
          <w:marTop w:val="0"/>
          <w:marBottom w:val="0"/>
          <w:divBdr>
            <w:top w:val="none" w:sz="0" w:space="0" w:color="auto"/>
            <w:left w:val="none" w:sz="0" w:space="0" w:color="auto"/>
            <w:bottom w:val="none" w:sz="0" w:space="0" w:color="auto"/>
            <w:right w:val="none" w:sz="0" w:space="0" w:color="auto"/>
          </w:divBdr>
        </w:div>
        <w:div w:id="124783853">
          <w:marLeft w:val="0"/>
          <w:marRight w:val="0"/>
          <w:marTop w:val="0"/>
          <w:marBottom w:val="0"/>
          <w:divBdr>
            <w:top w:val="none" w:sz="0" w:space="0" w:color="auto"/>
            <w:left w:val="none" w:sz="0" w:space="0" w:color="auto"/>
            <w:bottom w:val="none" w:sz="0" w:space="0" w:color="auto"/>
            <w:right w:val="none" w:sz="0" w:space="0" w:color="auto"/>
          </w:divBdr>
          <w:divsChild>
            <w:div w:id="423650244">
              <w:marLeft w:val="0"/>
              <w:marRight w:val="0"/>
              <w:marTop w:val="0"/>
              <w:marBottom w:val="0"/>
              <w:divBdr>
                <w:top w:val="none" w:sz="0" w:space="0" w:color="auto"/>
                <w:left w:val="none" w:sz="0" w:space="0" w:color="auto"/>
                <w:bottom w:val="none" w:sz="0" w:space="0" w:color="auto"/>
                <w:right w:val="none" w:sz="0" w:space="0" w:color="auto"/>
              </w:divBdr>
              <w:divsChild>
                <w:div w:id="1660888594">
                  <w:marLeft w:val="0"/>
                  <w:marRight w:val="0"/>
                  <w:marTop w:val="0"/>
                  <w:marBottom w:val="0"/>
                  <w:divBdr>
                    <w:top w:val="none" w:sz="0" w:space="0" w:color="auto"/>
                    <w:left w:val="none" w:sz="0" w:space="0" w:color="auto"/>
                    <w:bottom w:val="none" w:sz="0" w:space="0" w:color="auto"/>
                    <w:right w:val="none" w:sz="0" w:space="0" w:color="auto"/>
                  </w:divBdr>
                  <w:divsChild>
                    <w:div w:id="96430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363822">
          <w:marLeft w:val="0"/>
          <w:marRight w:val="0"/>
          <w:marTop w:val="0"/>
          <w:marBottom w:val="0"/>
          <w:divBdr>
            <w:top w:val="none" w:sz="0" w:space="0" w:color="auto"/>
            <w:left w:val="none" w:sz="0" w:space="0" w:color="auto"/>
            <w:bottom w:val="none" w:sz="0" w:space="0" w:color="auto"/>
            <w:right w:val="none" w:sz="0" w:space="0" w:color="auto"/>
          </w:divBdr>
        </w:div>
        <w:div w:id="338702632">
          <w:marLeft w:val="0"/>
          <w:marRight w:val="0"/>
          <w:marTop w:val="0"/>
          <w:marBottom w:val="0"/>
          <w:divBdr>
            <w:top w:val="none" w:sz="0" w:space="0" w:color="auto"/>
            <w:left w:val="none" w:sz="0" w:space="0" w:color="auto"/>
            <w:bottom w:val="none" w:sz="0" w:space="0" w:color="auto"/>
            <w:right w:val="none" w:sz="0" w:space="0" w:color="auto"/>
          </w:divBdr>
          <w:divsChild>
            <w:div w:id="1138760112">
              <w:marLeft w:val="0"/>
              <w:marRight w:val="0"/>
              <w:marTop w:val="0"/>
              <w:marBottom w:val="0"/>
              <w:divBdr>
                <w:top w:val="none" w:sz="0" w:space="0" w:color="auto"/>
                <w:left w:val="none" w:sz="0" w:space="0" w:color="auto"/>
                <w:bottom w:val="none" w:sz="0" w:space="0" w:color="auto"/>
                <w:right w:val="none" w:sz="0" w:space="0" w:color="auto"/>
              </w:divBdr>
              <w:divsChild>
                <w:div w:id="1546872307">
                  <w:marLeft w:val="0"/>
                  <w:marRight w:val="0"/>
                  <w:marTop w:val="0"/>
                  <w:marBottom w:val="0"/>
                  <w:divBdr>
                    <w:top w:val="none" w:sz="0" w:space="0" w:color="auto"/>
                    <w:left w:val="none" w:sz="0" w:space="0" w:color="auto"/>
                    <w:bottom w:val="none" w:sz="0" w:space="0" w:color="auto"/>
                    <w:right w:val="none" w:sz="0" w:space="0" w:color="auto"/>
                  </w:divBdr>
                  <w:divsChild>
                    <w:div w:id="20299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58439">
          <w:marLeft w:val="0"/>
          <w:marRight w:val="0"/>
          <w:marTop w:val="0"/>
          <w:marBottom w:val="0"/>
          <w:divBdr>
            <w:top w:val="none" w:sz="0" w:space="0" w:color="auto"/>
            <w:left w:val="none" w:sz="0" w:space="0" w:color="auto"/>
            <w:bottom w:val="none" w:sz="0" w:space="0" w:color="auto"/>
            <w:right w:val="none" w:sz="0" w:space="0" w:color="auto"/>
          </w:divBdr>
        </w:div>
        <w:div w:id="532377942">
          <w:marLeft w:val="0"/>
          <w:marRight w:val="0"/>
          <w:marTop w:val="0"/>
          <w:marBottom w:val="0"/>
          <w:divBdr>
            <w:top w:val="none" w:sz="0" w:space="0" w:color="auto"/>
            <w:left w:val="none" w:sz="0" w:space="0" w:color="auto"/>
            <w:bottom w:val="none" w:sz="0" w:space="0" w:color="auto"/>
            <w:right w:val="none" w:sz="0" w:space="0" w:color="auto"/>
          </w:divBdr>
          <w:divsChild>
            <w:div w:id="2133551836">
              <w:marLeft w:val="0"/>
              <w:marRight w:val="0"/>
              <w:marTop w:val="0"/>
              <w:marBottom w:val="0"/>
              <w:divBdr>
                <w:top w:val="none" w:sz="0" w:space="0" w:color="auto"/>
                <w:left w:val="none" w:sz="0" w:space="0" w:color="auto"/>
                <w:bottom w:val="none" w:sz="0" w:space="0" w:color="auto"/>
                <w:right w:val="none" w:sz="0" w:space="0" w:color="auto"/>
              </w:divBdr>
              <w:divsChild>
                <w:div w:id="1525512958">
                  <w:marLeft w:val="0"/>
                  <w:marRight w:val="0"/>
                  <w:marTop w:val="0"/>
                  <w:marBottom w:val="0"/>
                  <w:divBdr>
                    <w:top w:val="none" w:sz="0" w:space="0" w:color="auto"/>
                    <w:left w:val="none" w:sz="0" w:space="0" w:color="auto"/>
                    <w:bottom w:val="none" w:sz="0" w:space="0" w:color="auto"/>
                    <w:right w:val="none" w:sz="0" w:space="0" w:color="auto"/>
                  </w:divBdr>
                  <w:divsChild>
                    <w:div w:id="46177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01350">
          <w:marLeft w:val="0"/>
          <w:marRight w:val="0"/>
          <w:marTop w:val="0"/>
          <w:marBottom w:val="0"/>
          <w:divBdr>
            <w:top w:val="none" w:sz="0" w:space="0" w:color="auto"/>
            <w:left w:val="none" w:sz="0" w:space="0" w:color="auto"/>
            <w:bottom w:val="none" w:sz="0" w:space="0" w:color="auto"/>
            <w:right w:val="none" w:sz="0" w:space="0" w:color="auto"/>
          </w:divBdr>
        </w:div>
        <w:div w:id="589313090">
          <w:marLeft w:val="0"/>
          <w:marRight w:val="0"/>
          <w:marTop w:val="0"/>
          <w:marBottom w:val="0"/>
          <w:divBdr>
            <w:top w:val="none" w:sz="0" w:space="0" w:color="auto"/>
            <w:left w:val="none" w:sz="0" w:space="0" w:color="auto"/>
            <w:bottom w:val="none" w:sz="0" w:space="0" w:color="auto"/>
            <w:right w:val="none" w:sz="0" w:space="0" w:color="auto"/>
          </w:divBdr>
        </w:div>
        <w:div w:id="741874556">
          <w:marLeft w:val="0"/>
          <w:marRight w:val="0"/>
          <w:marTop w:val="0"/>
          <w:marBottom w:val="0"/>
          <w:divBdr>
            <w:top w:val="none" w:sz="0" w:space="0" w:color="auto"/>
            <w:left w:val="none" w:sz="0" w:space="0" w:color="auto"/>
            <w:bottom w:val="none" w:sz="0" w:space="0" w:color="auto"/>
            <w:right w:val="none" w:sz="0" w:space="0" w:color="auto"/>
          </w:divBdr>
        </w:div>
        <w:div w:id="743649407">
          <w:marLeft w:val="0"/>
          <w:marRight w:val="0"/>
          <w:marTop w:val="0"/>
          <w:marBottom w:val="0"/>
          <w:divBdr>
            <w:top w:val="none" w:sz="0" w:space="0" w:color="auto"/>
            <w:left w:val="none" w:sz="0" w:space="0" w:color="auto"/>
            <w:bottom w:val="none" w:sz="0" w:space="0" w:color="auto"/>
            <w:right w:val="none" w:sz="0" w:space="0" w:color="auto"/>
          </w:divBdr>
          <w:divsChild>
            <w:div w:id="2022777216">
              <w:marLeft w:val="0"/>
              <w:marRight w:val="0"/>
              <w:marTop w:val="0"/>
              <w:marBottom w:val="0"/>
              <w:divBdr>
                <w:top w:val="none" w:sz="0" w:space="0" w:color="auto"/>
                <w:left w:val="none" w:sz="0" w:space="0" w:color="auto"/>
                <w:bottom w:val="none" w:sz="0" w:space="0" w:color="auto"/>
                <w:right w:val="none" w:sz="0" w:space="0" w:color="auto"/>
              </w:divBdr>
              <w:divsChild>
                <w:div w:id="676156845">
                  <w:marLeft w:val="0"/>
                  <w:marRight w:val="0"/>
                  <w:marTop w:val="0"/>
                  <w:marBottom w:val="0"/>
                  <w:divBdr>
                    <w:top w:val="none" w:sz="0" w:space="0" w:color="auto"/>
                    <w:left w:val="none" w:sz="0" w:space="0" w:color="auto"/>
                    <w:bottom w:val="none" w:sz="0" w:space="0" w:color="auto"/>
                    <w:right w:val="none" w:sz="0" w:space="0" w:color="auto"/>
                  </w:divBdr>
                  <w:divsChild>
                    <w:div w:id="43575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57920">
          <w:marLeft w:val="0"/>
          <w:marRight w:val="0"/>
          <w:marTop w:val="0"/>
          <w:marBottom w:val="0"/>
          <w:divBdr>
            <w:top w:val="none" w:sz="0" w:space="0" w:color="auto"/>
            <w:left w:val="none" w:sz="0" w:space="0" w:color="auto"/>
            <w:bottom w:val="none" w:sz="0" w:space="0" w:color="auto"/>
            <w:right w:val="none" w:sz="0" w:space="0" w:color="auto"/>
          </w:divBdr>
        </w:div>
        <w:div w:id="789544300">
          <w:marLeft w:val="0"/>
          <w:marRight w:val="0"/>
          <w:marTop w:val="0"/>
          <w:marBottom w:val="0"/>
          <w:divBdr>
            <w:top w:val="none" w:sz="0" w:space="0" w:color="auto"/>
            <w:left w:val="none" w:sz="0" w:space="0" w:color="auto"/>
            <w:bottom w:val="none" w:sz="0" w:space="0" w:color="auto"/>
            <w:right w:val="none" w:sz="0" w:space="0" w:color="auto"/>
          </w:divBdr>
        </w:div>
        <w:div w:id="1202397263">
          <w:marLeft w:val="0"/>
          <w:marRight w:val="0"/>
          <w:marTop w:val="0"/>
          <w:marBottom w:val="0"/>
          <w:divBdr>
            <w:top w:val="none" w:sz="0" w:space="0" w:color="auto"/>
            <w:left w:val="none" w:sz="0" w:space="0" w:color="auto"/>
            <w:bottom w:val="none" w:sz="0" w:space="0" w:color="auto"/>
            <w:right w:val="none" w:sz="0" w:space="0" w:color="auto"/>
          </w:divBdr>
          <w:divsChild>
            <w:div w:id="1646080923">
              <w:marLeft w:val="0"/>
              <w:marRight w:val="0"/>
              <w:marTop w:val="0"/>
              <w:marBottom w:val="0"/>
              <w:divBdr>
                <w:top w:val="none" w:sz="0" w:space="0" w:color="auto"/>
                <w:left w:val="none" w:sz="0" w:space="0" w:color="auto"/>
                <w:bottom w:val="none" w:sz="0" w:space="0" w:color="auto"/>
                <w:right w:val="none" w:sz="0" w:space="0" w:color="auto"/>
              </w:divBdr>
              <w:divsChild>
                <w:div w:id="325089695">
                  <w:marLeft w:val="0"/>
                  <w:marRight w:val="0"/>
                  <w:marTop w:val="0"/>
                  <w:marBottom w:val="0"/>
                  <w:divBdr>
                    <w:top w:val="none" w:sz="0" w:space="0" w:color="auto"/>
                    <w:left w:val="none" w:sz="0" w:space="0" w:color="auto"/>
                    <w:bottom w:val="none" w:sz="0" w:space="0" w:color="auto"/>
                    <w:right w:val="none" w:sz="0" w:space="0" w:color="auto"/>
                  </w:divBdr>
                  <w:divsChild>
                    <w:div w:id="16692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539239">
          <w:marLeft w:val="0"/>
          <w:marRight w:val="0"/>
          <w:marTop w:val="0"/>
          <w:marBottom w:val="0"/>
          <w:divBdr>
            <w:top w:val="none" w:sz="0" w:space="0" w:color="auto"/>
            <w:left w:val="none" w:sz="0" w:space="0" w:color="auto"/>
            <w:bottom w:val="none" w:sz="0" w:space="0" w:color="auto"/>
            <w:right w:val="none" w:sz="0" w:space="0" w:color="auto"/>
          </w:divBdr>
          <w:divsChild>
            <w:div w:id="1905404946">
              <w:marLeft w:val="0"/>
              <w:marRight w:val="0"/>
              <w:marTop w:val="0"/>
              <w:marBottom w:val="0"/>
              <w:divBdr>
                <w:top w:val="none" w:sz="0" w:space="0" w:color="auto"/>
                <w:left w:val="none" w:sz="0" w:space="0" w:color="auto"/>
                <w:bottom w:val="none" w:sz="0" w:space="0" w:color="auto"/>
                <w:right w:val="none" w:sz="0" w:space="0" w:color="auto"/>
              </w:divBdr>
              <w:divsChild>
                <w:div w:id="547034693">
                  <w:marLeft w:val="0"/>
                  <w:marRight w:val="0"/>
                  <w:marTop w:val="0"/>
                  <w:marBottom w:val="0"/>
                  <w:divBdr>
                    <w:top w:val="none" w:sz="0" w:space="0" w:color="auto"/>
                    <w:left w:val="none" w:sz="0" w:space="0" w:color="auto"/>
                    <w:bottom w:val="none" w:sz="0" w:space="0" w:color="auto"/>
                    <w:right w:val="none" w:sz="0" w:space="0" w:color="auto"/>
                  </w:divBdr>
                  <w:divsChild>
                    <w:div w:id="211821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45812">
          <w:marLeft w:val="0"/>
          <w:marRight w:val="0"/>
          <w:marTop w:val="0"/>
          <w:marBottom w:val="0"/>
          <w:divBdr>
            <w:top w:val="none" w:sz="0" w:space="0" w:color="auto"/>
            <w:left w:val="none" w:sz="0" w:space="0" w:color="auto"/>
            <w:bottom w:val="none" w:sz="0" w:space="0" w:color="auto"/>
            <w:right w:val="none" w:sz="0" w:space="0" w:color="auto"/>
          </w:divBdr>
          <w:divsChild>
            <w:div w:id="610550431">
              <w:marLeft w:val="0"/>
              <w:marRight w:val="0"/>
              <w:marTop w:val="0"/>
              <w:marBottom w:val="0"/>
              <w:divBdr>
                <w:top w:val="none" w:sz="0" w:space="0" w:color="auto"/>
                <w:left w:val="none" w:sz="0" w:space="0" w:color="auto"/>
                <w:bottom w:val="none" w:sz="0" w:space="0" w:color="auto"/>
                <w:right w:val="none" w:sz="0" w:space="0" w:color="auto"/>
              </w:divBdr>
              <w:divsChild>
                <w:div w:id="2107386850">
                  <w:marLeft w:val="0"/>
                  <w:marRight w:val="0"/>
                  <w:marTop w:val="0"/>
                  <w:marBottom w:val="0"/>
                  <w:divBdr>
                    <w:top w:val="none" w:sz="0" w:space="0" w:color="auto"/>
                    <w:left w:val="none" w:sz="0" w:space="0" w:color="auto"/>
                    <w:bottom w:val="none" w:sz="0" w:space="0" w:color="auto"/>
                    <w:right w:val="none" w:sz="0" w:space="0" w:color="auto"/>
                  </w:divBdr>
                  <w:divsChild>
                    <w:div w:id="1734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9795">
          <w:marLeft w:val="0"/>
          <w:marRight w:val="0"/>
          <w:marTop w:val="0"/>
          <w:marBottom w:val="0"/>
          <w:divBdr>
            <w:top w:val="none" w:sz="0" w:space="0" w:color="auto"/>
            <w:left w:val="none" w:sz="0" w:space="0" w:color="auto"/>
            <w:bottom w:val="none" w:sz="0" w:space="0" w:color="auto"/>
            <w:right w:val="none" w:sz="0" w:space="0" w:color="auto"/>
          </w:divBdr>
        </w:div>
        <w:div w:id="1681618746">
          <w:marLeft w:val="0"/>
          <w:marRight w:val="0"/>
          <w:marTop w:val="0"/>
          <w:marBottom w:val="0"/>
          <w:divBdr>
            <w:top w:val="none" w:sz="0" w:space="0" w:color="auto"/>
            <w:left w:val="none" w:sz="0" w:space="0" w:color="auto"/>
            <w:bottom w:val="none" w:sz="0" w:space="0" w:color="auto"/>
            <w:right w:val="none" w:sz="0" w:space="0" w:color="auto"/>
          </w:divBdr>
          <w:divsChild>
            <w:div w:id="1121727914">
              <w:marLeft w:val="0"/>
              <w:marRight w:val="0"/>
              <w:marTop w:val="0"/>
              <w:marBottom w:val="0"/>
              <w:divBdr>
                <w:top w:val="none" w:sz="0" w:space="0" w:color="auto"/>
                <w:left w:val="none" w:sz="0" w:space="0" w:color="auto"/>
                <w:bottom w:val="none" w:sz="0" w:space="0" w:color="auto"/>
                <w:right w:val="none" w:sz="0" w:space="0" w:color="auto"/>
              </w:divBdr>
              <w:divsChild>
                <w:div w:id="1590116942">
                  <w:marLeft w:val="0"/>
                  <w:marRight w:val="0"/>
                  <w:marTop w:val="0"/>
                  <w:marBottom w:val="0"/>
                  <w:divBdr>
                    <w:top w:val="none" w:sz="0" w:space="0" w:color="auto"/>
                    <w:left w:val="none" w:sz="0" w:space="0" w:color="auto"/>
                    <w:bottom w:val="none" w:sz="0" w:space="0" w:color="auto"/>
                    <w:right w:val="none" w:sz="0" w:space="0" w:color="auto"/>
                  </w:divBdr>
                  <w:divsChild>
                    <w:div w:id="17825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76515">
          <w:marLeft w:val="0"/>
          <w:marRight w:val="0"/>
          <w:marTop w:val="0"/>
          <w:marBottom w:val="0"/>
          <w:divBdr>
            <w:top w:val="none" w:sz="0" w:space="0" w:color="auto"/>
            <w:left w:val="none" w:sz="0" w:space="0" w:color="auto"/>
            <w:bottom w:val="none" w:sz="0" w:space="0" w:color="auto"/>
            <w:right w:val="none" w:sz="0" w:space="0" w:color="auto"/>
          </w:divBdr>
        </w:div>
        <w:div w:id="1930041460">
          <w:marLeft w:val="0"/>
          <w:marRight w:val="0"/>
          <w:marTop w:val="0"/>
          <w:marBottom w:val="0"/>
          <w:divBdr>
            <w:top w:val="none" w:sz="0" w:space="0" w:color="auto"/>
            <w:left w:val="none" w:sz="0" w:space="0" w:color="auto"/>
            <w:bottom w:val="none" w:sz="0" w:space="0" w:color="auto"/>
            <w:right w:val="none" w:sz="0" w:space="0" w:color="auto"/>
          </w:divBdr>
          <w:divsChild>
            <w:div w:id="512887775">
              <w:marLeft w:val="0"/>
              <w:marRight w:val="0"/>
              <w:marTop w:val="0"/>
              <w:marBottom w:val="0"/>
              <w:divBdr>
                <w:top w:val="none" w:sz="0" w:space="0" w:color="auto"/>
                <w:left w:val="none" w:sz="0" w:space="0" w:color="auto"/>
                <w:bottom w:val="none" w:sz="0" w:space="0" w:color="auto"/>
                <w:right w:val="none" w:sz="0" w:space="0" w:color="auto"/>
              </w:divBdr>
              <w:divsChild>
                <w:div w:id="775448701">
                  <w:marLeft w:val="0"/>
                  <w:marRight w:val="0"/>
                  <w:marTop w:val="0"/>
                  <w:marBottom w:val="0"/>
                  <w:divBdr>
                    <w:top w:val="none" w:sz="0" w:space="0" w:color="auto"/>
                    <w:left w:val="none" w:sz="0" w:space="0" w:color="auto"/>
                    <w:bottom w:val="none" w:sz="0" w:space="0" w:color="auto"/>
                    <w:right w:val="none" w:sz="0" w:space="0" w:color="auto"/>
                  </w:divBdr>
                  <w:divsChild>
                    <w:div w:id="28982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264228">
          <w:marLeft w:val="0"/>
          <w:marRight w:val="0"/>
          <w:marTop w:val="0"/>
          <w:marBottom w:val="0"/>
          <w:divBdr>
            <w:top w:val="none" w:sz="0" w:space="0" w:color="auto"/>
            <w:left w:val="none" w:sz="0" w:space="0" w:color="auto"/>
            <w:bottom w:val="none" w:sz="0" w:space="0" w:color="auto"/>
            <w:right w:val="none" w:sz="0" w:space="0" w:color="auto"/>
          </w:divBdr>
        </w:div>
        <w:div w:id="2018382013">
          <w:marLeft w:val="0"/>
          <w:marRight w:val="0"/>
          <w:marTop w:val="0"/>
          <w:marBottom w:val="0"/>
          <w:divBdr>
            <w:top w:val="none" w:sz="0" w:space="0" w:color="auto"/>
            <w:left w:val="none" w:sz="0" w:space="0" w:color="auto"/>
            <w:bottom w:val="none" w:sz="0" w:space="0" w:color="auto"/>
            <w:right w:val="none" w:sz="0" w:space="0" w:color="auto"/>
          </w:divBdr>
          <w:divsChild>
            <w:div w:id="569733348">
              <w:marLeft w:val="0"/>
              <w:marRight w:val="0"/>
              <w:marTop w:val="0"/>
              <w:marBottom w:val="0"/>
              <w:divBdr>
                <w:top w:val="none" w:sz="0" w:space="0" w:color="auto"/>
                <w:left w:val="none" w:sz="0" w:space="0" w:color="auto"/>
                <w:bottom w:val="none" w:sz="0" w:space="0" w:color="auto"/>
                <w:right w:val="none" w:sz="0" w:space="0" w:color="auto"/>
              </w:divBdr>
              <w:divsChild>
                <w:div w:id="502553347">
                  <w:marLeft w:val="0"/>
                  <w:marRight w:val="0"/>
                  <w:marTop w:val="0"/>
                  <w:marBottom w:val="0"/>
                  <w:divBdr>
                    <w:top w:val="none" w:sz="0" w:space="0" w:color="auto"/>
                    <w:left w:val="none" w:sz="0" w:space="0" w:color="auto"/>
                    <w:bottom w:val="none" w:sz="0" w:space="0" w:color="auto"/>
                    <w:right w:val="none" w:sz="0" w:space="0" w:color="auto"/>
                  </w:divBdr>
                  <w:divsChild>
                    <w:div w:id="12913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232471">
      <w:bodyDiv w:val="1"/>
      <w:marLeft w:val="0"/>
      <w:marRight w:val="0"/>
      <w:marTop w:val="0"/>
      <w:marBottom w:val="0"/>
      <w:divBdr>
        <w:top w:val="none" w:sz="0" w:space="0" w:color="auto"/>
        <w:left w:val="none" w:sz="0" w:space="0" w:color="auto"/>
        <w:bottom w:val="none" w:sz="0" w:space="0" w:color="auto"/>
        <w:right w:val="none" w:sz="0" w:space="0" w:color="auto"/>
      </w:divBdr>
    </w:div>
    <w:div w:id="832601731">
      <w:bodyDiv w:val="1"/>
      <w:marLeft w:val="0"/>
      <w:marRight w:val="0"/>
      <w:marTop w:val="0"/>
      <w:marBottom w:val="0"/>
      <w:divBdr>
        <w:top w:val="none" w:sz="0" w:space="0" w:color="auto"/>
        <w:left w:val="none" w:sz="0" w:space="0" w:color="auto"/>
        <w:bottom w:val="none" w:sz="0" w:space="0" w:color="auto"/>
        <w:right w:val="none" w:sz="0" w:space="0" w:color="auto"/>
      </w:divBdr>
    </w:div>
    <w:div w:id="846601906">
      <w:bodyDiv w:val="1"/>
      <w:marLeft w:val="0"/>
      <w:marRight w:val="0"/>
      <w:marTop w:val="0"/>
      <w:marBottom w:val="0"/>
      <w:divBdr>
        <w:top w:val="none" w:sz="0" w:space="0" w:color="auto"/>
        <w:left w:val="none" w:sz="0" w:space="0" w:color="auto"/>
        <w:bottom w:val="none" w:sz="0" w:space="0" w:color="auto"/>
        <w:right w:val="none" w:sz="0" w:space="0" w:color="auto"/>
      </w:divBdr>
    </w:div>
    <w:div w:id="864640564">
      <w:bodyDiv w:val="1"/>
      <w:marLeft w:val="0"/>
      <w:marRight w:val="0"/>
      <w:marTop w:val="0"/>
      <w:marBottom w:val="0"/>
      <w:divBdr>
        <w:top w:val="none" w:sz="0" w:space="0" w:color="auto"/>
        <w:left w:val="none" w:sz="0" w:space="0" w:color="auto"/>
        <w:bottom w:val="none" w:sz="0" w:space="0" w:color="auto"/>
        <w:right w:val="none" w:sz="0" w:space="0" w:color="auto"/>
      </w:divBdr>
    </w:div>
    <w:div w:id="872154132">
      <w:bodyDiv w:val="1"/>
      <w:marLeft w:val="0"/>
      <w:marRight w:val="0"/>
      <w:marTop w:val="0"/>
      <w:marBottom w:val="0"/>
      <w:divBdr>
        <w:top w:val="none" w:sz="0" w:space="0" w:color="auto"/>
        <w:left w:val="none" w:sz="0" w:space="0" w:color="auto"/>
        <w:bottom w:val="none" w:sz="0" w:space="0" w:color="auto"/>
        <w:right w:val="none" w:sz="0" w:space="0" w:color="auto"/>
      </w:divBdr>
    </w:div>
    <w:div w:id="888687033">
      <w:bodyDiv w:val="1"/>
      <w:marLeft w:val="0"/>
      <w:marRight w:val="0"/>
      <w:marTop w:val="0"/>
      <w:marBottom w:val="0"/>
      <w:divBdr>
        <w:top w:val="none" w:sz="0" w:space="0" w:color="auto"/>
        <w:left w:val="none" w:sz="0" w:space="0" w:color="auto"/>
        <w:bottom w:val="none" w:sz="0" w:space="0" w:color="auto"/>
        <w:right w:val="none" w:sz="0" w:space="0" w:color="auto"/>
      </w:divBdr>
    </w:div>
    <w:div w:id="889341005">
      <w:bodyDiv w:val="1"/>
      <w:marLeft w:val="0"/>
      <w:marRight w:val="0"/>
      <w:marTop w:val="0"/>
      <w:marBottom w:val="0"/>
      <w:divBdr>
        <w:top w:val="none" w:sz="0" w:space="0" w:color="auto"/>
        <w:left w:val="none" w:sz="0" w:space="0" w:color="auto"/>
        <w:bottom w:val="none" w:sz="0" w:space="0" w:color="auto"/>
        <w:right w:val="none" w:sz="0" w:space="0" w:color="auto"/>
      </w:divBdr>
    </w:div>
    <w:div w:id="915672473">
      <w:bodyDiv w:val="1"/>
      <w:marLeft w:val="0"/>
      <w:marRight w:val="0"/>
      <w:marTop w:val="0"/>
      <w:marBottom w:val="0"/>
      <w:divBdr>
        <w:top w:val="none" w:sz="0" w:space="0" w:color="auto"/>
        <w:left w:val="none" w:sz="0" w:space="0" w:color="auto"/>
        <w:bottom w:val="none" w:sz="0" w:space="0" w:color="auto"/>
        <w:right w:val="none" w:sz="0" w:space="0" w:color="auto"/>
      </w:divBdr>
    </w:div>
    <w:div w:id="971130896">
      <w:bodyDiv w:val="1"/>
      <w:marLeft w:val="0"/>
      <w:marRight w:val="0"/>
      <w:marTop w:val="0"/>
      <w:marBottom w:val="0"/>
      <w:divBdr>
        <w:top w:val="none" w:sz="0" w:space="0" w:color="auto"/>
        <w:left w:val="none" w:sz="0" w:space="0" w:color="auto"/>
        <w:bottom w:val="none" w:sz="0" w:space="0" w:color="auto"/>
        <w:right w:val="none" w:sz="0" w:space="0" w:color="auto"/>
      </w:divBdr>
    </w:div>
    <w:div w:id="1005668492">
      <w:bodyDiv w:val="1"/>
      <w:marLeft w:val="0"/>
      <w:marRight w:val="0"/>
      <w:marTop w:val="0"/>
      <w:marBottom w:val="0"/>
      <w:divBdr>
        <w:top w:val="none" w:sz="0" w:space="0" w:color="auto"/>
        <w:left w:val="none" w:sz="0" w:space="0" w:color="auto"/>
        <w:bottom w:val="none" w:sz="0" w:space="0" w:color="auto"/>
        <w:right w:val="none" w:sz="0" w:space="0" w:color="auto"/>
      </w:divBdr>
    </w:div>
    <w:div w:id="1014263503">
      <w:bodyDiv w:val="1"/>
      <w:marLeft w:val="0"/>
      <w:marRight w:val="0"/>
      <w:marTop w:val="0"/>
      <w:marBottom w:val="0"/>
      <w:divBdr>
        <w:top w:val="none" w:sz="0" w:space="0" w:color="auto"/>
        <w:left w:val="none" w:sz="0" w:space="0" w:color="auto"/>
        <w:bottom w:val="none" w:sz="0" w:space="0" w:color="auto"/>
        <w:right w:val="none" w:sz="0" w:space="0" w:color="auto"/>
      </w:divBdr>
    </w:div>
    <w:div w:id="1023242140">
      <w:bodyDiv w:val="1"/>
      <w:marLeft w:val="0"/>
      <w:marRight w:val="0"/>
      <w:marTop w:val="0"/>
      <w:marBottom w:val="0"/>
      <w:divBdr>
        <w:top w:val="none" w:sz="0" w:space="0" w:color="auto"/>
        <w:left w:val="none" w:sz="0" w:space="0" w:color="auto"/>
        <w:bottom w:val="none" w:sz="0" w:space="0" w:color="auto"/>
        <w:right w:val="none" w:sz="0" w:space="0" w:color="auto"/>
      </w:divBdr>
    </w:div>
    <w:div w:id="1031417474">
      <w:bodyDiv w:val="1"/>
      <w:marLeft w:val="0"/>
      <w:marRight w:val="0"/>
      <w:marTop w:val="0"/>
      <w:marBottom w:val="0"/>
      <w:divBdr>
        <w:top w:val="none" w:sz="0" w:space="0" w:color="auto"/>
        <w:left w:val="none" w:sz="0" w:space="0" w:color="auto"/>
        <w:bottom w:val="none" w:sz="0" w:space="0" w:color="auto"/>
        <w:right w:val="none" w:sz="0" w:space="0" w:color="auto"/>
      </w:divBdr>
    </w:div>
    <w:div w:id="1034116730">
      <w:bodyDiv w:val="1"/>
      <w:marLeft w:val="0"/>
      <w:marRight w:val="0"/>
      <w:marTop w:val="0"/>
      <w:marBottom w:val="0"/>
      <w:divBdr>
        <w:top w:val="none" w:sz="0" w:space="0" w:color="auto"/>
        <w:left w:val="none" w:sz="0" w:space="0" w:color="auto"/>
        <w:bottom w:val="none" w:sz="0" w:space="0" w:color="auto"/>
        <w:right w:val="none" w:sz="0" w:space="0" w:color="auto"/>
      </w:divBdr>
    </w:div>
    <w:div w:id="1063718670">
      <w:bodyDiv w:val="1"/>
      <w:marLeft w:val="0"/>
      <w:marRight w:val="0"/>
      <w:marTop w:val="0"/>
      <w:marBottom w:val="0"/>
      <w:divBdr>
        <w:top w:val="none" w:sz="0" w:space="0" w:color="auto"/>
        <w:left w:val="none" w:sz="0" w:space="0" w:color="auto"/>
        <w:bottom w:val="none" w:sz="0" w:space="0" w:color="auto"/>
        <w:right w:val="none" w:sz="0" w:space="0" w:color="auto"/>
      </w:divBdr>
    </w:div>
    <w:div w:id="1109469361">
      <w:bodyDiv w:val="1"/>
      <w:marLeft w:val="0"/>
      <w:marRight w:val="0"/>
      <w:marTop w:val="0"/>
      <w:marBottom w:val="0"/>
      <w:divBdr>
        <w:top w:val="none" w:sz="0" w:space="0" w:color="auto"/>
        <w:left w:val="none" w:sz="0" w:space="0" w:color="auto"/>
        <w:bottom w:val="none" w:sz="0" w:space="0" w:color="auto"/>
        <w:right w:val="none" w:sz="0" w:space="0" w:color="auto"/>
      </w:divBdr>
    </w:div>
    <w:div w:id="1116219991">
      <w:bodyDiv w:val="1"/>
      <w:marLeft w:val="0"/>
      <w:marRight w:val="0"/>
      <w:marTop w:val="0"/>
      <w:marBottom w:val="0"/>
      <w:divBdr>
        <w:top w:val="none" w:sz="0" w:space="0" w:color="auto"/>
        <w:left w:val="none" w:sz="0" w:space="0" w:color="auto"/>
        <w:bottom w:val="none" w:sz="0" w:space="0" w:color="auto"/>
        <w:right w:val="none" w:sz="0" w:space="0" w:color="auto"/>
      </w:divBdr>
    </w:div>
    <w:div w:id="1129592144">
      <w:bodyDiv w:val="1"/>
      <w:marLeft w:val="0"/>
      <w:marRight w:val="0"/>
      <w:marTop w:val="0"/>
      <w:marBottom w:val="0"/>
      <w:divBdr>
        <w:top w:val="none" w:sz="0" w:space="0" w:color="auto"/>
        <w:left w:val="none" w:sz="0" w:space="0" w:color="auto"/>
        <w:bottom w:val="none" w:sz="0" w:space="0" w:color="auto"/>
        <w:right w:val="none" w:sz="0" w:space="0" w:color="auto"/>
      </w:divBdr>
    </w:div>
    <w:div w:id="1139111996">
      <w:bodyDiv w:val="1"/>
      <w:marLeft w:val="0"/>
      <w:marRight w:val="0"/>
      <w:marTop w:val="0"/>
      <w:marBottom w:val="0"/>
      <w:divBdr>
        <w:top w:val="none" w:sz="0" w:space="0" w:color="auto"/>
        <w:left w:val="none" w:sz="0" w:space="0" w:color="auto"/>
        <w:bottom w:val="none" w:sz="0" w:space="0" w:color="auto"/>
        <w:right w:val="none" w:sz="0" w:space="0" w:color="auto"/>
      </w:divBdr>
    </w:div>
    <w:div w:id="1159728232">
      <w:bodyDiv w:val="1"/>
      <w:marLeft w:val="0"/>
      <w:marRight w:val="0"/>
      <w:marTop w:val="0"/>
      <w:marBottom w:val="0"/>
      <w:divBdr>
        <w:top w:val="none" w:sz="0" w:space="0" w:color="auto"/>
        <w:left w:val="none" w:sz="0" w:space="0" w:color="auto"/>
        <w:bottom w:val="none" w:sz="0" w:space="0" w:color="auto"/>
        <w:right w:val="none" w:sz="0" w:space="0" w:color="auto"/>
      </w:divBdr>
    </w:div>
    <w:div w:id="1173372788">
      <w:bodyDiv w:val="1"/>
      <w:marLeft w:val="0"/>
      <w:marRight w:val="0"/>
      <w:marTop w:val="0"/>
      <w:marBottom w:val="0"/>
      <w:divBdr>
        <w:top w:val="none" w:sz="0" w:space="0" w:color="auto"/>
        <w:left w:val="none" w:sz="0" w:space="0" w:color="auto"/>
        <w:bottom w:val="none" w:sz="0" w:space="0" w:color="auto"/>
        <w:right w:val="none" w:sz="0" w:space="0" w:color="auto"/>
      </w:divBdr>
    </w:div>
    <w:div w:id="1243030412">
      <w:bodyDiv w:val="1"/>
      <w:marLeft w:val="0"/>
      <w:marRight w:val="0"/>
      <w:marTop w:val="0"/>
      <w:marBottom w:val="0"/>
      <w:divBdr>
        <w:top w:val="none" w:sz="0" w:space="0" w:color="auto"/>
        <w:left w:val="none" w:sz="0" w:space="0" w:color="auto"/>
        <w:bottom w:val="none" w:sz="0" w:space="0" w:color="auto"/>
        <w:right w:val="none" w:sz="0" w:space="0" w:color="auto"/>
      </w:divBdr>
    </w:div>
    <w:div w:id="1258444929">
      <w:bodyDiv w:val="1"/>
      <w:marLeft w:val="0"/>
      <w:marRight w:val="0"/>
      <w:marTop w:val="0"/>
      <w:marBottom w:val="0"/>
      <w:divBdr>
        <w:top w:val="none" w:sz="0" w:space="0" w:color="auto"/>
        <w:left w:val="none" w:sz="0" w:space="0" w:color="auto"/>
        <w:bottom w:val="none" w:sz="0" w:space="0" w:color="auto"/>
        <w:right w:val="none" w:sz="0" w:space="0" w:color="auto"/>
      </w:divBdr>
    </w:div>
    <w:div w:id="1269507677">
      <w:bodyDiv w:val="1"/>
      <w:marLeft w:val="0"/>
      <w:marRight w:val="0"/>
      <w:marTop w:val="0"/>
      <w:marBottom w:val="0"/>
      <w:divBdr>
        <w:top w:val="none" w:sz="0" w:space="0" w:color="auto"/>
        <w:left w:val="none" w:sz="0" w:space="0" w:color="auto"/>
        <w:bottom w:val="none" w:sz="0" w:space="0" w:color="auto"/>
        <w:right w:val="none" w:sz="0" w:space="0" w:color="auto"/>
      </w:divBdr>
    </w:div>
    <w:div w:id="1278023014">
      <w:bodyDiv w:val="1"/>
      <w:marLeft w:val="0"/>
      <w:marRight w:val="0"/>
      <w:marTop w:val="0"/>
      <w:marBottom w:val="0"/>
      <w:divBdr>
        <w:top w:val="none" w:sz="0" w:space="0" w:color="auto"/>
        <w:left w:val="none" w:sz="0" w:space="0" w:color="auto"/>
        <w:bottom w:val="none" w:sz="0" w:space="0" w:color="auto"/>
        <w:right w:val="none" w:sz="0" w:space="0" w:color="auto"/>
      </w:divBdr>
    </w:div>
    <w:div w:id="1281955570">
      <w:bodyDiv w:val="1"/>
      <w:marLeft w:val="0"/>
      <w:marRight w:val="0"/>
      <w:marTop w:val="0"/>
      <w:marBottom w:val="0"/>
      <w:divBdr>
        <w:top w:val="none" w:sz="0" w:space="0" w:color="auto"/>
        <w:left w:val="none" w:sz="0" w:space="0" w:color="auto"/>
        <w:bottom w:val="none" w:sz="0" w:space="0" w:color="auto"/>
        <w:right w:val="none" w:sz="0" w:space="0" w:color="auto"/>
      </w:divBdr>
    </w:div>
    <w:div w:id="1292587836">
      <w:bodyDiv w:val="1"/>
      <w:marLeft w:val="0"/>
      <w:marRight w:val="0"/>
      <w:marTop w:val="0"/>
      <w:marBottom w:val="0"/>
      <w:divBdr>
        <w:top w:val="none" w:sz="0" w:space="0" w:color="auto"/>
        <w:left w:val="none" w:sz="0" w:space="0" w:color="auto"/>
        <w:bottom w:val="none" w:sz="0" w:space="0" w:color="auto"/>
        <w:right w:val="none" w:sz="0" w:space="0" w:color="auto"/>
      </w:divBdr>
    </w:div>
    <w:div w:id="1308704159">
      <w:bodyDiv w:val="1"/>
      <w:marLeft w:val="0"/>
      <w:marRight w:val="0"/>
      <w:marTop w:val="0"/>
      <w:marBottom w:val="0"/>
      <w:divBdr>
        <w:top w:val="none" w:sz="0" w:space="0" w:color="auto"/>
        <w:left w:val="none" w:sz="0" w:space="0" w:color="auto"/>
        <w:bottom w:val="none" w:sz="0" w:space="0" w:color="auto"/>
        <w:right w:val="none" w:sz="0" w:space="0" w:color="auto"/>
      </w:divBdr>
    </w:div>
    <w:div w:id="1310598146">
      <w:bodyDiv w:val="1"/>
      <w:marLeft w:val="0"/>
      <w:marRight w:val="0"/>
      <w:marTop w:val="0"/>
      <w:marBottom w:val="0"/>
      <w:divBdr>
        <w:top w:val="none" w:sz="0" w:space="0" w:color="auto"/>
        <w:left w:val="none" w:sz="0" w:space="0" w:color="auto"/>
        <w:bottom w:val="none" w:sz="0" w:space="0" w:color="auto"/>
        <w:right w:val="none" w:sz="0" w:space="0" w:color="auto"/>
      </w:divBdr>
    </w:div>
    <w:div w:id="1328704121">
      <w:bodyDiv w:val="1"/>
      <w:marLeft w:val="0"/>
      <w:marRight w:val="0"/>
      <w:marTop w:val="0"/>
      <w:marBottom w:val="0"/>
      <w:divBdr>
        <w:top w:val="none" w:sz="0" w:space="0" w:color="auto"/>
        <w:left w:val="none" w:sz="0" w:space="0" w:color="auto"/>
        <w:bottom w:val="none" w:sz="0" w:space="0" w:color="auto"/>
        <w:right w:val="none" w:sz="0" w:space="0" w:color="auto"/>
      </w:divBdr>
    </w:div>
    <w:div w:id="1335299224">
      <w:bodyDiv w:val="1"/>
      <w:marLeft w:val="0"/>
      <w:marRight w:val="0"/>
      <w:marTop w:val="0"/>
      <w:marBottom w:val="0"/>
      <w:divBdr>
        <w:top w:val="none" w:sz="0" w:space="0" w:color="auto"/>
        <w:left w:val="none" w:sz="0" w:space="0" w:color="auto"/>
        <w:bottom w:val="none" w:sz="0" w:space="0" w:color="auto"/>
        <w:right w:val="none" w:sz="0" w:space="0" w:color="auto"/>
      </w:divBdr>
    </w:div>
    <w:div w:id="1376659077">
      <w:bodyDiv w:val="1"/>
      <w:marLeft w:val="0"/>
      <w:marRight w:val="0"/>
      <w:marTop w:val="0"/>
      <w:marBottom w:val="0"/>
      <w:divBdr>
        <w:top w:val="none" w:sz="0" w:space="0" w:color="auto"/>
        <w:left w:val="none" w:sz="0" w:space="0" w:color="auto"/>
        <w:bottom w:val="none" w:sz="0" w:space="0" w:color="auto"/>
        <w:right w:val="none" w:sz="0" w:space="0" w:color="auto"/>
      </w:divBdr>
      <w:divsChild>
        <w:div w:id="269708384">
          <w:marLeft w:val="0"/>
          <w:marRight w:val="0"/>
          <w:marTop w:val="0"/>
          <w:marBottom w:val="0"/>
          <w:divBdr>
            <w:top w:val="none" w:sz="0" w:space="0" w:color="auto"/>
            <w:left w:val="none" w:sz="0" w:space="0" w:color="auto"/>
            <w:bottom w:val="none" w:sz="0" w:space="0" w:color="auto"/>
            <w:right w:val="none" w:sz="0" w:space="0" w:color="auto"/>
          </w:divBdr>
          <w:divsChild>
            <w:div w:id="76992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29733">
      <w:bodyDiv w:val="1"/>
      <w:marLeft w:val="0"/>
      <w:marRight w:val="0"/>
      <w:marTop w:val="0"/>
      <w:marBottom w:val="0"/>
      <w:divBdr>
        <w:top w:val="none" w:sz="0" w:space="0" w:color="auto"/>
        <w:left w:val="none" w:sz="0" w:space="0" w:color="auto"/>
        <w:bottom w:val="none" w:sz="0" w:space="0" w:color="auto"/>
        <w:right w:val="none" w:sz="0" w:space="0" w:color="auto"/>
      </w:divBdr>
    </w:div>
    <w:div w:id="1418362685">
      <w:bodyDiv w:val="1"/>
      <w:marLeft w:val="0"/>
      <w:marRight w:val="0"/>
      <w:marTop w:val="0"/>
      <w:marBottom w:val="0"/>
      <w:divBdr>
        <w:top w:val="none" w:sz="0" w:space="0" w:color="auto"/>
        <w:left w:val="none" w:sz="0" w:space="0" w:color="auto"/>
        <w:bottom w:val="none" w:sz="0" w:space="0" w:color="auto"/>
        <w:right w:val="none" w:sz="0" w:space="0" w:color="auto"/>
      </w:divBdr>
    </w:div>
    <w:div w:id="1457674019">
      <w:bodyDiv w:val="1"/>
      <w:marLeft w:val="0"/>
      <w:marRight w:val="0"/>
      <w:marTop w:val="0"/>
      <w:marBottom w:val="0"/>
      <w:divBdr>
        <w:top w:val="none" w:sz="0" w:space="0" w:color="auto"/>
        <w:left w:val="none" w:sz="0" w:space="0" w:color="auto"/>
        <w:bottom w:val="none" w:sz="0" w:space="0" w:color="auto"/>
        <w:right w:val="none" w:sz="0" w:space="0" w:color="auto"/>
      </w:divBdr>
    </w:div>
    <w:div w:id="1458455129">
      <w:bodyDiv w:val="1"/>
      <w:marLeft w:val="0"/>
      <w:marRight w:val="0"/>
      <w:marTop w:val="0"/>
      <w:marBottom w:val="0"/>
      <w:divBdr>
        <w:top w:val="none" w:sz="0" w:space="0" w:color="auto"/>
        <w:left w:val="none" w:sz="0" w:space="0" w:color="auto"/>
        <w:bottom w:val="none" w:sz="0" w:space="0" w:color="auto"/>
        <w:right w:val="none" w:sz="0" w:space="0" w:color="auto"/>
      </w:divBdr>
    </w:div>
    <w:div w:id="1459450346">
      <w:bodyDiv w:val="1"/>
      <w:marLeft w:val="0"/>
      <w:marRight w:val="0"/>
      <w:marTop w:val="0"/>
      <w:marBottom w:val="0"/>
      <w:divBdr>
        <w:top w:val="none" w:sz="0" w:space="0" w:color="auto"/>
        <w:left w:val="none" w:sz="0" w:space="0" w:color="auto"/>
        <w:bottom w:val="none" w:sz="0" w:space="0" w:color="auto"/>
        <w:right w:val="none" w:sz="0" w:space="0" w:color="auto"/>
      </w:divBdr>
    </w:div>
    <w:div w:id="1510020483">
      <w:bodyDiv w:val="1"/>
      <w:marLeft w:val="0"/>
      <w:marRight w:val="0"/>
      <w:marTop w:val="0"/>
      <w:marBottom w:val="0"/>
      <w:divBdr>
        <w:top w:val="none" w:sz="0" w:space="0" w:color="auto"/>
        <w:left w:val="none" w:sz="0" w:space="0" w:color="auto"/>
        <w:bottom w:val="none" w:sz="0" w:space="0" w:color="auto"/>
        <w:right w:val="none" w:sz="0" w:space="0" w:color="auto"/>
      </w:divBdr>
    </w:div>
    <w:div w:id="1511987132">
      <w:bodyDiv w:val="1"/>
      <w:marLeft w:val="0"/>
      <w:marRight w:val="0"/>
      <w:marTop w:val="0"/>
      <w:marBottom w:val="0"/>
      <w:divBdr>
        <w:top w:val="none" w:sz="0" w:space="0" w:color="auto"/>
        <w:left w:val="none" w:sz="0" w:space="0" w:color="auto"/>
        <w:bottom w:val="none" w:sz="0" w:space="0" w:color="auto"/>
        <w:right w:val="none" w:sz="0" w:space="0" w:color="auto"/>
      </w:divBdr>
    </w:div>
    <w:div w:id="1520123236">
      <w:bodyDiv w:val="1"/>
      <w:marLeft w:val="0"/>
      <w:marRight w:val="0"/>
      <w:marTop w:val="0"/>
      <w:marBottom w:val="0"/>
      <w:divBdr>
        <w:top w:val="none" w:sz="0" w:space="0" w:color="auto"/>
        <w:left w:val="none" w:sz="0" w:space="0" w:color="auto"/>
        <w:bottom w:val="none" w:sz="0" w:space="0" w:color="auto"/>
        <w:right w:val="none" w:sz="0" w:space="0" w:color="auto"/>
      </w:divBdr>
    </w:div>
    <w:div w:id="1520972163">
      <w:bodyDiv w:val="1"/>
      <w:marLeft w:val="0"/>
      <w:marRight w:val="0"/>
      <w:marTop w:val="0"/>
      <w:marBottom w:val="0"/>
      <w:divBdr>
        <w:top w:val="none" w:sz="0" w:space="0" w:color="auto"/>
        <w:left w:val="none" w:sz="0" w:space="0" w:color="auto"/>
        <w:bottom w:val="none" w:sz="0" w:space="0" w:color="auto"/>
        <w:right w:val="none" w:sz="0" w:space="0" w:color="auto"/>
      </w:divBdr>
    </w:div>
    <w:div w:id="1523515886">
      <w:bodyDiv w:val="1"/>
      <w:marLeft w:val="0"/>
      <w:marRight w:val="0"/>
      <w:marTop w:val="0"/>
      <w:marBottom w:val="0"/>
      <w:divBdr>
        <w:top w:val="none" w:sz="0" w:space="0" w:color="auto"/>
        <w:left w:val="none" w:sz="0" w:space="0" w:color="auto"/>
        <w:bottom w:val="none" w:sz="0" w:space="0" w:color="auto"/>
        <w:right w:val="none" w:sz="0" w:space="0" w:color="auto"/>
      </w:divBdr>
    </w:div>
    <w:div w:id="1543859310">
      <w:bodyDiv w:val="1"/>
      <w:marLeft w:val="0"/>
      <w:marRight w:val="0"/>
      <w:marTop w:val="0"/>
      <w:marBottom w:val="0"/>
      <w:divBdr>
        <w:top w:val="none" w:sz="0" w:space="0" w:color="auto"/>
        <w:left w:val="none" w:sz="0" w:space="0" w:color="auto"/>
        <w:bottom w:val="none" w:sz="0" w:space="0" w:color="auto"/>
        <w:right w:val="none" w:sz="0" w:space="0" w:color="auto"/>
      </w:divBdr>
    </w:div>
    <w:div w:id="1547792634">
      <w:bodyDiv w:val="1"/>
      <w:marLeft w:val="0"/>
      <w:marRight w:val="0"/>
      <w:marTop w:val="0"/>
      <w:marBottom w:val="0"/>
      <w:divBdr>
        <w:top w:val="none" w:sz="0" w:space="0" w:color="auto"/>
        <w:left w:val="none" w:sz="0" w:space="0" w:color="auto"/>
        <w:bottom w:val="none" w:sz="0" w:space="0" w:color="auto"/>
        <w:right w:val="none" w:sz="0" w:space="0" w:color="auto"/>
      </w:divBdr>
    </w:div>
    <w:div w:id="1559246317">
      <w:bodyDiv w:val="1"/>
      <w:marLeft w:val="0"/>
      <w:marRight w:val="0"/>
      <w:marTop w:val="0"/>
      <w:marBottom w:val="0"/>
      <w:divBdr>
        <w:top w:val="none" w:sz="0" w:space="0" w:color="auto"/>
        <w:left w:val="none" w:sz="0" w:space="0" w:color="auto"/>
        <w:bottom w:val="none" w:sz="0" w:space="0" w:color="auto"/>
        <w:right w:val="none" w:sz="0" w:space="0" w:color="auto"/>
      </w:divBdr>
    </w:div>
    <w:div w:id="1559436644">
      <w:bodyDiv w:val="1"/>
      <w:marLeft w:val="0"/>
      <w:marRight w:val="0"/>
      <w:marTop w:val="0"/>
      <w:marBottom w:val="0"/>
      <w:divBdr>
        <w:top w:val="none" w:sz="0" w:space="0" w:color="auto"/>
        <w:left w:val="none" w:sz="0" w:space="0" w:color="auto"/>
        <w:bottom w:val="none" w:sz="0" w:space="0" w:color="auto"/>
        <w:right w:val="none" w:sz="0" w:space="0" w:color="auto"/>
      </w:divBdr>
    </w:div>
    <w:div w:id="1607080063">
      <w:bodyDiv w:val="1"/>
      <w:marLeft w:val="0"/>
      <w:marRight w:val="0"/>
      <w:marTop w:val="0"/>
      <w:marBottom w:val="0"/>
      <w:divBdr>
        <w:top w:val="none" w:sz="0" w:space="0" w:color="auto"/>
        <w:left w:val="none" w:sz="0" w:space="0" w:color="auto"/>
        <w:bottom w:val="none" w:sz="0" w:space="0" w:color="auto"/>
        <w:right w:val="none" w:sz="0" w:space="0" w:color="auto"/>
      </w:divBdr>
    </w:div>
    <w:div w:id="1639915918">
      <w:bodyDiv w:val="1"/>
      <w:marLeft w:val="0"/>
      <w:marRight w:val="0"/>
      <w:marTop w:val="0"/>
      <w:marBottom w:val="0"/>
      <w:divBdr>
        <w:top w:val="none" w:sz="0" w:space="0" w:color="auto"/>
        <w:left w:val="none" w:sz="0" w:space="0" w:color="auto"/>
        <w:bottom w:val="none" w:sz="0" w:space="0" w:color="auto"/>
        <w:right w:val="none" w:sz="0" w:space="0" w:color="auto"/>
      </w:divBdr>
      <w:divsChild>
        <w:div w:id="600525825">
          <w:marLeft w:val="0"/>
          <w:marRight w:val="0"/>
          <w:marTop w:val="0"/>
          <w:marBottom w:val="0"/>
          <w:divBdr>
            <w:top w:val="none" w:sz="0" w:space="0" w:color="auto"/>
            <w:left w:val="none" w:sz="0" w:space="0" w:color="auto"/>
            <w:bottom w:val="none" w:sz="0" w:space="0" w:color="auto"/>
            <w:right w:val="none" w:sz="0" w:space="0" w:color="auto"/>
          </w:divBdr>
          <w:divsChild>
            <w:div w:id="65086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23336">
      <w:bodyDiv w:val="1"/>
      <w:marLeft w:val="0"/>
      <w:marRight w:val="0"/>
      <w:marTop w:val="0"/>
      <w:marBottom w:val="0"/>
      <w:divBdr>
        <w:top w:val="none" w:sz="0" w:space="0" w:color="auto"/>
        <w:left w:val="none" w:sz="0" w:space="0" w:color="auto"/>
        <w:bottom w:val="none" w:sz="0" w:space="0" w:color="auto"/>
        <w:right w:val="none" w:sz="0" w:space="0" w:color="auto"/>
      </w:divBdr>
    </w:div>
    <w:div w:id="1676609774">
      <w:bodyDiv w:val="1"/>
      <w:marLeft w:val="0"/>
      <w:marRight w:val="0"/>
      <w:marTop w:val="0"/>
      <w:marBottom w:val="0"/>
      <w:divBdr>
        <w:top w:val="none" w:sz="0" w:space="0" w:color="auto"/>
        <w:left w:val="none" w:sz="0" w:space="0" w:color="auto"/>
        <w:bottom w:val="none" w:sz="0" w:space="0" w:color="auto"/>
        <w:right w:val="none" w:sz="0" w:space="0" w:color="auto"/>
      </w:divBdr>
    </w:div>
    <w:div w:id="1689982625">
      <w:bodyDiv w:val="1"/>
      <w:marLeft w:val="0"/>
      <w:marRight w:val="0"/>
      <w:marTop w:val="0"/>
      <w:marBottom w:val="0"/>
      <w:divBdr>
        <w:top w:val="none" w:sz="0" w:space="0" w:color="auto"/>
        <w:left w:val="none" w:sz="0" w:space="0" w:color="auto"/>
        <w:bottom w:val="none" w:sz="0" w:space="0" w:color="auto"/>
        <w:right w:val="none" w:sz="0" w:space="0" w:color="auto"/>
      </w:divBdr>
    </w:div>
    <w:div w:id="1723796620">
      <w:bodyDiv w:val="1"/>
      <w:marLeft w:val="0"/>
      <w:marRight w:val="0"/>
      <w:marTop w:val="0"/>
      <w:marBottom w:val="0"/>
      <w:divBdr>
        <w:top w:val="none" w:sz="0" w:space="0" w:color="auto"/>
        <w:left w:val="none" w:sz="0" w:space="0" w:color="auto"/>
        <w:bottom w:val="none" w:sz="0" w:space="0" w:color="auto"/>
        <w:right w:val="none" w:sz="0" w:space="0" w:color="auto"/>
      </w:divBdr>
    </w:div>
    <w:div w:id="1724013981">
      <w:bodyDiv w:val="1"/>
      <w:marLeft w:val="0"/>
      <w:marRight w:val="0"/>
      <w:marTop w:val="0"/>
      <w:marBottom w:val="0"/>
      <w:divBdr>
        <w:top w:val="none" w:sz="0" w:space="0" w:color="auto"/>
        <w:left w:val="none" w:sz="0" w:space="0" w:color="auto"/>
        <w:bottom w:val="none" w:sz="0" w:space="0" w:color="auto"/>
        <w:right w:val="none" w:sz="0" w:space="0" w:color="auto"/>
      </w:divBdr>
    </w:div>
    <w:div w:id="1742174414">
      <w:bodyDiv w:val="1"/>
      <w:marLeft w:val="0"/>
      <w:marRight w:val="0"/>
      <w:marTop w:val="0"/>
      <w:marBottom w:val="0"/>
      <w:divBdr>
        <w:top w:val="none" w:sz="0" w:space="0" w:color="auto"/>
        <w:left w:val="none" w:sz="0" w:space="0" w:color="auto"/>
        <w:bottom w:val="none" w:sz="0" w:space="0" w:color="auto"/>
        <w:right w:val="none" w:sz="0" w:space="0" w:color="auto"/>
      </w:divBdr>
    </w:div>
    <w:div w:id="1759642216">
      <w:bodyDiv w:val="1"/>
      <w:marLeft w:val="0"/>
      <w:marRight w:val="0"/>
      <w:marTop w:val="0"/>
      <w:marBottom w:val="0"/>
      <w:divBdr>
        <w:top w:val="none" w:sz="0" w:space="0" w:color="auto"/>
        <w:left w:val="none" w:sz="0" w:space="0" w:color="auto"/>
        <w:bottom w:val="none" w:sz="0" w:space="0" w:color="auto"/>
        <w:right w:val="none" w:sz="0" w:space="0" w:color="auto"/>
      </w:divBdr>
      <w:divsChild>
        <w:div w:id="409499536">
          <w:marLeft w:val="0"/>
          <w:marRight w:val="0"/>
          <w:marTop w:val="0"/>
          <w:marBottom w:val="0"/>
          <w:divBdr>
            <w:top w:val="none" w:sz="0" w:space="0" w:color="auto"/>
            <w:left w:val="none" w:sz="0" w:space="0" w:color="auto"/>
            <w:bottom w:val="none" w:sz="0" w:space="0" w:color="auto"/>
            <w:right w:val="none" w:sz="0" w:space="0" w:color="auto"/>
          </w:divBdr>
          <w:divsChild>
            <w:div w:id="894313795">
              <w:marLeft w:val="0"/>
              <w:marRight w:val="0"/>
              <w:marTop w:val="0"/>
              <w:marBottom w:val="0"/>
              <w:divBdr>
                <w:top w:val="none" w:sz="0" w:space="0" w:color="auto"/>
                <w:left w:val="none" w:sz="0" w:space="0" w:color="auto"/>
                <w:bottom w:val="none" w:sz="0" w:space="0" w:color="auto"/>
                <w:right w:val="none" w:sz="0" w:space="0" w:color="auto"/>
              </w:divBdr>
            </w:div>
            <w:div w:id="1484933233">
              <w:marLeft w:val="0"/>
              <w:marRight w:val="0"/>
              <w:marTop w:val="0"/>
              <w:marBottom w:val="0"/>
              <w:divBdr>
                <w:top w:val="none" w:sz="0" w:space="0" w:color="auto"/>
                <w:left w:val="none" w:sz="0" w:space="0" w:color="auto"/>
                <w:bottom w:val="none" w:sz="0" w:space="0" w:color="auto"/>
                <w:right w:val="none" w:sz="0" w:space="0" w:color="auto"/>
              </w:divBdr>
            </w:div>
          </w:divsChild>
        </w:div>
        <w:div w:id="1151025809">
          <w:marLeft w:val="0"/>
          <w:marRight w:val="0"/>
          <w:marTop w:val="0"/>
          <w:marBottom w:val="0"/>
          <w:divBdr>
            <w:top w:val="none" w:sz="0" w:space="0" w:color="auto"/>
            <w:left w:val="none" w:sz="0" w:space="0" w:color="auto"/>
            <w:bottom w:val="none" w:sz="0" w:space="0" w:color="auto"/>
            <w:right w:val="none" w:sz="0" w:space="0" w:color="auto"/>
          </w:divBdr>
          <w:divsChild>
            <w:div w:id="1909225699">
              <w:marLeft w:val="0"/>
              <w:marRight w:val="0"/>
              <w:marTop w:val="0"/>
              <w:marBottom w:val="0"/>
              <w:divBdr>
                <w:top w:val="none" w:sz="0" w:space="0" w:color="auto"/>
                <w:left w:val="none" w:sz="0" w:space="0" w:color="auto"/>
                <w:bottom w:val="none" w:sz="0" w:space="0" w:color="auto"/>
                <w:right w:val="none" w:sz="0" w:space="0" w:color="auto"/>
              </w:divBdr>
              <w:divsChild>
                <w:div w:id="1748528165">
                  <w:marLeft w:val="0"/>
                  <w:marRight w:val="0"/>
                  <w:marTop w:val="0"/>
                  <w:marBottom w:val="0"/>
                  <w:divBdr>
                    <w:top w:val="none" w:sz="0" w:space="0" w:color="auto"/>
                    <w:left w:val="none" w:sz="0" w:space="0" w:color="auto"/>
                    <w:bottom w:val="none" w:sz="0" w:space="0" w:color="auto"/>
                    <w:right w:val="none" w:sz="0" w:space="0" w:color="auto"/>
                  </w:divBdr>
                </w:div>
              </w:divsChild>
            </w:div>
            <w:div w:id="1991521016">
              <w:marLeft w:val="0"/>
              <w:marRight w:val="0"/>
              <w:marTop w:val="0"/>
              <w:marBottom w:val="0"/>
              <w:divBdr>
                <w:top w:val="none" w:sz="0" w:space="0" w:color="auto"/>
                <w:left w:val="none" w:sz="0" w:space="0" w:color="auto"/>
                <w:bottom w:val="none" w:sz="0" w:space="0" w:color="auto"/>
                <w:right w:val="none" w:sz="0" w:space="0" w:color="auto"/>
              </w:divBdr>
              <w:divsChild>
                <w:div w:id="59116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095209">
      <w:bodyDiv w:val="1"/>
      <w:marLeft w:val="0"/>
      <w:marRight w:val="0"/>
      <w:marTop w:val="0"/>
      <w:marBottom w:val="0"/>
      <w:divBdr>
        <w:top w:val="none" w:sz="0" w:space="0" w:color="auto"/>
        <w:left w:val="none" w:sz="0" w:space="0" w:color="auto"/>
        <w:bottom w:val="none" w:sz="0" w:space="0" w:color="auto"/>
        <w:right w:val="none" w:sz="0" w:space="0" w:color="auto"/>
      </w:divBdr>
    </w:div>
    <w:div w:id="1780105829">
      <w:bodyDiv w:val="1"/>
      <w:marLeft w:val="0"/>
      <w:marRight w:val="0"/>
      <w:marTop w:val="0"/>
      <w:marBottom w:val="0"/>
      <w:divBdr>
        <w:top w:val="none" w:sz="0" w:space="0" w:color="auto"/>
        <w:left w:val="none" w:sz="0" w:space="0" w:color="auto"/>
        <w:bottom w:val="none" w:sz="0" w:space="0" w:color="auto"/>
        <w:right w:val="none" w:sz="0" w:space="0" w:color="auto"/>
      </w:divBdr>
    </w:div>
    <w:div w:id="1791127685">
      <w:bodyDiv w:val="1"/>
      <w:marLeft w:val="0"/>
      <w:marRight w:val="0"/>
      <w:marTop w:val="0"/>
      <w:marBottom w:val="0"/>
      <w:divBdr>
        <w:top w:val="none" w:sz="0" w:space="0" w:color="auto"/>
        <w:left w:val="none" w:sz="0" w:space="0" w:color="auto"/>
        <w:bottom w:val="none" w:sz="0" w:space="0" w:color="auto"/>
        <w:right w:val="none" w:sz="0" w:space="0" w:color="auto"/>
      </w:divBdr>
    </w:div>
    <w:div w:id="1792477167">
      <w:bodyDiv w:val="1"/>
      <w:marLeft w:val="0"/>
      <w:marRight w:val="0"/>
      <w:marTop w:val="0"/>
      <w:marBottom w:val="0"/>
      <w:divBdr>
        <w:top w:val="none" w:sz="0" w:space="0" w:color="auto"/>
        <w:left w:val="none" w:sz="0" w:space="0" w:color="auto"/>
        <w:bottom w:val="none" w:sz="0" w:space="0" w:color="auto"/>
        <w:right w:val="none" w:sz="0" w:space="0" w:color="auto"/>
      </w:divBdr>
    </w:div>
    <w:div w:id="1795053065">
      <w:bodyDiv w:val="1"/>
      <w:marLeft w:val="0"/>
      <w:marRight w:val="0"/>
      <w:marTop w:val="0"/>
      <w:marBottom w:val="0"/>
      <w:divBdr>
        <w:top w:val="none" w:sz="0" w:space="0" w:color="auto"/>
        <w:left w:val="none" w:sz="0" w:space="0" w:color="auto"/>
        <w:bottom w:val="none" w:sz="0" w:space="0" w:color="auto"/>
        <w:right w:val="none" w:sz="0" w:space="0" w:color="auto"/>
      </w:divBdr>
    </w:div>
    <w:div w:id="1872570084">
      <w:bodyDiv w:val="1"/>
      <w:marLeft w:val="0"/>
      <w:marRight w:val="0"/>
      <w:marTop w:val="0"/>
      <w:marBottom w:val="0"/>
      <w:divBdr>
        <w:top w:val="none" w:sz="0" w:space="0" w:color="auto"/>
        <w:left w:val="none" w:sz="0" w:space="0" w:color="auto"/>
        <w:bottom w:val="none" w:sz="0" w:space="0" w:color="auto"/>
        <w:right w:val="none" w:sz="0" w:space="0" w:color="auto"/>
      </w:divBdr>
    </w:div>
    <w:div w:id="1893885701">
      <w:bodyDiv w:val="1"/>
      <w:marLeft w:val="0"/>
      <w:marRight w:val="0"/>
      <w:marTop w:val="0"/>
      <w:marBottom w:val="0"/>
      <w:divBdr>
        <w:top w:val="none" w:sz="0" w:space="0" w:color="auto"/>
        <w:left w:val="none" w:sz="0" w:space="0" w:color="auto"/>
        <w:bottom w:val="none" w:sz="0" w:space="0" w:color="auto"/>
        <w:right w:val="none" w:sz="0" w:space="0" w:color="auto"/>
      </w:divBdr>
    </w:div>
    <w:div w:id="1894729143">
      <w:bodyDiv w:val="1"/>
      <w:marLeft w:val="0"/>
      <w:marRight w:val="0"/>
      <w:marTop w:val="0"/>
      <w:marBottom w:val="0"/>
      <w:divBdr>
        <w:top w:val="none" w:sz="0" w:space="0" w:color="auto"/>
        <w:left w:val="none" w:sz="0" w:space="0" w:color="auto"/>
        <w:bottom w:val="none" w:sz="0" w:space="0" w:color="auto"/>
        <w:right w:val="none" w:sz="0" w:space="0" w:color="auto"/>
      </w:divBdr>
    </w:div>
    <w:div w:id="1906336507">
      <w:bodyDiv w:val="1"/>
      <w:marLeft w:val="0"/>
      <w:marRight w:val="0"/>
      <w:marTop w:val="0"/>
      <w:marBottom w:val="0"/>
      <w:divBdr>
        <w:top w:val="none" w:sz="0" w:space="0" w:color="auto"/>
        <w:left w:val="none" w:sz="0" w:space="0" w:color="auto"/>
        <w:bottom w:val="none" w:sz="0" w:space="0" w:color="auto"/>
        <w:right w:val="none" w:sz="0" w:space="0" w:color="auto"/>
      </w:divBdr>
    </w:div>
    <w:div w:id="1913351795">
      <w:bodyDiv w:val="1"/>
      <w:marLeft w:val="0"/>
      <w:marRight w:val="0"/>
      <w:marTop w:val="0"/>
      <w:marBottom w:val="0"/>
      <w:divBdr>
        <w:top w:val="none" w:sz="0" w:space="0" w:color="auto"/>
        <w:left w:val="none" w:sz="0" w:space="0" w:color="auto"/>
        <w:bottom w:val="none" w:sz="0" w:space="0" w:color="auto"/>
        <w:right w:val="none" w:sz="0" w:space="0" w:color="auto"/>
      </w:divBdr>
    </w:div>
    <w:div w:id="1918132910">
      <w:bodyDiv w:val="1"/>
      <w:marLeft w:val="0"/>
      <w:marRight w:val="0"/>
      <w:marTop w:val="0"/>
      <w:marBottom w:val="0"/>
      <w:divBdr>
        <w:top w:val="none" w:sz="0" w:space="0" w:color="auto"/>
        <w:left w:val="none" w:sz="0" w:space="0" w:color="auto"/>
        <w:bottom w:val="none" w:sz="0" w:space="0" w:color="auto"/>
        <w:right w:val="none" w:sz="0" w:space="0" w:color="auto"/>
      </w:divBdr>
    </w:div>
    <w:div w:id="1938711576">
      <w:bodyDiv w:val="1"/>
      <w:marLeft w:val="0"/>
      <w:marRight w:val="0"/>
      <w:marTop w:val="0"/>
      <w:marBottom w:val="0"/>
      <w:divBdr>
        <w:top w:val="none" w:sz="0" w:space="0" w:color="auto"/>
        <w:left w:val="none" w:sz="0" w:space="0" w:color="auto"/>
        <w:bottom w:val="none" w:sz="0" w:space="0" w:color="auto"/>
        <w:right w:val="none" w:sz="0" w:space="0" w:color="auto"/>
      </w:divBdr>
    </w:div>
    <w:div w:id="1954045386">
      <w:bodyDiv w:val="1"/>
      <w:marLeft w:val="0"/>
      <w:marRight w:val="0"/>
      <w:marTop w:val="0"/>
      <w:marBottom w:val="0"/>
      <w:divBdr>
        <w:top w:val="none" w:sz="0" w:space="0" w:color="auto"/>
        <w:left w:val="none" w:sz="0" w:space="0" w:color="auto"/>
        <w:bottom w:val="none" w:sz="0" w:space="0" w:color="auto"/>
        <w:right w:val="none" w:sz="0" w:space="0" w:color="auto"/>
      </w:divBdr>
    </w:div>
    <w:div w:id="1994022760">
      <w:bodyDiv w:val="1"/>
      <w:marLeft w:val="0"/>
      <w:marRight w:val="0"/>
      <w:marTop w:val="0"/>
      <w:marBottom w:val="0"/>
      <w:divBdr>
        <w:top w:val="none" w:sz="0" w:space="0" w:color="auto"/>
        <w:left w:val="none" w:sz="0" w:space="0" w:color="auto"/>
        <w:bottom w:val="none" w:sz="0" w:space="0" w:color="auto"/>
        <w:right w:val="none" w:sz="0" w:space="0" w:color="auto"/>
      </w:divBdr>
    </w:div>
    <w:div w:id="1999383079">
      <w:bodyDiv w:val="1"/>
      <w:marLeft w:val="0"/>
      <w:marRight w:val="0"/>
      <w:marTop w:val="0"/>
      <w:marBottom w:val="0"/>
      <w:divBdr>
        <w:top w:val="none" w:sz="0" w:space="0" w:color="auto"/>
        <w:left w:val="none" w:sz="0" w:space="0" w:color="auto"/>
        <w:bottom w:val="none" w:sz="0" w:space="0" w:color="auto"/>
        <w:right w:val="none" w:sz="0" w:space="0" w:color="auto"/>
      </w:divBdr>
    </w:div>
    <w:div w:id="2001738422">
      <w:bodyDiv w:val="1"/>
      <w:marLeft w:val="0"/>
      <w:marRight w:val="0"/>
      <w:marTop w:val="0"/>
      <w:marBottom w:val="0"/>
      <w:divBdr>
        <w:top w:val="none" w:sz="0" w:space="0" w:color="auto"/>
        <w:left w:val="none" w:sz="0" w:space="0" w:color="auto"/>
        <w:bottom w:val="none" w:sz="0" w:space="0" w:color="auto"/>
        <w:right w:val="none" w:sz="0" w:space="0" w:color="auto"/>
      </w:divBdr>
    </w:div>
    <w:div w:id="2019505352">
      <w:bodyDiv w:val="1"/>
      <w:marLeft w:val="0"/>
      <w:marRight w:val="0"/>
      <w:marTop w:val="0"/>
      <w:marBottom w:val="0"/>
      <w:divBdr>
        <w:top w:val="none" w:sz="0" w:space="0" w:color="auto"/>
        <w:left w:val="none" w:sz="0" w:space="0" w:color="auto"/>
        <w:bottom w:val="none" w:sz="0" w:space="0" w:color="auto"/>
        <w:right w:val="none" w:sz="0" w:space="0" w:color="auto"/>
      </w:divBdr>
    </w:div>
    <w:div w:id="2020964838">
      <w:bodyDiv w:val="1"/>
      <w:marLeft w:val="0"/>
      <w:marRight w:val="0"/>
      <w:marTop w:val="0"/>
      <w:marBottom w:val="0"/>
      <w:divBdr>
        <w:top w:val="none" w:sz="0" w:space="0" w:color="auto"/>
        <w:left w:val="none" w:sz="0" w:space="0" w:color="auto"/>
        <w:bottom w:val="none" w:sz="0" w:space="0" w:color="auto"/>
        <w:right w:val="none" w:sz="0" w:space="0" w:color="auto"/>
      </w:divBdr>
    </w:div>
    <w:div w:id="2032880099">
      <w:bodyDiv w:val="1"/>
      <w:marLeft w:val="0"/>
      <w:marRight w:val="0"/>
      <w:marTop w:val="0"/>
      <w:marBottom w:val="0"/>
      <w:divBdr>
        <w:top w:val="none" w:sz="0" w:space="0" w:color="auto"/>
        <w:left w:val="none" w:sz="0" w:space="0" w:color="auto"/>
        <w:bottom w:val="none" w:sz="0" w:space="0" w:color="auto"/>
        <w:right w:val="none" w:sz="0" w:space="0" w:color="auto"/>
      </w:divBdr>
    </w:div>
    <w:div w:id="2034912180">
      <w:bodyDiv w:val="1"/>
      <w:marLeft w:val="0"/>
      <w:marRight w:val="0"/>
      <w:marTop w:val="0"/>
      <w:marBottom w:val="0"/>
      <w:divBdr>
        <w:top w:val="none" w:sz="0" w:space="0" w:color="auto"/>
        <w:left w:val="none" w:sz="0" w:space="0" w:color="auto"/>
        <w:bottom w:val="none" w:sz="0" w:space="0" w:color="auto"/>
        <w:right w:val="none" w:sz="0" w:space="0" w:color="auto"/>
      </w:divBdr>
    </w:div>
    <w:div w:id="2038390763">
      <w:bodyDiv w:val="1"/>
      <w:marLeft w:val="0"/>
      <w:marRight w:val="0"/>
      <w:marTop w:val="0"/>
      <w:marBottom w:val="0"/>
      <w:divBdr>
        <w:top w:val="none" w:sz="0" w:space="0" w:color="auto"/>
        <w:left w:val="none" w:sz="0" w:space="0" w:color="auto"/>
        <w:bottom w:val="none" w:sz="0" w:space="0" w:color="auto"/>
        <w:right w:val="none" w:sz="0" w:space="0" w:color="auto"/>
      </w:divBdr>
    </w:div>
    <w:div w:id="2040427607">
      <w:bodyDiv w:val="1"/>
      <w:marLeft w:val="0"/>
      <w:marRight w:val="0"/>
      <w:marTop w:val="0"/>
      <w:marBottom w:val="0"/>
      <w:divBdr>
        <w:top w:val="none" w:sz="0" w:space="0" w:color="auto"/>
        <w:left w:val="none" w:sz="0" w:space="0" w:color="auto"/>
        <w:bottom w:val="none" w:sz="0" w:space="0" w:color="auto"/>
        <w:right w:val="none" w:sz="0" w:space="0" w:color="auto"/>
      </w:divBdr>
    </w:div>
    <w:div w:id="2049913389">
      <w:bodyDiv w:val="1"/>
      <w:marLeft w:val="0"/>
      <w:marRight w:val="0"/>
      <w:marTop w:val="0"/>
      <w:marBottom w:val="0"/>
      <w:divBdr>
        <w:top w:val="none" w:sz="0" w:space="0" w:color="auto"/>
        <w:left w:val="none" w:sz="0" w:space="0" w:color="auto"/>
        <w:bottom w:val="none" w:sz="0" w:space="0" w:color="auto"/>
        <w:right w:val="none" w:sz="0" w:space="0" w:color="auto"/>
      </w:divBdr>
    </w:div>
    <w:div w:id="2054502822">
      <w:bodyDiv w:val="1"/>
      <w:marLeft w:val="0"/>
      <w:marRight w:val="0"/>
      <w:marTop w:val="0"/>
      <w:marBottom w:val="0"/>
      <w:divBdr>
        <w:top w:val="none" w:sz="0" w:space="0" w:color="auto"/>
        <w:left w:val="none" w:sz="0" w:space="0" w:color="auto"/>
        <w:bottom w:val="none" w:sz="0" w:space="0" w:color="auto"/>
        <w:right w:val="none" w:sz="0" w:space="0" w:color="auto"/>
      </w:divBdr>
    </w:div>
    <w:div w:id="2059234671">
      <w:bodyDiv w:val="1"/>
      <w:marLeft w:val="0"/>
      <w:marRight w:val="0"/>
      <w:marTop w:val="0"/>
      <w:marBottom w:val="0"/>
      <w:divBdr>
        <w:top w:val="none" w:sz="0" w:space="0" w:color="auto"/>
        <w:left w:val="none" w:sz="0" w:space="0" w:color="auto"/>
        <w:bottom w:val="none" w:sz="0" w:space="0" w:color="auto"/>
        <w:right w:val="none" w:sz="0" w:space="0" w:color="auto"/>
      </w:divBdr>
    </w:div>
    <w:div w:id="2068334251">
      <w:bodyDiv w:val="1"/>
      <w:marLeft w:val="0"/>
      <w:marRight w:val="0"/>
      <w:marTop w:val="0"/>
      <w:marBottom w:val="0"/>
      <w:divBdr>
        <w:top w:val="none" w:sz="0" w:space="0" w:color="auto"/>
        <w:left w:val="none" w:sz="0" w:space="0" w:color="auto"/>
        <w:bottom w:val="none" w:sz="0" w:space="0" w:color="auto"/>
        <w:right w:val="none" w:sz="0" w:space="0" w:color="auto"/>
      </w:divBdr>
    </w:div>
    <w:div w:id="2079401512">
      <w:bodyDiv w:val="1"/>
      <w:marLeft w:val="0"/>
      <w:marRight w:val="0"/>
      <w:marTop w:val="0"/>
      <w:marBottom w:val="0"/>
      <w:divBdr>
        <w:top w:val="none" w:sz="0" w:space="0" w:color="auto"/>
        <w:left w:val="none" w:sz="0" w:space="0" w:color="auto"/>
        <w:bottom w:val="none" w:sz="0" w:space="0" w:color="auto"/>
        <w:right w:val="none" w:sz="0" w:space="0" w:color="auto"/>
      </w:divBdr>
    </w:div>
    <w:div w:id="2084642280">
      <w:bodyDiv w:val="1"/>
      <w:marLeft w:val="0"/>
      <w:marRight w:val="0"/>
      <w:marTop w:val="0"/>
      <w:marBottom w:val="0"/>
      <w:divBdr>
        <w:top w:val="none" w:sz="0" w:space="0" w:color="auto"/>
        <w:left w:val="none" w:sz="0" w:space="0" w:color="auto"/>
        <w:bottom w:val="none" w:sz="0" w:space="0" w:color="auto"/>
        <w:right w:val="none" w:sz="0" w:space="0" w:color="auto"/>
      </w:divBdr>
    </w:div>
    <w:div w:id="2086419421">
      <w:bodyDiv w:val="1"/>
      <w:marLeft w:val="0"/>
      <w:marRight w:val="0"/>
      <w:marTop w:val="0"/>
      <w:marBottom w:val="0"/>
      <w:divBdr>
        <w:top w:val="none" w:sz="0" w:space="0" w:color="auto"/>
        <w:left w:val="none" w:sz="0" w:space="0" w:color="auto"/>
        <w:bottom w:val="none" w:sz="0" w:space="0" w:color="auto"/>
        <w:right w:val="none" w:sz="0" w:space="0" w:color="auto"/>
      </w:divBdr>
    </w:div>
    <w:div w:id="2087217192">
      <w:bodyDiv w:val="1"/>
      <w:marLeft w:val="0"/>
      <w:marRight w:val="0"/>
      <w:marTop w:val="0"/>
      <w:marBottom w:val="0"/>
      <w:divBdr>
        <w:top w:val="none" w:sz="0" w:space="0" w:color="auto"/>
        <w:left w:val="none" w:sz="0" w:space="0" w:color="auto"/>
        <w:bottom w:val="none" w:sz="0" w:space="0" w:color="auto"/>
        <w:right w:val="none" w:sz="0" w:space="0" w:color="auto"/>
      </w:divBdr>
    </w:div>
    <w:div w:id="2091656357">
      <w:bodyDiv w:val="1"/>
      <w:marLeft w:val="0"/>
      <w:marRight w:val="0"/>
      <w:marTop w:val="0"/>
      <w:marBottom w:val="0"/>
      <w:divBdr>
        <w:top w:val="none" w:sz="0" w:space="0" w:color="auto"/>
        <w:left w:val="none" w:sz="0" w:space="0" w:color="auto"/>
        <w:bottom w:val="none" w:sz="0" w:space="0" w:color="auto"/>
        <w:right w:val="none" w:sz="0" w:space="0" w:color="auto"/>
      </w:divBdr>
    </w:div>
    <w:div w:id="2097092719">
      <w:bodyDiv w:val="1"/>
      <w:marLeft w:val="0"/>
      <w:marRight w:val="0"/>
      <w:marTop w:val="0"/>
      <w:marBottom w:val="0"/>
      <w:divBdr>
        <w:top w:val="none" w:sz="0" w:space="0" w:color="auto"/>
        <w:left w:val="none" w:sz="0" w:space="0" w:color="auto"/>
        <w:bottom w:val="none" w:sz="0" w:space="0" w:color="auto"/>
        <w:right w:val="none" w:sz="0" w:space="0" w:color="auto"/>
      </w:divBdr>
    </w:div>
    <w:div w:id="2106076429">
      <w:bodyDiv w:val="1"/>
      <w:marLeft w:val="0"/>
      <w:marRight w:val="0"/>
      <w:marTop w:val="0"/>
      <w:marBottom w:val="0"/>
      <w:divBdr>
        <w:top w:val="none" w:sz="0" w:space="0" w:color="auto"/>
        <w:left w:val="none" w:sz="0" w:space="0" w:color="auto"/>
        <w:bottom w:val="none" w:sz="0" w:space="0" w:color="auto"/>
        <w:right w:val="none" w:sz="0" w:space="0" w:color="auto"/>
      </w:divBdr>
    </w:div>
    <w:div w:id="2131169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hyperlink" Target="http://www9.health.gov.au/mbs/fullDisplay.cfm?type=note&amp;q=IN.0.19&amp;qt=noteID&amp;criteria=IN%2E0%2E19" TargetMode="External"/><Relationship Id="rId26" Type="http://schemas.openxmlformats.org/officeDocument/2006/relationships/hyperlink" Target="https://doi.org/10.1002/jso.23735" TargetMode="External"/><Relationship Id="rId3" Type="http://schemas.openxmlformats.org/officeDocument/2006/relationships/styles" Target="styles.xml"/><Relationship Id="rId21" Type="http://schemas.openxmlformats.org/officeDocument/2006/relationships/hyperlink" Target="https://www.cancer.net/cancer-types/hereditary-papillary-renal-carcinoma"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eviq.org.au/cancer-genetics/adult/risk-management/1657-fh-hereditary-leiomyomatosis-and-renal-cell" TargetMode="External"/><Relationship Id="rId17" Type="http://schemas.openxmlformats.org/officeDocument/2006/relationships/hyperlink" Target="http://www9.health.gov.au/mbs/fullDisplay.cfm?type=note&amp;q=IN.0.19&amp;qt=noteID&amp;criteria=IN%2E0%2E19" TargetMode="External"/><Relationship Id="rId25" Type="http://schemas.openxmlformats.org/officeDocument/2006/relationships/hyperlink" Target="https://medlineplus.gov/genetics/condition/hereditary-paraganglioma-pheochromocytoma/"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https://www.cancer.net/cancer-types/cowden-syndrom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viq.org.au/cancer-genetics/adult/risk-management/1657-fh-hereditary-leiomyomatosis-and-renal-cell" TargetMode="External"/><Relationship Id="rId24" Type="http://schemas.openxmlformats.org/officeDocument/2006/relationships/hyperlink" Target="https://medlineplus.gov/genetics/condition/hereditary-leiomyomatosis-and-renal-cell-cancer/"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yperlink" Target="https://doi.org/10.1002/cncr.24230" TargetMode="External"/><Relationship Id="rId28" Type="http://schemas.openxmlformats.org/officeDocument/2006/relationships/hyperlink" Target="https://www.vhl.org/wp-content/uploads/2020/10/Active-Surveillance-Guidelines-2020.pdf" TargetMode="External"/><Relationship Id="rId36" Type="http://schemas.openxmlformats.org/officeDocument/2006/relationships/theme" Target="theme/theme1.xml"/><Relationship Id="rId10" Type="http://schemas.openxmlformats.org/officeDocument/2006/relationships/hyperlink" Target="https://www.eviq.org.au/cancer-genetics/adult/risk-management/546-pten-pten-hamartoma-cowden-risk-management" TargetMode="External"/><Relationship Id="rId19" Type="http://schemas.openxmlformats.org/officeDocument/2006/relationships/hyperlink" Target="http://www9.health.gov.au/mbs/fullDisplay.cfm?type=note&amp;q=IN.0.19&amp;qt=noteID&amp;criteria=IN%2E0%2E19"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mim.org/" TargetMode="External"/><Relationship Id="rId14" Type="http://schemas.openxmlformats.org/officeDocument/2006/relationships/image" Target="media/image3.emf"/><Relationship Id="rId22" Type="http://schemas.openxmlformats.org/officeDocument/2006/relationships/hyperlink" Target="http://dx.doi.org/10.1016/j.juro.2015.07.126" TargetMode="External"/><Relationship Id="rId27" Type="http://schemas.openxmlformats.org/officeDocument/2006/relationships/hyperlink" Target="https://www.ncbi.nlm.nih.gov/books/NBK390611/"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CD993-2767-431F-AEA9-782F9F7B4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13188</Words>
  <Characters>75175</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2022-07-14T01:30:00Z</dcterms:created>
  <dcterms:modified xsi:type="dcterms:W3CDTF">2022-07-28T04:47:00Z</dcterms:modified>
</cp:coreProperties>
</file>