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E44B80" w:rsidRPr="00F637B3" w:rsidRDefault="00E44B80" w:rsidP="00E44B80">
      <w:pPr>
        <w:jc w:val="center"/>
        <w:rPr>
          <w:b/>
          <w:szCs w:val="20"/>
        </w:rPr>
      </w:pPr>
      <w:r w:rsidRPr="00F637B3">
        <w:rPr>
          <w:b/>
          <w:noProof/>
          <w:szCs w:val="20"/>
          <w:lang w:val="en-US"/>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A5E4960" w14:textId="10B914DE" w:rsidR="00D2259A" w:rsidRDefault="3ED6BC99" w:rsidP="00D2259A">
      <w:pPr>
        <w:pStyle w:val="Title"/>
        <w:spacing w:before="2600"/>
        <w:rPr>
          <w:color w:val="FF0000"/>
          <w:sz w:val="28"/>
          <w:szCs w:val="28"/>
        </w:rPr>
      </w:pPr>
      <w:r>
        <w:t xml:space="preserve">Application </w:t>
      </w:r>
      <w:r w:rsidR="00D6440D">
        <w:t>1702</w:t>
      </w:r>
    </w:p>
    <w:p w14:paraId="12D7478B" w14:textId="61140BD0" w:rsidR="00E44B80" w:rsidRPr="00D6440D" w:rsidRDefault="00D6440D" w:rsidP="00D6440D">
      <w:pPr>
        <w:pStyle w:val="TitleBlue"/>
        <w:spacing w:before="840" w:after="840"/>
      </w:pPr>
      <w:r>
        <w:t>A</w:t>
      </w:r>
      <w:r w:rsidRPr="00D6440D">
        <w:t xml:space="preserve">bdominal </w:t>
      </w:r>
      <w:r>
        <w:t>MRI</w:t>
      </w:r>
      <w:r w:rsidRPr="00D6440D">
        <w:t xml:space="preserve"> for rare genetic conditions associated with increased risk of renal tumours</w:t>
      </w:r>
    </w:p>
    <w:p w14:paraId="78F18630"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1168F0AA" w14:textId="77777777" w:rsidR="008B2610" w:rsidRPr="00154B00" w:rsidRDefault="008B2610" w:rsidP="003F7CB9">
      <w:r w:rsidRPr="00154B00">
        <w:t>Please use this template, along with the associ</w:t>
      </w:r>
      <w:r w:rsidR="003B605D">
        <w:t xml:space="preserve">ated </w:t>
      </w:r>
      <w:r w:rsidR="003B605D" w:rsidRPr="003B605D">
        <w:rPr>
          <w:u w:val="single"/>
        </w:rPr>
        <w:t>Application Form Instructions</w:t>
      </w:r>
      <w:r w:rsidRPr="00154B00">
        <w:t xml:space="preserve"> to prepare your application.  Please complete all questions that are applicable to the proposed service, providing relevant information only.</w:t>
      </w:r>
      <w:r w:rsidR="009F5758" w:rsidRPr="00154B00">
        <w:t xml:space="preserve">  Applications not completed in full will not be accepted.</w:t>
      </w:r>
      <w:r w:rsidR="003B605D" w:rsidRPr="003B605D">
        <w:t xml:space="preserve"> The separate </w:t>
      </w:r>
      <w:r w:rsidR="003B605D" w:rsidRPr="003B605D">
        <w:rPr>
          <w:u w:val="single"/>
        </w:rPr>
        <w:t>MSAC Guidelines</w:t>
      </w:r>
      <w:r w:rsidR="003B605D" w:rsidRPr="003B605D">
        <w:t xml:space="preserve"> should be used to guide health technology assessment (HTA) content of the Application Form</w:t>
      </w:r>
    </w:p>
    <w:p w14:paraId="0B9640A4"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w:t>
      </w:r>
      <w:r w:rsidR="003B605D">
        <w:t xml:space="preserve">eam) on the </w:t>
      </w:r>
      <w:r w:rsidR="008B2610" w:rsidRPr="00154B00">
        <w:t>email below to discuss</w:t>
      </w:r>
      <w:r w:rsidRPr="00154B00">
        <w:t xml:space="preserve"> the application form, or any other component of the Medical Services Advisory Committee process.</w:t>
      </w:r>
    </w:p>
    <w:p w14:paraId="5DAB6C7B" w14:textId="77777777" w:rsidR="009F5758" w:rsidRPr="00154B00" w:rsidRDefault="009F5758" w:rsidP="003F7CB9">
      <w:pPr>
        <w:spacing w:before="0" w:after="0"/>
      </w:pPr>
    </w:p>
    <w:p w14:paraId="5142BFF8" w14:textId="77777777" w:rsidR="009F5758" w:rsidRPr="00154B00" w:rsidRDefault="009F5758" w:rsidP="003F7CB9">
      <w:pPr>
        <w:spacing w:before="0" w:after="0"/>
      </w:pPr>
      <w:r w:rsidRPr="00154B00">
        <w:t xml:space="preserve">Email:  </w:t>
      </w:r>
      <w:hyperlink r:id="rId12" w:tooltip="click here to email the Department of Health HTA Team" w:history="1">
        <w:r w:rsidRPr="00154B00">
          <w:rPr>
            <w:rStyle w:val="Hyperlink"/>
            <w:szCs w:val="20"/>
          </w:rPr>
          <w:t>hta@health.gov.au</w:t>
        </w:r>
      </w:hyperlink>
    </w:p>
    <w:p w14:paraId="1F205E43" w14:textId="77777777" w:rsidR="009F5758" w:rsidRPr="00154B00" w:rsidRDefault="009F5758" w:rsidP="003F7CB9">
      <w:pPr>
        <w:spacing w:before="0" w:after="0"/>
      </w:pPr>
      <w:r w:rsidRPr="00154B00">
        <w:t xml:space="preserve">Website:  </w:t>
      </w:r>
      <w:hyperlink r:id="rId13"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41FEA6A9"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6DFF2B21"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4088EF49" w14:textId="133528C4" w:rsidR="00C171FB" w:rsidRPr="00D2259A" w:rsidRDefault="39E8EA54" w:rsidP="00C171FB">
      <w:pPr>
        <w:pBdr>
          <w:top w:val="single" w:sz="4" w:space="1" w:color="auto"/>
          <w:left w:val="single" w:sz="4" w:space="4" w:color="auto"/>
          <w:bottom w:val="single" w:sz="4" w:space="1" w:color="auto"/>
          <w:right w:val="single" w:sz="4" w:space="4" w:color="auto"/>
        </w:pBdr>
        <w:rPr>
          <w:color w:val="000000" w:themeColor="text1"/>
        </w:rPr>
      </w:pPr>
      <w:r>
        <w:t xml:space="preserve">Corporation / partnership details (where relevant): </w:t>
      </w:r>
      <w:r w:rsidR="45013C23" w:rsidRPr="00D2259A">
        <w:rPr>
          <w:color w:val="000000" w:themeColor="text1"/>
        </w:rPr>
        <w:t xml:space="preserve">Rare Voices Australia </w:t>
      </w:r>
    </w:p>
    <w:p w14:paraId="5BA7AD2D" w14:textId="0F3E6449"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68721B">
        <w:t>Rare Voices Australia</w:t>
      </w:r>
    </w:p>
    <w:p w14:paraId="289DE2D0" w14:textId="3E03741A"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145AFC">
        <w:t>69</w:t>
      </w:r>
      <w:r w:rsidR="00986521">
        <w:t xml:space="preserve"> 156 254303</w:t>
      </w:r>
    </w:p>
    <w:p w14:paraId="472AE5EE" w14:textId="04D5EF8B"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986521">
        <w:t>Rare Voices Australia</w:t>
      </w:r>
    </w:p>
    <w:p w14:paraId="45643124" w14:textId="68392478" w:rsidR="00C171FB" w:rsidRPr="00C171FB" w:rsidRDefault="00D6440D" w:rsidP="00C171FB">
      <w:pPr>
        <w:rPr>
          <w:b/>
        </w:rPr>
      </w:pPr>
      <w:r w:rsidRPr="00D6440D">
        <w:rPr>
          <w:b/>
        </w:rPr>
        <w:t>Primary contact name: REDACTED</w:t>
      </w:r>
    </w:p>
    <w:p w14:paraId="441E266E"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6C290EC6" w14:textId="65D49A4F" w:rsidR="00C171FB" w:rsidRPr="00FD38AC" w:rsidRDefault="00C171FB" w:rsidP="00C171FB">
      <w:pPr>
        <w:pBdr>
          <w:top w:val="single" w:sz="4" w:space="1" w:color="auto"/>
          <w:left w:val="single" w:sz="4" w:space="4" w:color="auto"/>
          <w:bottom w:val="single" w:sz="4" w:space="1" w:color="auto"/>
          <w:right w:val="single" w:sz="4" w:space="4" w:color="auto"/>
        </w:pBdr>
        <w:rPr>
          <w:b/>
          <w:bCs/>
        </w:rPr>
      </w:pPr>
      <w:r>
        <w:t xml:space="preserve">Business: </w:t>
      </w:r>
      <w:r w:rsidR="00FD38AC" w:rsidRPr="00FD38AC">
        <w:rPr>
          <w:b/>
          <w:bCs/>
          <w:highlight w:val="lightGray"/>
        </w:rPr>
        <w:t>REDACTED</w:t>
      </w:r>
    </w:p>
    <w:p w14:paraId="1BDE9E97" w14:textId="79CAC151" w:rsidR="00C171FB" w:rsidRPr="00FD38AC" w:rsidRDefault="00C171FB" w:rsidP="00C171FB">
      <w:pPr>
        <w:pBdr>
          <w:top w:val="single" w:sz="4" w:space="1" w:color="auto"/>
          <w:left w:val="single" w:sz="4" w:space="4" w:color="auto"/>
          <w:bottom w:val="single" w:sz="4" w:space="1" w:color="auto"/>
          <w:right w:val="single" w:sz="4" w:space="4" w:color="auto"/>
        </w:pBdr>
        <w:rPr>
          <w:b/>
          <w:bCs/>
        </w:rPr>
      </w:pPr>
      <w:r>
        <w:t>Mobile:</w:t>
      </w:r>
      <w:r w:rsidR="00FD38AC" w:rsidRPr="00FD38AC">
        <w:rPr>
          <w:b/>
          <w:bCs/>
          <w:highlight w:val="lightGray"/>
        </w:rPr>
        <w:t xml:space="preserve"> REDACTED</w:t>
      </w:r>
    </w:p>
    <w:p w14:paraId="6A05A809" w14:textId="41E938CB" w:rsidR="00C171FB" w:rsidRPr="00FD38AC" w:rsidRDefault="00C171FB" w:rsidP="00FD38AC">
      <w:pPr>
        <w:pBdr>
          <w:top w:val="single" w:sz="4" w:space="1" w:color="auto"/>
          <w:left w:val="single" w:sz="4" w:space="4" w:color="auto"/>
          <w:bottom w:val="single" w:sz="4" w:space="1" w:color="auto"/>
          <w:right w:val="single" w:sz="4" w:space="4" w:color="auto"/>
        </w:pBdr>
        <w:rPr>
          <w:b/>
          <w:bCs/>
        </w:rPr>
      </w:pPr>
      <w:r>
        <w:t xml:space="preserve">Email: </w:t>
      </w:r>
      <w:r w:rsidR="00FD38AC" w:rsidRPr="00FD38AC">
        <w:rPr>
          <w:b/>
          <w:bCs/>
          <w:highlight w:val="lightGray"/>
        </w:rPr>
        <w:t>REDACTED</w:t>
      </w:r>
    </w:p>
    <w:p w14:paraId="4DFD5ACE" w14:textId="58B9E4F3" w:rsidR="00C171FB" w:rsidRPr="00C171FB" w:rsidRDefault="00D6440D" w:rsidP="00C171FB">
      <w:pPr>
        <w:rPr>
          <w:b/>
        </w:rPr>
      </w:pPr>
      <w:r w:rsidRPr="00D6440D">
        <w:rPr>
          <w:b/>
        </w:rPr>
        <w:t>Alternative contact name: REDACTED</w:t>
      </w:r>
    </w:p>
    <w:p w14:paraId="1F72C1C3"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7F2DB230" w14:textId="57340714" w:rsidR="00FD38AC" w:rsidRPr="00FD38AC" w:rsidRDefault="00C171FB" w:rsidP="00FD38AC">
      <w:pPr>
        <w:pBdr>
          <w:top w:val="single" w:sz="4" w:space="1" w:color="auto"/>
          <w:left w:val="single" w:sz="4" w:space="4" w:color="auto"/>
          <w:bottom w:val="single" w:sz="4" w:space="1" w:color="auto"/>
          <w:right w:val="single" w:sz="4" w:space="4" w:color="auto"/>
        </w:pBdr>
        <w:rPr>
          <w:b/>
          <w:bCs/>
        </w:rPr>
      </w:pPr>
      <w:r>
        <w:t>Business</w:t>
      </w:r>
      <w:r w:rsidR="00FD38AC" w:rsidRPr="00FD38AC">
        <w:rPr>
          <w:b/>
          <w:bCs/>
          <w:highlight w:val="lightGray"/>
        </w:rPr>
        <w:t xml:space="preserve"> REDACTED</w:t>
      </w:r>
    </w:p>
    <w:p w14:paraId="344E7DF0" w14:textId="559B0947" w:rsidR="00C171FB" w:rsidRPr="00FD38AC" w:rsidRDefault="00C171FB" w:rsidP="00C171FB">
      <w:pPr>
        <w:pBdr>
          <w:top w:val="single" w:sz="4" w:space="1" w:color="auto"/>
          <w:left w:val="single" w:sz="4" w:space="4" w:color="auto"/>
          <w:bottom w:val="single" w:sz="4" w:space="1" w:color="auto"/>
          <w:right w:val="single" w:sz="4" w:space="4" w:color="auto"/>
        </w:pBdr>
        <w:rPr>
          <w:b/>
          <w:bCs/>
        </w:rPr>
      </w:pPr>
      <w:r>
        <w:t>Mobile</w:t>
      </w:r>
      <w:r w:rsidR="00FD38AC" w:rsidRPr="00FD38AC">
        <w:rPr>
          <w:b/>
          <w:bCs/>
          <w:highlight w:val="lightGray"/>
        </w:rPr>
        <w:t xml:space="preserve"> REDACTED</w:t>
      </w:r>
    </w:p>
    <w:p w14:paraId="1C6FD1B8" w14:textId="79411729" w:rsidR="00C171FB" w:rsidRPr="00FD38AC" w:rsidRDefault="00C171FB" w:rsidP="00C171FB">
      <w:pPr>
        <w:pBdr>
          <w:top w:val="single" w:sz="4" w:space="1" w:color="auto"/>
          <w:left w:val="single" w:sz="4" w:space="4" w:color="auto"/>
          <w:bottom w:val="single" w:sz="4" w:space="1" w:color="auto"/>
          <w:right w:val="single" w:sz="4" w:space="4" w:color="auto"/>
        </w:pBdr>
        <w:rPr>
          <w:b/>
          <w:bCs/>
        </w:rPr>
      </w:pPr>
      <w:r>
        <w:t>Email</w:t>
      </w:r>
      <w:r w:rsidR="00FD38AC" w:rsidRPr="00FD38AC">
        <w:rPr>
          <w:b/>
          <w:bCs/>
          <w:highlight w:val="lightGray"/>
        </w:rPr>
        <w:t xml:space="preserve"> REDACTED</w:t>
      </w:r>
    </w:p>
    <w:p w14:paraId="5A39BBE3" w14:textId="77777777" w:rsidR="00C171FB" w:rsidRPr="00C171FB" w:rsidRDefault="00C171FB" w:rsidP="00C171FB"/>
    <w:p w14:paraId="64A25537" w14:textId="77777777" w:rsidR="00AD2E85" w:rsidRDefault="00AD2E85" w:rsidP="004A0BF4">
      <w:pPr>
        <w:pStyle w:val="Heading2"/>
      </w:pPr>
      <w:r>
        <w:t xml:space="preserve">(a) </w:t>
      </w:r>
      <w:r w:rsidRPr="00AD2E85">
        <w:t>Are you a consultant acting on behalf on an applicant?</w:t>
      </w:r>
    </w:p>
    <w:p w14:paraId="6C5CCC8E" w14:textId="77777777" w:rsidR="00AD2E85" w:rsidRDefault="00AD2E85" w:rsidP="00AD2E85">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F1E2E">
        <w:rPr>
          <w:szCs w:val="20"/>
        </w:rPr>
      </w:r>
      <w:r w:rsidR="000F1E2E">
        <w:rPr>
          <w:szCs w:val="20"/>
        </w:rPr>
        <w:fldChar w:fldCharType="separate"/>
      </w:r>
      <w:r w:rsidRPr="00753C44">
        <w:rPr>
          <w:szCs w:val="20"/>
        </w:rPr>
        <w:fldChar w:fldCharType="end"/>
      </w:r>
      <w:r>
        <w:rPr>
          <w:szCs w:val="20"/>
        </w:rPr>
        <w:t xml:space="preserve"> Yes</w:t>
      </w:r>
    </w:p>
    <w:p w14:paraId="6E2BD5DE" w14:textId="20597AA7" w:rsidR="00AD2E85" w:rsidRPr="00753C44" w:rsidRDefault="0068721B" w:rsidP="00AD2E85">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0F1E2E">
        <w:rPr>
          <w:szCs w:val="20"/>
        </w:rPr>
      </w:r>
      <w:r w:rsidR="000F1E2E">
        <w:rPr>
          <w:szCs w:val="20"/>
        </w:rPr>
        <w:fldChar w:fldCharType="separate"/>
      </w:r>
      <w:r>
        <w:rPr>
          <w:szCs w:val="20"/>
        </w:rPr>
        <w:fldChar w:fldCharType="end"/>
      </w:r>
      <w:bookmarkEnd w:id="1"/>
      <w:r w:rsidR="00AD2E85">
        <w:rPr>
          <w:szCs w:val="20"/>
        </w:rPr>
        <w:t xml:space="preserve"> No</w:t>
      </w:r>
      <w:r w:rsidR="00AD2E85" w:rsidRPr="00753C44">
        <w:rPr>
          <w:szCs w:val="20"/>
        </w:rPr>
        <w:t xml:space="preserve">  </w:t>
      </w:r>
    </w:p>
    <w:p w14:paraId="07024B5E" w14:textId="77777777" w:rsidR="00AD2E85" w:rsidRPr="00AD2E85" w:rsidRDefault="00AD2E85" w:rsidP="00AD2E85">
      <w:pPr>
        <w:ind w:firstLine="360"/>
        <w:rPr>
          <w:b/>
        </w:rPr>
      </w:pPr>
      <w:r w:rsidRPr="00AD2E85">
        <w:rPr>
          <w:b/>
        </w:rPr>
        <w:t>(b) If yes what is the Applicant(s) name that you are acting on behalf of?</w:t>
      </w:r>
    </w:p>
    <w:p w14:paraId="41C8F396" w14:textId="2F4E9110" w:rsidR="00AD2E85" w:rsidRPr="00AD2E85" w:rsidRDefault="00D6440D" w:rsidP="00D6440D">
      <w:pPr>
        <w:ind w:firstLine="360"/>
      </w:pPr>
      <w:r>
        <w:t>Not applicable</w:t>
      </w:r>
    </w:p>
    <w:p w14:paraId="2F7096B8" w14:textId="77777777" w:rsidR="00534C5F" w:rsidRPr="00154B00" w:rsidRDefault="00494011" w:rsidP="004A0BF4">
      <w:pPr>
        <w:pStyle w:val="Heading2"/>
      </w:pPr>
      <w:r>
        <w:t xml:space="preserve">(a) </w:t>
      </w:r>
      <w:r w:rsidR="00534C5F">
        <w:t>Are you a lobbyist acting on behalf of an Applicant?</w:t>
      </w:r>
    </w:p>
    <w:p w14:paraId="07D1BA05"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F1E2E">
        <w:rPr>
          <w:szCs w:val="20"/>
        </w:rPr>
      </w:r>
      <w:r w:rsidR="000F1E2E">
        <w:rPr>
          <w:szCs w:val="20"/>
        </w:rPr>
        <w:fldChar w:fldCharType="separate"/>
      </w:r>
      <w:r w:rsidRPr="00753C44">
        <w:rPr>
          <w:szCs w:val="20"/>
        </w:rPr>
        <w:fldChar w:fldCharType="end"/>
      </w:r>
      <w:r>
        <w:rPr>
          <w:szCs w:val="20"/>
        </w:rPr>
        <w:t xml:space="preserve"> Yes</w:t>
      </w:r>
    </w:p>
    <w:p w14:paraId="0D06A3E9" w14:textId="30717C76" w:rsidR="00A6491A" w:rsidRPr="00753C44" w:rsidRDefault="0068721B"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F1E2E">
        <w:rPr>
          <w:szCs w:val="20"/>
        </w:rPr>
      </w:r>
      <w:r w:rsidR="000F1E2E">
        <w:rPr>
          <w:szCs w:val="20"/>
        </w:rPr>
        <w:fldChar w:fldCharType="separate"/>
      </w:r>
      <w:r>
        <w:rPr>
          <w:szCs w:val="20"/>
        </w:rPr>
        <w:fldChar w:fldCharType="end"/>
      </w:r>
      <w:r w:rsidR="00A6491A">
        <w:rPr>
          <w:szCs w:val="20"/>
        </w:rPr>
        <w:t xml:space="preserve"> No</w:t>
      </w:r>
      <w:r w:rsidR="00A6491A" w:rsidRPr="00753C44">
        <w:rPr>
          <w:szCs w:val="20"/>
        </w:rPr>
        <w:t xml:space="preserve">  </w:t>
      </w:r>
    </w:p>
    <w:p w14:paraId="400C362C" w14:textId="77777777" w:rsidR="00534C5F" w:rsidRPr="00154B00" w:rsidRDefault="00534C5F" w:rsidP="00C575B2">
      <w:pPr>
        <w:pStyle w:val="Heading2"/>
        <w:numPr>
          <w:ilvl w:val="0"/>
          <w:numId w:val="3"/>
        </w:numPr>
      </w:pPr>
      <w:r w:rsidRPr="00154B00">
        <w:t xml:space="preserve">If yes, </w:t>
      </w:r>
      <w:r>
        <w:t xml:space="preserve">are </w:t>
      </w:r>
      <w:r w:rsidRPr="00FE33A6">
        <w:t>you</w:t>
      </w:r>
      <w:r>
        <w:t xml:space="preserve"> listed on the Register of Lobbyists?</w:t>
      </w:r>
    </w:p>
    <w:p w14:paraId="368AB755"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F1E2E">
        <w:rPr>
          <w:szCs w:val="20"/>
        </w:rPr>
      </w:r>
      <w:r w:rsidR="000F1E2E">
        <w:rPr>
          <w:szCs w:val="20"/>
        </w:rPr>
        <w:fldChar w:fldCharType="separate"/>
      </w:r>
      <w:r w:rsidRPr="00753C44">
        <w:rPr>
          <w:szCs w:val="20"/>
        </w:rPr>
        <w:fldChar w:fldCharType="end"/>
      </w:r>
      <w:r>
        <w:rPr>
          <w:szCs w:val="20"/>
        </w:rPr>
        <w:t xml:space="preserve"> Yes</w:t>
      </w:r>
    </w:p>
    <w:p w14:paraId="23755809" w14:textId="7EC1611E" w:rsidR="00A6491A" w:rsidRPr="00753C44" w:rsidRDefault="0068721B"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F1E2E">
        <w:rPr>
          <w:szCs w:val="20"/>
        </w:rPr>
      </w:r>
      <w:r w:rsidR="000F1E2E">
        <w:rPr>
          <w:szCs w:val="20"/>
        </w:rPr>
        <w:fldChar w:fldCharType="separate"/>
      </w:r>
      <w:r>
        <w:rPr>
          <w:szCs w:val="20"/>
        </w:rPr>
        <w:fldChar w:fldCharType="end"/>
      </w:r>
      <w:r w:rsidR="00A6491A">
        <w:rPr>
          <w:szCs w:val="20"/>
        </w:rPr>
        <w:t xml:space="preserve"> No</w:t>
      </w:r>
      <w:r w:rsidR="00A6491A" w:rsidRPr="00753C44">
        <w:rPr>
          <w:szCs w:val="20"/>
        </w:rPr>
        <w:t xml:space="preserve">  </w:t>
      </w:r>
    </w:p>
    <w:p w14:paraId="0CD911CF" w14:textId="77777777" w:rsidR="00CE0F9E" w:rsidRPr="00154B00" w:rsidRDefault="00CE0F9E" w:rsidP="00C575B2">
      <w:pPr>
        <w:pStyle w:val="Heading2"/>
        <w:numPr>
          <w:ilvl w:val="0"/>
          <w:numId w:val="3"/>
        </w:numPr>
      </w:pPr>
      <w:r>
        <w:t>Have you engaged a consultant on your behalf?</w:t>
      </w:r>
    </w:p>
    <w:p w14:paraId="7EDF232D" w14:textId="77777777" w:rsidR="00CE0F9E" w:rsidRDefault="00CE0F9E" w:rsidP="00CE0F9E">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F1E2E">
        <w:rPr>
          <w:szCs w:val="20"/>
        </w:rPr>
      </w:r>
      <w:r w:rsidR="000F1E2E">
        <w:rPr>
          <w:szCs w:val="20"/>
        </w:rPr>
        <w:fldChar w:fldCharType="separate"/>
      </w:r>
      <w:r w:rsidRPr="00753C44">
        <w:rPr>
          <w:szCs w:val="20"/>
        </w:rPr>
        <w:fldChar w:fldCharType="end"/>
      </w:r>
      <w:r>
        <w:rPr>
          <w:szCs w:val="20"/>
        </w:rPr>
        <w:t xml:space="preserve"> Yes </w:t>
      </w:r>
    </w:p>
    <w:p w14:paraId="233E95A5" w14:textId="6A01FDBF" w:rsidR="00CE0F9E" w:rsidRDefault="00BF6B1E" w:rsidP="00CE0F9E">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F1E2E">
        <w:rPr>
          <w:szCs w:val="20"/>
        </w:rPr>
      </w:r>
      <w:r w:rsidR="000F1E2E">
        <w:rPr>
          <w:szCs w:val="20"/>
        </w:rPr>
        <w:fldChar w:fldCharType="separate"/>
      </w:r>
      <w:r>
        <w:rPr>
          <w:szCs w:val="20"/>
        </w:rPr>
        <w:fldChar w:fldCharType="end"/>
      </w:r>
      <w:r w:rsidR="00CE0F9E">
        <w:rPr>
          <w:szCs w:val="20"/>
        </w:rPr>
        <w:t xml:space="preserve"> No</w:t>
      </w:r>
      <w:r w:rsidR="00CE0F9E" w:rsidRPr="00753C44">
        <w:rPr>
          <w:szCs w:val="20"/>
        </w:rPr>
        <w:t xml:space="preserve">  </w:t>
      </w:r>
    </w:p>
    <w:p w14:paraId="72A3D3EC" w14:textId="77777777" w:rsidR="00CE0F9E" w:rsidRDefault="00CE0F9E" w:rsidP="00CE0F9E">
      <w:pPr>
        <w:spacing w:before="0" w:after="0"/>
        <w:ind w:left="426"/>
        <w:rPr>
          <w:szCs w:val="20"/>
        </w:rPr>
      </w:pPr>
    </w:p>
    <w:p w14:paraId="0D0B940D" w14:textId="77777777" w:rsidR="00CE0F9E" w:rsidRPr="00753C44" w:rsidRDefault="00CE0F9E" w:rsidP="00CE0F9E">
      <w:pPr>
        <w:spacing w:before="0" w:after="0"/>
        <w:ind w:left="426"/>
        <w:rPr>
          <w:szCs w:val="20"/>
        </w:rPr>
      </w:pPr>
    </w:p>
    <w:p w14:paraId="0E27B00A" w14:textId="77777777" w:rsidR="00E04FB3" w:rsidRDefault="00E04FB3" w:rsidP="005C333E">
      <w:pPr>
        <w:spacing w:before="0" w:after="0"/>
        <w:ind w:left="426"/>
        <w:rPr>
          <w:b/>
          <w:szCs w:val="20"/>
        </w:rPr>
      </w:pPr>
      <w:r w:rsidRPr="00154B00">
        <w:rPr>
          <w:b/>
          <w:szCs w:val="20"/>
        </w:rPr>
        <w:br w:type="page"/>
      </w:r>
    </w:p>
    <w:p w14:paraId="49F04246"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60CDF576" w14:textId="5926A044" w:rsidR="00D6440D" w:rsidRPr="00D6440D" w:rsidRDefault="009B4E1E" w:rsidP="00D6440D">
      <w:pPr>
        <w:pStyle w:val="Heading2"/>
        <w:ind w:left="357" w:hanging="357"/>
        <w:contextualSpacing w:val="0"/>
      </w:pPr>
      <w:r>
        <w:t>Provide a succinct description of the medical condition relevant to the proposed service</w:t>
      </w:r>
      <w:r w:rsidR="000955E7">
        <w:t xml:space="preserve"> (no more than 150 words</w:t>
      </w:r>
    </w:p>
    <w:p w14:paraId="35FCAF20" w14:textId="737CD8EB" w:rsidR="00D6440D" w:rsidRDefault="00D6440D" w:rsidP="00D6440D">
      <w:pPr>
        <w:pStyle w:val="Heading2"/>
        <w:numPr>
          <w:ilvl w:val="0"/>
          <w:numId w:val="0"/>
        </w:numPr>
        <w:ind w:left="357"/>
        <w:contextualSpacing w:val="0"/>
        <w:rPr>
          <w:b w:val="0"/>
          <w:bCs/>
          <w:color w:val="000000" w:themeColor="text1"/>
          <w:sz w:val="22"/>
          <w:szCs w:val="22"/>
        </w:rPr>
      </w:pPr>
      <w:r>
        <w:rPr>
          <w:b w:val="0"/>
          <w:bCs/>
          <w:color w:val="000000" w:themeColor="text1"/>
        </w:rPr>
        <w:t>A</w:t>
      </w:r>
      <w:r w:rsidRPr="00D6440D">
        <w:rPr>
          <w:b w:val="0"/>
          <w:bCs/>
          <w:color w:val="000000" w:themeColor="text1"/>
        </w:rPr>
        <w:t xml:space="preserve">bdominal </w:t>
      </w:r>
      <w:r>
        <w:rPr>
          <w:b w:val="0"/>
          <w:bCs/>
          <w:color w:val="000000" w:themeColor="text1"/>
        </w:rPr>
        <w:t xml:space="preserve">MRI </w:t>
      </w:r>
      <w:r w:rsidRPr="00D6440D">
        <w:rPr>
          <w:b w:val="0"/>
          <w:bCs/>
          <w:color w:val="000000" w:themeColor="text1"/>
        </w:rPr>
        <w:t>for rare genetic conditions associated with increased risk of renal tumours</w:t>
      </w:r>
      <w:r w:rsidRPr="00D6440D">
        <w:rPr>
          <w:b w:val="0"/>
          <w:bCs/>
          <w:color w:val="000000" w:themeColor="text1"/>
          <w:sz w:val="22"/>
          <w:szCs w:val="22"/>
        </w:rPr>
        <w:t xml:space="preserve"> </w:t>
      </w:r>
    </w:p>
    <w:p w14:paraId="179AA862" w14:textId="77777777" w:rsidR="00D6440D" w:rsidRPr="00D6440D" w:rsidRDefault="00D6440D" w:rsidP="00D6440D"/>
    <w:p w14:paraId="7494376F" w14:textId="64E42BFE" w:rsidR="00630E69" w:rsidRDefault="00630E69" w:rsidP="00205FAB">
      <w:pPr>
        <w:rPr>
          <w:rFonts w:eastAsia="Times New Roman" w:cstheme="minorHAnsi"/>
          <w:szCs w:val="20"/>
          <w:lang w:eastAsia="en-AU"/>
        </w:rPr>
      </w:pPr>
      <w:proofErr w:type="gramStart"/>
      <w:r w:rsidRPr="002857D7">
        <w:rPr>
          <w:color w:val="000000" w:themeColor="text1"/>
        </w:rPr>
        <w:t>A number of</w:t>
      </w:r>
      <w:proofErr w:type="gramEnd"/>
      <w:r w:rsidRPr="002857D7">
        <w:rPr>
          <w:color w:val="000000" w:themeColor="text1"/>
        </w:rPr>
        <w:t xml:space="preserve"> </w:t>
      </w:r>
      <w:r>
        <w:rPr>
          <w:color w:val="000000" w:themeColor="text1"/>
        </w:rPr>
        <w:t xml:space="preserve">rare </w:t>
      </w:r>
      <w:r w:rsidRPr="002857D7">
        <w:rPr>
          <w:color w:val="000000" w:themeColor="text1"/>
        </w:rPr>
        <w:t xml:space="preserve">defined genetic conditions are strongly associated with the development of renal tumours over </w:t>
      </w:r>
      <w:proofErr w:type="spellStart"/>
      <w:r w:rsidRPr="002857D7">
        <w:rPr>
          <w:color w:val="000000" w:themeColor="text1"/>
        </w:rPr>
        <w:t>tim</w:t>
      </w:r>
      <w:proofErr w:type="spellEnd"/>
      <w:r w:rsidR="00A11B6C">
        <w:rPr>
          <w:rFonts w:ascii="Calibri" w:hAnsi="Calibri" w:cs="Calibri"/>
          <w:lang w:val="en"/>
        </w:rPr>
        <w:t>e</w:t>
      </w:r>
      <w:r>
        <w:rPr>
          <w:rFonts w:ascii="Calibri" w:hAnsi="Calibri" w:cs="Calibri"/>
          <w:b/>
          <w:bCs/>
          <w:lang w:val="en"/>
        </w:rPr>
        <w:t xml:space="preserve">. </w:t>
      </w:r>
      <w:r w:rsidRPr="00205FAB">
        <w:rPr>
          <w:rFonts w:ascii="Calibri" w:hAnsi="Calibri" w:cs="Calibri"/>
          <w:bCs/>
          <w:lang w:val="en"/>
        </w:rPr>
        <w:t>This includes (not is not limited to) Tuberous Sclerosis Complex (TSC),</w:t>
      </w:r>
      <w:r w:rsidRPr="002212DC">
        <w:rPr>
          <w:rFonts w:cstheme="minorHAnsi"/>
          <w:szCs w:val="20"/>
          <w:lang w:val="en"/>
        </w:rPr>
        <w:t xml:space="preserve"> Von Hippel-Lindau disease, </w:t>
      </w:r>
      <w:proofErr w:type="spellStart"/>
      <w:r w:rsidRPr="002212DC">
        <w:rPr>
          <w:rFonts w:cstheme="minorHAnsi"/>
          <w:szCs w:val="20"/>
          <w:lang w:val="en"/>
        </w:rPr>
        <w:t>Birt</w:t>
      </w:r>
      <w:proofErr w:type="spellEnd"/>
      <w:r w:rsidRPr="002212DC">
        <w:rPr>
          <w:rFonts w:cstheme="minorHAnsi"/>
          <w:szCs w:val="20"/>
          <w:lang w:val="en"/>
        </w:rPr>
        <w:t xml:space="preserve">-Hogg –Dube syndrome, hereditary </w:t>
      </w:r>
      <w:proofErr w:type="spellStart"/>
      <w:r w:rsidRPr="002212DC">
        <w:rPr>
          <w:rFonts w:cstheme="minorHAnsi"/>
          <w:szCs w:val="20"/>
          <w:lang w:val="en"/>
        </w:rPr>
        <w:t>leimyomatosis</w:t>
      </w:r>
      <w:proofErr w:type="spellEnd"/>
      <w:r w:rsidRPr="002212DC">
        <w:rPr>
          <w:rFonts w:cstheme="minorHAnsi"/>
          <w:szCs w:val="20"/>
          <w:lang w:val="en"/>
        </w:rPr>
        <w:t xml:space="preserve"> and renal cell cancer</w:t>
      </w:r>
      <w:r w:rsidRPr="00C63209">
        <w:rPr>
          <w:rFonts w:cstheme="minorHAnsi"/>
          <w:szCs w:val="20"/>
          <w:lang w:val="en"/>
        </w:rPr>
        <w:t xml:space="preserve"> (</w:t>
      </w:r>
      <w:r w:rsidRPr="00C63209">
        <w:rPr>
          <w:rFonts w:cstheme="minorHAnsi"/>
          <w:szCs w:val="20"/>
        </w:rPr>
        <w:t>HLRCC), Cowden syndrome, BAP1-associated cancer syndrome and paraganglioma.</w:t>
      </w:r>
      <w:r>
        <w:rPr>
          <w:rFonts w:cstheme="minorHAnsi"/>
          <w:szCs w:val="20"/>
        </w:rPr>
        <w:t xml:space="preserve"> </w:t>
      </w:r>
      <w:r w:rsidRPr="002857D7">
        <w:rPr>
          <w:color w:val="000000" w:themeColor="text1"/>
        </w:rPr>
        <w:t>The commonest condition in this group of disorders is T</w:t>
      </w:r>
      <w:r>
        <w:rPr>
          <w:color w:val="000000" w:themeColor="text1"/>
        </w:rPr>
        <w:t xml:space="preserve">uberous Sclerosis Complex (TSC) and is </w:t>
      </w:r>
      <w:r w:rsidRPr="00C63209">
        <w:rPr>
          <w:rFonts w:ascii="Calibri" w:hAnsi="Calibri" w:cs="Calibri"/>
          <w:lang w:val="en"/>
        </w:rPr>
        <w:t xml:space="preserve">characterized by the growth of benign </w:t>
      </w:r>
      <w:proofErr w:type="spellStart"/>
      <w:r w:rsidRPr="00C63209">
        <w:rPr>
          <w:rFonts w:ascii="Calibri" w:hAnsi="Calibri" w:cs="Calibri"/>
          <w:lang w:val="en"/>
        </w:rPr>
        <w:t>tumours</w:t>
      </w:r>
      <w:proofErr w:type="spellEnd"/>
      <w:r w:rsidRPr="00C63209">
        <w:rPr>
          <w:rFonts w:ascii="Calibri" w:hAnsi="Calibri" w:cs="Calibri"/>
          <w:lang w:val="en"/>
        </w:rPr>
        <w:t xml:space="preserve"> in multiple organs that occur as the result of a loss of function mutation in one to the two TSC genes leading to the over activity of mammalian target of rapamycin (mTOR) pathway. The key organs impacted include the brain, skin, kidneys, lungs, </w:t>
      </w:r>
      <w:proofErr w:type="gramStart"/>
      <w:r w:rsidRPr="00C63209">
        <w:rPr>
          <w:rFonts w:ascii="Calibri" w:hAnsi="Calibri" w:cs="Calibri"/>
          <w:lang w:val="en"/>
        </w:rPr>
        <w:t>heart</w:t>
      </w:r>
      <w:proofErr w:type="gramEnd"/>
      <w:r w:rsidRPr="00C63209">
        <w:rPr>
          <w:rFonts w:ascii="Calibri" w:hAnsi="Calibri" w:cs="Calibri"/>
          <w:lang w:val="en"/>
        </w:rPr>
        <w:t xml:space="preserve"> and eyes, resulting in clinical manifestations including seizures, neuropsychiatric conditions, spontaneous </w:t>
      </w:r>
      <w:proofErr w:type="spellStart"/>
      <w:r w:rsidRPr="00C63209">
        <w:rPr>
          <w:rFonts w:ascii="Calibri" w:hAnsi="Calibri" w:cs="Calibri"/>
          <w:lang w:val="en"/>
        </w:rPr>
        <w:t>haemorrhage</w:t>
      </w:r>
      <w:proofErr w:type="spellEnd"/>
      <w:r w:rsidRPr="00C63209">
        <w:rPr>
          <w:rFonts w:ascii="Calibri" w:hAnsi="Calibri" w:cs="Calibri"/>
          <w:lang w:val="en"/>
        </w:rPr>
        <w:t xml:space="preserve"> from the kidneys, cardiac arrhythmias and lung disease. </w:t>
      </w:r>
      <w:r w:rsidRPr="16BBA587">
        <w:rPr>
          <w:rFonts w:ascii="Calibri" w:hAnsi="Calibri" w:cs="Calibri"/>
          <w:lang w:val="en"/>
        </w:rPr>
        <w:t xml:space="preserve">Approximately 70% of patients with TSC develop </w:t>
      </w:r>
      <w:proofErr w:type="spellStart"/>
      <w:r w:rsidRPr="16BBA587">
        <w:rPr>
          <w:rFonts w:ascii="Calibri" w:hAnsi="Calibri" w:cs="Calibri"/>
          <w:lang w:val="en"/>
        </w:rPr>
        <w:t>angiomyolipomas</w:t>
      </w:r>
      <w:proofErr w:type="spellEnd"/>
      <w:r w:rsidRPr="16BBA587">
        <w:rPr>
          <w:rFonts w:ascii="Calibri" w:hAnsi="Calibri" w:cs="Calibri"/>
          <w:lang w:val="en"/>
        </w:rPr>
        <w:t xml:space="preserve"> (AML) of the kidneys. </w:t>
      </w:r>
    </w:p>
    <w:p w14:paraId="2F26C3E1" w14:textId="57B0A9F6" w:rsidR="183CF6CA" w:rsidRPr="002857D7" w:rsidRDefault="6325819B" w:rsidP="00BD32F0">
      <w:pPr>
        <w:rPr>
          <w:color w:val="000000" w:themeColor="text1"/>
        </w:rPr>
      </w:pPr>
      <w:r w:rsidRPr="002857D7">
        <w:rPr>
          <w:color w:val="000000" w:themeColor="text1"/>
        </w:rPr>
        <w:t xml:space="preserve">A number of defined genetic conditions are strongly associated with the development of renal </w:t>
      </w:r>
      <w:r w:rsidR="61FBEC31" w:rsidRPr="002857D7">
        <w:rPr>
          <w:color w:val="000000" w:themeColor="text1"/>
        </w:rPr>
        <w:t xml:space="preserve">tumours </w:t>
      </w:r>
      <w:r w:rsidRPr="002857D7">
        <w:rPr>
          <w:color w:val="000000" w:themeColor="text1"/>
        </w:rPr>
        <w:t xml:space="preserve">over time. In </w:t>
      </w:r>
      <w:r w:rsidR="69DCF698" w:rsidRPr="002857D7">
        <w:rPr>
          <w:color w:val="000000" w:themeColor="text1"/>
        </w:rPr>
        <w:t>asymptomatic</w:t>
      </w:r>
      <w:r w:rsidRPr="002857D7">
        <w:rPr>
          <w:color w:val="000000" w:themeColor="text1"/>
        </w:rPr>
        <w:t xml:space="preserve"> patients </w:t>
      </w:r>
      <w:r w:rsidR="49A20ADA" w:rsidRPr="002857D7">
        <w:rPr>
          <w:color w:val="000000" w:themeColor="text1"/>
        </w:rPr>
        <w:t>who have been</w:t>
      </w:r>
      <w:r w:rsidRPr="002857D7">
        <w:rPr>
          <w:color w:val="000000" w:themeColor="text1"/>
        </w:rPr>
        <w:t xml:space="preserve"> diagnosed with one of these conditions, regular screening for renal lesions is recommended</w:t>
      </w:r>
      <w:r w:rsidR="23B86781" w:rsidRPr="002857D7">
        <w:rPr>
          <w:color w:val="000000" w:themeColor="text1"/>
        </w:rPr>
        <w:t xml:space="preserve"> in </w:t>
      </w:r>
      <w:r w:rsidR="5D331FF5" w:rsidRPr="002857D7">
        <w:rPr>
          <w:color w:val="000000" w:themeColor="text1"/>
        </w:rPr>
        <w:t>treatment guidelines</w:t>
      </w:r>
      <w:r w:rsidR="32FBFE10" w:rsidRPr="002857D7">
        <w:rPr>
          <w:color w:val="000000" w:themeColor="text1"/>
        </w:rPr>
        <w:t xml:space="preserve">. </w:t>
      </w:r>
      <w:r w:rsidR="7193F29B" w:rsidRPr="002857D7">
        <w:rPr>
          <w:color w:val="000000" w:themeColor="text1"/>
        </w:rPr>
        <w:t>Screening enables</w:t>
      </w:r>
      <w:r w:rsidRPr="002857D7">
        <w:rPr>
          <w:color w:val="000000" w:themeColor="text1"/>
        </w:rPr>
        <w:t xml:space="preserve"> earl</w:t>
      </w:r>
      <w:r w:rsidR="276D829D" w:rsidRPr="002857D7">
        <w:rPr>
          <w:color w:val="000000" w:themeColor="text1"/>
        </w:rPr>
        <w:t>ier</w:t>
      </w:r>
      <w:r w:rsidRPr="002857D7">
        <w:rPr>
          <w:color w:val="000000" w:themeColor="text1"/>
        </w:rPr>
        <w:t xml:space="preserve"> diagnosis of tumours at a stage when these are </w:t>
      </w:r>
      <w:r w:rsidR="7C060167" w:rsidRPr="002857D7">
        <w:rPr>
          <w:color w:val="000000" w:themeColor="text1"/>
        </w:rPr>
        <w:t xml:space="preserve">still </w:t>
      </w:r>
      <w:r w:rsidRPr="002857D7">
        <w:rPr>
          <w:color w:val="000000" w:themeColor="text1"/>
        </w:rPr>
        <w:t>amenable to curative intervention. The commonest condition in this group of disorders is Tuberous Sclerosis Complex (TSC), for which the need for renal surveillance is shared with Von Hippel L</w:t>
      </w:r>
      <w:r w:rsidR="5560DDB6" w:rsidRPr="002857D7">
        <w:rPr>
          <w:color w:val="000000" w:themeColor="text1"/>
        </w:rPr>
        <w:t>i</w:t>
      </w:r>
      <w:r w:rsidRPr="002857D7">
        <w:rPr>
          <w:color w:val="000000" w:themeColor="text1"/>
        </w:rPr>
        <w:t xml:space="preserve">ndau and </w:t>
      </w:r>
      <w:proofErr w:type="spellStart"/>
      <w:r w:rsidRPr="002857D7">
        <w:rPr>
          <w:color w:val="000000" w:themeColor="text1"/>
        </w:rPr>
        <w:t>Birt</w:t>
      </w:r>
      <w:proofErr w:type="spellEnd"/>
      <w:r w:rsidRPr="002857D7">
        <w:rPr>
          <w:color w:val="000000" w:themeColor="text1"/>
        </w:rPr>
        <w:t xml:space="preserve"> Hogg Dube syndromes, and </w:t>
      </w:r>
      <w:r w:rsidR="48DE8A98" w:rsidRPr="002857D7">
        <w:rPr>
          <w:color w:val="000000" w:themeColor="text1"/>
        </w:rPr>
        <w:t xml:space="preserve">with </w:t>
      </w:r>
      <w:r w:rsidRPr="002857D7">
        <w:rPr>
          <w:color w:val="000000" w:themeColor="text1"/>
        </w:rPr>
        <w:t>the rarer HLRCC, Cowden syndrome, BAP1-associated cancer syndrome and paraganglioma.</w:t>
      </w:r>
    </w:p>
    <w:p w14:paraId="0D0D1C53" w14:textId="385AC509" w:rsidR="4A935E5B" w:rsidRPr="002857D7" w:rsidRDefault="74ACDFF1" w:rsidP="4AC5FA4E">
      <w:pPr>
        <w:rPr>
          <w:rFonts w:ascii="Calibri" w:eastAsia="Calibri" w:hAnsi="Calibri" w:cs="Calibri"/>
          <w:color w:val="000000" w:themeColor="text1"/>
        </w:rPr>
      </w:pPr>
      <w:r w:rsidRPr="002857D7">
        <w:rPr>
          <w:color w:val="000000" w:themeColor="text1"/>
        </w:rPr>
        <w:t>T</w:t>
      </w:r>
      <w:r w:rsidR="1615429F" w:rsidRPr="002857D7">
        <w:rPr>
          <w:color w:val="000000" w:themeColor="text1"/>
        </w:rPr>
        <w:t xml:space="preserve">hese </w:t>
      </w:r>
      <w:r w:rsidR="75251011" w:rsidRPr="002857D7">
        <w:rPr>
          <w:color w:val="000000" w:themeColor="text1"/>
        </w:rPr>
        <w:t>inheritable</w:t>
      </w:r>
      <w:r w:rsidR="1615429F" w:rsidRPr="002857D7">
        <w:rPr>
          <w:color w:val="000000" w:themeColor="text1"/>
        </w:rPr>
        <w:t xml:space="preserve"> conditions are </w:t>
      </w:r>
      <w:r w:rsidR="745CB760" w:rsidRPr="002857D7">
        <w:rPr>
          <w:color w:val="000000" w:themeColor="text1"/>
        </w:rPr>
        <w:t xml:space="preserve">together </w:t>
      </w:r>
      <w:r w:rsidR="1615429F" w:rsidRPr="002857D7">
        <w:rPr>
          <w:color w:val="000000" w:themeColor="text1"/>
        </w:rPr>
        <w:t xml:space="preserve">responsible for about </w:t>
      </w:r>
      <w:r w:rsidR="022ECDA9" w:rsidRPr="002857D7">
        <w:rPr>
          <w:color w:val="000000" w:themeColor="text1"/>
        </w:rPr>
        <w:t>4</w:t>
      </w:r>
      <w:r w:rsidR="6E0063CC" w:rsidRPr="002857D7">
        <w:rPr>
          <w:color w:val="000000" w:themeColor="text1"/>
        </w:rPr>
        <w:t xml:space="preserve">% of all renal </w:t>
      </w:r>
      <w:r w:rsidR="1F62326E" w:rsidRPr="002857D7">
        <w:rPr>
          <w:color w:val="000000" w:themeColor="text1"/>
        </w:rPr>
        <w:t>tumours (</w:t>
      </w:r>
      <w:r w:rsidR="0B34FD6C" w:rsidRPr="002857D7">
        <w:rPr>
          <w:rFonts w:ascii="Calibri" w:eastAsia="Calibri" w:hAnsi="Calibri" w:cs="Calibri"/>
          <w:color w:val="000000" w:themeColor="text1"/>
          <w:sz w:val="21"/>
          <w:szCs w:val="21"/>
        </w:rPr>
        <w:t xml:space="preserve">Linehan WM, </w:t>
      </w:r>
      <w:proofErr w:type="spellStart"/>
      <w:r w:rsidR="0B34FD6C" w:rsidRPr="002857D7">
        <w:rPr>
          <w:rFonts w:ascii="Calibri" w:eastAsia="Calibri" w:hAnsi="Calibri" w:cs="Calibri"/>
          <w:color w:val="000000" w:themeColor="text1"/>
          <w:sz w:val="21"/>
          <w:szCs w:val="21"/>
        </w:rPr>
        <w:t>Zbar</w:t>
      </w:r>
      <w:proofErr w:type="spellEnd"/>
      <w:r w:rsidR="0B34FD6C" w:rsidRPr="002857D7">
        <w:rPr>
          <w:rFonts w:ascii="Calibri" w:eastAsia="Calibri" w:hAnsi="Calibri" w:cs="Calibri"/>
          <w:color w:val="000000" w:themeColor="text1"/>
          <w:sz w:val="21"/>
          <w:szCs w:val="21"/>
        </w:rPr>
        <w:t xml:space="preserve"> B, Klausner RD. Renal carcinoma. In: Scriver CR, Beaudet AL, Sly WS, et al., eds. The Metabolic and Molecular Bases of Inherited Disease. New York: McGraw-Hill, 2001: 907–29.)</w:t>
      </w:r>
    </w:p>
    <w:p w14:paraId="5DE1610B" w14:textId="404A496A" w:rsidR="4746F29E" w:rsidRDefault="4746F29E" w:rsidP="4746F29E">
      <w:pPr>
        <w:ind w:left="284"/>
        <w:rPr>
          <w:noProof/>
        </w:rPr>
      </w:pPr>
    </w:p>
    <w:p w14:paraId="0235D778" w14:textId="7121C3B5" w:rsidR="000955E7" w:rsidRDefault="000955E7" w:rsidP="004A0BF4">
      <w:pPr>
        <w:pStyle w:val="Heading2"/>
      </w:pPr>
      <w:r>
        <w:t>Prov</w:t>
      </w:r>
      <w:r w:rsidR="00D11EB1">
        <w:t>i</w:t>
      </w:r>
      <w:r>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t>)</w:t>
      </w:r>
    </w:p>
    <w:p w14:paraId="375DFCBA" w14:textId="78089305" w:rsidR="001D3F72" w:rsidRDefault="001D3F72" w:rsidP="00D6440D">
      <w:pPr>
        <w:ind w:left="360"/>
      </w:pPr>
      <w:r w:rsidRPr="0056190A">
        <w:t>Magnetic Resonance Imaging</w:t>
      </w:r>
      <w:r w:rsidR="002212DC">
        <w:t xml:space="preserve"> (MRI)</w:t>
      </w:r>
      <w:r w:rsidRPr="0056190A">
        <w:t xml:space="preserve"> </w:t>
      </w:r>
      <w:r w:rsidR="007F4F3C">
        <w:t xml:space="preserve">of the abdomen </w:t>
      </w:r>
      <w:r w:rsidRPr="0056190A">
        <w:t>using gadolinium-based contrast performed</w:t>
      </w:r>
      <w:r w:rsidR="007F4F3C">
        <w:t xml:space="preserve"> for the surveillance of</w:t>
      </w:r>
      <w:r w:rsidRPr="0056190A">
        <w:t xml:space="preserve"> patients with a confirmed clinical and/or molecular diagnosis of a condition known to carry an increased risk of the development of renal tumours</w:t>
      </w:r>
      <w:r w:rsidR="007F4F3C">
        <w:t xml:space="preserve"> who may or may not be undergoing active treatment.</w:t>
      </w:r>
    </w:p>
    <w:p w14:paraId="1E29E87F" w14:textId="0F3722CA" w:rsidR="002212DC" w:rsidRPr="001D3F72" w:rsidRDefault="002212DC" w:rsidP="00D6440D">
      <w:pPr>
        <w:ind w:left="360"/>
      </w:pPr>
      <w:r>
        <w:t xml:space="preserve">MRI allows for early detection and treatment of </w:t>
      </w:r>
      <w:r w:rsidR="66CDC3C1">
        <w:t>tumours</w:t>
      </w:r>
      <w:r>
        <w:t>, thereby improving outcomes for those diagnosed with these rare conditions.</w:t>
      </w:r>
    </w:p>
    <w:p w14:paraId="630CAE36" w14:textId="77777777" w:rsidR="00D11EB1" w:rsidRPr="00F536EB" w:rsidRDefault="00730C04" w:rsidP="004A0BF4">
      <w:pPr>
        <w:pStyle w:val="Heading2"/>
        <w:rPr>
          <w:rStyle w:val="Strong"/>
          <w:rFonts w:asciiTheme="minorHAnsi" w:eastAsiaTheme="minorHAnsi" w:hAnsiTheme="minorHAnsi" w:cstheme="minorBidi"/>
          <w:b/>
          <w:color w:val="000000" w:themeColor="text1"/>
        </w:rPr>
      </w:pPr>
      <w:r w:rsidRPr="4746F29E">
        <w:rPr>
          <w:rStyle w:val="Strong"/>
          <w:rFonts w:asciiTheme="minorHAnsi" w:eastAsiaTheme="minorEastAsia" w:hAnsiTheme="minorHAnsi" w:cstheme="minorBidi"/>
          <w:b/>
          <w:bCs/>
        </w:rPr>
        <w:t>(</w:t>
      </w:r>
      <w:r w:rsidRPr="00F536EB">
        <w:rPr>
          <w:rStyle w:val="Strong"/>
          <w:rFonts w:asciiTheme="minorHAnsi" w:eastAsiaTheme="minorEastAsia" w:hAnsiTheme="minorHAnsi" w:cstheme="minorBidi"/>
          <w:b/>
          <w:bCs/>
          <w:color w:val="000000" w:themeColor="text1"/>
        </w:rPr>
        <w:t xml:space="preserve">a) </w:t>
      </w:r>
      <w:r w:rsidR="00D11EB1" w:rsidRPr="00F536EB">
        <w:rPr>
          <w:rStyle w:val="Strong"/>
          <w:rFonts w:asciiTheme="minorHAnsi" w:eastAsiaTheme="minorEastAsia" w:hAnsiTheme="minorHAnsi" w:cstheme="minorBidi"/>
          <w:b/>
          <w:bCs/>
          <w:color w:val="000000" w:themeColor="text1"/>
        </w:rPr>
        <w:t>Is this a request for MBS funding?</w:t>
      </w:r>
    </w:p>
    <w:p w14:paraId="58245E04" w14:textId="100B5BF2" w:rsidR="00753C44" w:rsidRPr="00F536EB" w:rsidRDefault="006E7F17" w:rsidP="00D6440D">
      <w:pPr>
        <w:spacing w:before="0" w:after="0"/>
        <w:ind w:left="360"/>
        <w:rPr>
          <w:color w:val="000000" w:themeColor="text1"/>
        </w:rPr>
      </w:pPr>
      <w:r w:rsidRPr="00F536EB">
        <w:rPr>
          <w:color w:val="000000" w:themeColor="text1"/>
          <w:szCs w:val="20"/>
        </w:rPr>
        <w:fldChar w:fldCharType="begin">
          <w:ffData>
            <w:name w:val=""/>
            <w:enabled/>
            <w:calcOnExit w:val="0"/>
            <w:checkBox>
              <w:sizeAuto/>
              <w:default w:val="1"/>
            </w:checkBox>
          </w:ffData>
        </w:fldChar>
      </w:r>
      <w:r w:rsidRPr="00F536EB">
        <w:rPr>
          <w:color w:val="000000" w:themeColor="text1"/>
          <w:szCs w:val="20"/>
        </w:rPr>
        <w:instrText xml:space="preserve"> FORMCHECKBOX </w:instrText>
      </w:r>
      <w:r w:rsidR="000F1E2E">
        <w:rPr>
          <w:color w:val="000000" w:themeColor="text1"/>
          <w:szCs w:val="20"/>
        </w:rPr>
      </w:r>
      <w:r w:rsidR="000F1E2E">
        <w:rPr>
          <w:color w:val="000000" w:themeColor="text1"/>
          <w:szCs w:val="20"/>
        </w:rPr>
        <w:fldChar w:fldCharType="separate"/>
      </w:r>
      <w:r w:rsidRPr="00F536EB">
        <w:rPr>
          <w:color w:val="000000" w:themeColor="text1"/>
          <w:szCs w:val="20"/>
        </w:rPr>
        <w:fldChar w:fldCharType="end"/>
      </w:r>
      <w:r w:rsidR="006B6390" w:rsidRPr="00F536EB">
        <w:rPr>
          <w:color w:val="000000" w:themeColor="text1"/>
        </w:rPr>
        <w:t xml:space="preserve"> Yes</w:t>
      </w:r>
    </w:p>
    <w:p w14:paraId="4EE8E4F5" w14:textId="77777777" w:rsidR="00753C44" w:rsidRPr="00753C44" w:rsidRDefault="006B6390" w:rsidP="00D6440D">
      <w:pPr>
        <w:spacing w:before="0" w:after="0"/>
        <w:ind w:left="360"/>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F1E2E">
        <w:rPr>
          <w:szCs w:val="20"/>
        </w:rPr>
      </w:r>
      <w:r w:rsidR="000F1E2E">
        <w:rPr>
          <w:szCs w:val="20"/>
        </w:rPr>
        <w:fldChar w:fldCharType="separate"/>
      </w:r>
      <w:r w:rsidRPr="00753C44">
        <w:rPr>
          <w:szCs w:val="20"/>
        </w:rPr>
        <w:fldChar w:fldCharType="end"/>
      </w:r>
      <w:r w:rsidRPr="4746F29E">
        <w:t xml:space="preserve"> </w:t>
      </w:r>
    </w:p>
    <w:p w14:paraId="32AA4880" w14:textId="77777777" w:rsidR="000B3CD0" w:rsidRPr="0011036E" w:rsidRDefault="000B3CD0" w:rsidP="00C575B2">
      <w:pPr>
        <w:pStyle w:val="Heading2"/>
        <w:numPr>
          <w:ilvl w:val="0"/>
          <w:numId w:val="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15F480A8" w14:textId="77777777" w:rsidR="00753C44" w:rsidRPr="00F536EB" w:rsidRDefault="006B6390" w:rsidP="00D6440D">
      <w:pPr>
        <w:spacing w:before="0" w:after="0"/>
        <w:ind w:left="360"/>
        <w:rPr>
          <w:color w:val="000000" w:themeColor="text1"/>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F1E2E">
        <w:rPr>
          <w:szCs w:val="20"/>
        </w:rPr>
      </w:r>
      <w:r w:rsidR="000F1E2E">
        <w:rPr>
          <w:szCs w:val="20"/>
        </w:rPr>
        <w:fldChar w:fldCharType="separate"/>
      </w:r>
      <w:r w:rsidRPr="00753C44">
        <w:rPr>
          <w:szCs w:val="20"/>
        </w:rPr>
        <w:fldChar w:fldCharType="end"/>
      </w:r>
      <w:r>
        <w:rPr>
          <w:szCs w:val="20"/>
        </w:rPr>
        <w:t xml:space="preserve"> </w:t>
      </w:r>
      <w:r w:rsidR="00753C44" w:rsidRPr="00F536EB">
        <w:rPr>
          <w:color w:val="000000" w:themeColor="text1"/>
          <w:szCs w:val="20"/>
        </w:rPr>
        <w:t>Amendment to existing MBS item(s)</w:t>
      </w:r>
    </w:p>
    <w:p w14:paraId="50E9790A" w14:textId="7999D38F" w:rsidR="00753C44" w:rsidRPr="00F536EB" w:rsidRDefault="006E7F17" w:rsidP="00D6440D">
      <w:pPr>
        <w:spacing w:before="0" w:after="0"/>
        <w:ind w:left="360"/>
        <w:rPr>
          <w:color w:val="000000" w:themeColor="text1"/>
        </w:rPr>
      </w:pPr>
      <w:r w:rsidRPr="00F536EB">
        <w:rPr>
          <w:color w:val="000000" w:themeColor="text1"/>
          <w:szCs w:val="20"/>
        </w:rPr>
        <w:fldChar w:fldCharType="begin">
          <w:ffData>
            <w:name w:val=""/>
            <w:enabled/>
            <w:calcOnExit w:val="0"/>
            <w:checkBox>
              <w:sizeAuto/>
              <w:default w:val="1"/>
            </w:checkBox>
          </w:ffData>
        </w:fldChar>
      </w:r>
      <w:r w:rsidRPr="00F536EB">
        <w:rPr>
          <w:color w:val="000000" w:themeColor="text1"/>
          <w:szCs w:val="20"/>
        </w:rPr>
        <w:instrText xml:space="preserve"> FORMCHECKBOX </w:instrText>
      </w:r>
      <w:r w:rsidR="000F1E2E">
        <w:rPr>
          <w:color w:val="000000" w:themeColor="text1"/>
          <w:szCs w:val="20"/>
        </w:rPr>
      </w:r>
      <w:r w:rsidR="000F1E2E">
        <w:rPr>
          <w:color w:val="000000" w:themeColor="text1"/>
          <w:szCs w:val="20"/>
        </w:rPr>
        <w:fldChar w:fldCharType="separate"/>
      </w:r>
      <w:r w:rsidRPr="00F536EB">
        <w:rPr>
          <w:color w:val="000000" w:themeColor="text1"/>
          <w:szCs w:val="20"/>
        </w:rPr>
        <w:fldChar w:fldCharType="end"/>
      </w:r>
      <w:r w:rsidR="006B6390" w:rsidRPr="00F536EB">
        <w:rPr>
          <w:color w:val="000000" w:themeColor="text1"/>
          <w:szCs w:val="20"/>
        </w:rPr>
        <w:t xml:space="preserve"> </w:t>
      </w:r>
      <w:r w:rsidR="00753C44" w:rsidRPr="00F536EB">
        <w:rPr>
          <w:color w:val="000000" w:themeColor="text1"/>
        </w:rPr>
        <w:t>New MBS item(s)</w:t>
      </w:r>
    </w:p>
    <w:p w14:paraId="0F763CC7" w14:textId="77777777" w:rsidR="000B3CD0" w:rsidRPr="0011036E" w:rsidRDefault="000B3CD0" w:rsidP="00C575B2">
      <w:pPr>
        <w:pStyle w:val="Heading2"/>
        <w:numPr>
          <w:ilvl w:val="0"/>
          <w:numId w:val="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A872E8">
        <w:rPr>
          <w:rStyle w:val="Strong"/>
          <w:rFonts w:asciiTheme="minorHAnsi" w:eastAsiaTheme="minorHAnsi" w:hAnsiTheme="minorHAnsi" w:cstheme="minorBidi"/>
          <w:b/>
        </w:rPr>
        <w:t>/technology</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79D1BD8C" w14:textId="07EF7BD7" w:rsidR="003D795C" w:rsidRPr="00CB12EC" w:rsidRDefault="00D6440D" w:rsidP="00D6440D">
      <w:pPr>
        <w:ind w:left="284" w:firstLine="76"/>
      </w:pPr>
      <w:r>
        <w:t>Not applicable</w:t>
      </w:r>
    </w:p>
    <w:p w14:paraId="59AD8A3A" w14:textId="77777777" w:rsidR="006C0843" w:rsidRPr="0011036E" w:rsidRDefault="006C0843" w:rsidP="00C575B2">
      <w:pPr>
        <w:pStyle w:val="Heading2"/>
        <w:numPr>
          <w:ilvl w:val="0"/>
          <w:numId w:val="4"/>
        </w:numPr>
        <w:rPr>
          <w:rStyle w:val="Strong"/>
          <w:rFonts w:asciiTheme="minorHAnsi" w:eastAsiaTheme="minorEastAsia" w:hAnsiTheme="minorHAnsi" w:cstheme="minorBidi"/>
          <w:b/>
          <w:bCs/>
          <w:color w:val="000000" w:themeColor="text1"/>
        </w:rPr>
      </w:pPr>
      <w:r w:rsidRPr="1D8889F0">
        <w:rPr>
          <w:rStyle w:val="Strong"/>
          <w:rFonts w:asciiTheme="minorHAnsi" w:eastAsiaTheme="minorEastAsia" w:hAnsiTheme="minorHAnsi" w:cstheme="minorBidi"/>
          <w:b/>
          <w:bCs/>
        </w:rPr>
        <w:lastRenderedPageBreak/>
        <w:t>If an amendment to an existing item</w:t>
      </w:r>
      <w:r w:rsidR="003E30FB" w:rsidRPr="1D8889F0">
        <w:rPr>
          <w:rStyle w:val="Strong"/>
          <w:rFonts w:asciiTheme="minorHAnsi" w:eastAsiaTheme="minorEastAsia" w:hAnsiTheme="minorHAnsi" w:cstheme="minorBidi"/>
          <w:b/>
          <w:bCs/>
        </w:rPr>
        <w:t>(s)</w:t>
      </w:r>
      <w:r w:rsidRPr="1D8889F0">
        <w:rPr>
          <w:rStyle w:val="Strong"/>
          <w:rFonts w:asciiTheme="minorHAnsi" w:eastAsiaTheme="minorEastAsia" w:hAnsiTheme="minorHAnsi" w:cstheme="minorBidi"/>
          <w:b/>
          <w:bCs/>
        </w:rPr>
        <w:t xml:space="preserve"> is being sought, what is the nature of the amendment</w:t>
      </w:r>
      <w:r w:rsidR="00C01121" w:rsidRPr="1D8889F0">
        <w:rPr>
          <w:rStyle w:val="Strong"/>
          <w:rFonts w:asciiTheme="minorHAnsi" w:eastAsiaTheme="minorEastAsia" w:hAnsiTheme="minorHAnsi" w:cstheme="minorBidi"/>
          <w:b/>
          <w:bCs/>
        </w:rPr>
        <w:t>(s)</w:t>
      </w:r>
      <w:r w:rsidR="00E06102" w:rsidRPr="1D8889F0">
        <w:rPr>
          <w:rStyle w:val="Strong"/>
          <w:rFonts w:asciiTheme="minorHAnsi" w:eastAsiaTheme="minorEastAsia" w:hAnsiTheme="minorHAnsi" w:cstheme="minorBidi"/>
          <w:b/>
          <w:bCs/>
        </w:rPr>
        <w:t>?</w:t>
      </w:r>
    </w:p>
    <w:p w14:paraId="545A08CD" w14:textId="5703F81B" w:rsidR="002A270B" w:rsidRPr="00CB12EC" w:rsidRDefault="00D6440D" w:rsidP="00D6440D">
      <w:pPr>
        <w:ind w:left="284" w:firstLine="76"/>
      </w:pPr>
      <w:r>
        <w:t>Not applicable</w:t>
      </w:r>
    </w:p>
    <w:p w14:paraId="31BC63EB" w14:textId="77777777" w:rsidR="00534C5F" w:rsidRPr="007E39E4" w:rsidRDefault="000770BA" w:rsidP="00C575B2">
      <w:pPr>
        <w:pStyle w:val="Heading2"/>
        <w:numPr>
          <w:ilvl w:val="0"/>
          <w:numId w:val="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4ADA95A4" w14:textId="77777777" w:rsidR="006B6390" w:rsidRPr="00AA2CFE" w:rsidRDefault="006B6390" w:rsidP="00C575B2">
      <w:pPr>
        <w:pStyle w:val="ListParagraph"/>
        <w:numPr>
          <w:ilvl w:val="0"/>
          <w:numId w:val="1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F1E2E">
        <w:rPr>
          <w:b/>
          <w:szCs w:val="20"/>
        </w:rPr>
      </w:r>
      <w:r w:rsidR="000F1E2E">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5F584F70" w14:textId="2C1D5AA0" w:rsidR="006B6390" w:rsidRPr="00057895" w:rsidRDefault="00696B4B" w:rsidP="00C575B2">
      <w:pPr>
        <w:pStyle w:val="ListParagraph"/>
        <w:numPr>
          <w:ilvl w:val="0"/>
          <w:numId w:val="15"/>
        </w:numPr>
        <w:spacing w:before="0" w:after="0"/>
        <w:ind w:left="851" w:hanging="425"/>
        <w:rPr>
          <w:rStyle w:val="Strong"/>
          <w:b w:val="0"/>
          <w:color w:val="000000" w:themeColor="text1"/>
        </w:rPr>
      </w:pPr>
      <w:r w:rsidRPr="00057895">
        <w:rPr>
          <w:b/>
          <w:bCs/>
          <w:color w:val="000000" w:themeColor="text1"/>
        </w:rPr>
        <w:fldChar w:fldCharType="begin">
          <w:ffData>
            <w:name w:val=""/>
            <w:enabled/>
            <w:calcOnExit w:val="0"/>
            <w:checkBox>
              <w:sizeAuto/>
              <w:default w:val="1"/>
            </w:checkBox>
          </w:ffData>
        </w:fldChar>
      </w:r>
      <w:r w:rsidRPr="00057895">
        <w:rPr>
          <w:b/>
          <w:bCs/>
          <w:color w:val="000000" w:themeColor="text1"/>
        </w:rPr>
        <w:instrText xml:space="preserve"> FORMCHECKBOX </w:instrText>
      </w:r>
      <w:r w:rsidR="000F1E2E">
        <w:rPr>
          <w:b/>
          <w:bCs/>
          <w:color w:val="000000" w:themeColor="text1"/>
        </w:rPr>
      </w:r>
      <w:r w:rsidR="000F1E2E">
        <w:rPr>
          <w:b/>
          <w:bCs/>
          <w:color w:val="000000" w:themeColor="text1"/>
        </w:rPr>
        <w:fldChar w:fldCharType="separate"/>
      </w:r>
      <w:r w:rsidRPr="00057895">
        <w:rPr>
          <w:b/>
          <w:bCs/>
          <w:color w:val="000000" w:themeColor="text1"/>
        </w:rPr>
        <w:fldChar w:fldCharType="end"/>
      </w:r>
      <w:r w:rsidR="45A422D9" w:rsidRPr="00057895">
        <w:rPr>
          <w:b/>
          <w:bCs/>
          <w:color w:val="000000" w:themeColor="text1"/>
        </w:rPr>
        <w:t xml:space="preserve"> </w:t>
      </w:r>
      <w:r w:rsidR="45A422D9" w:rsidRPr="00057895">
        <w:rPr>
          <w:rStyle w:val="Strong"/>
          <w:b w:val="0"/>
          <w:color w:val="000000" w:themeColor="text1"/>
        </w:rPr>
        <w:t>A new item that is proposing a way of clinically delivering a service that is new to the MBS (in terms of new population)</w:t>
      </w:r>
    </w:p>
    <w:p w14:paraId="5290362C" w14:textId="77777777" w:rsidR="006B6390" w:rsidRPr="00AA2CFE" w:rsidRDefault="006B6390" w:rsidP="00C575B2">
      <w:pPr>
        <w:pStyle w:val="ListParagraph"/>
        <w:numPr>
          <w:ilvl w:val="0"/>
          <w:numId w:val="1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F1E2E">
        <w:rPr>
          <w:b/>
          <w:szCs w:val="20"/>
        </w:rPr>
      </w:r>
      <w:r w:rsidR="000F1E2E">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414FAC56" w14:textId="77777777" w:rsidR="006B6390" w:rsidRPr="00AA2CFE" w:rsidRDefault="006B6390" w:rsidP="00C575B2">
      <w:pPr>
        <w:pStyle w:val="ListParagraph"/>
        <w:numPr>
          <w:ilvl w:val="0"/>
          <w:numId w:val="1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0F1E2E">
        <w:rPr>
          <w:b/>
          <w:szCs w:val="20"/>
        </w:rPr>
      </w:r>
      <w:r w:rsidR="000F1E2E">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1FB3E34A" w14:textId="77777777" w:rsidR="003027BB" w:rsidRPr="007E39E4" w:rsidRDefault="00F30C22" w:rsidP="00C575B2">
      <w:pPr>
        <w:pStyle w:val="Heading2"/>
        <w:numPr>
          <w:ilvl w:val="0"/>
          <w:numId w:val="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17949E5B" w14:textId="77777777" w:rsidR="000A5B32" w:rsidRDefault="000A5B32" w:rsidP="00D6440D">
      <w:pPr>
        <w:spacing w:before="0" w:after="0"/>
        <w:ind w:left="360"/>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0F1E2E">
        <w:rPr>
          <w:szCs w:val="20"/>
        </w:rPr>
      </w:r>
      <w:r w:rsidR="000F1E2E">
        <w:rPr>
          <w:szCs w:val="20"/>
        </w:rPr>
        <w:fldChar w:fldCharType="separate"/>
      </w:r>
      <w:r w:rsidRPr="000A5B32">
        <w:rPr>
          <w:szCs w:val="20"/>
        </w:rPr>
        <w:fldChar w:fldCharType="end"/>
      </w:r>
      <w:r w:rsidRPr="279866A2">
        <w:t xml:space="preserve"> </w:t>
      </w:r>
    </w:p>
    <w:p w14:paraId="2D7D562F" w14:textId="237F99C3" w:rsidR="00626365" w:rsidRDefault="00696B4B" w:rsidP="00D6440D">
      <w:pPr>
        <w:spacing w:before="0" w:after="0"/>
        <w:ind w:left="360"/>
      </w:pPr>
      <w:r>
        <w:rPr>
          <w:szCs w:val="20"/>
        </w:rPr>
        <w:fldChar w:fldCharType="begin">
          <w:ffData>
            <w:name w:val=""/>
            <w:enabled/>
            <w:calcOnExit w:val="0"/>
            <w:checkBox>
              <w:sizeAuto/>
              <w:default w:val="1"/>
            </w:checkBox>
          </w:ffData>
        </w:fldChar>
      </w:r>
      <w:r>
        <w:rPr>
          <w:szCs w:val="20"/>
        </w:rPr>
        <w:instrText xml:space="preserve"> FORMCHECKBOX </w:instrText>
      </w:r>
      <w:r w:rsidR="000F1E2E">
        <w:rPr>
          <w:szCs w:val="20"/>
        </w:rPr>
      </w:r>
      <w:r w:rsidR="000F1E2E">
        <w:rPr>
          <w:szCs w:val="20"/>
        </w:rPr>
        <w:fldChar w:fldCharType="separate"/>
      </w:r>
      <w:r>
        <w:rPr>
          <w:szCs w:val="20"/>
        </w:rPr>
        <w:fldChar w:fldCharType="end"/>
      </w:r>
      <w:r w:rsidR="000A5B32" w:rsidRPr="279866A2">
        <w:t xml:space="preserve"> </w:t>
      </w:r>
      <w:r w:rsidR="000A5B32" w:rsidRPr="00057895">
        <w:rPr>
          <w:color w:val="000000" w:themeColor="text1"/>
        </w:rPr>
        <w:t>No</w:t>
      </w:r>
    </w:p>
    <w:p w14:paraId="611E8707" w14:textId="739B513D" w:rsidR="003027BB" w:rsidRPr="007E39E4" w:rsidRDefault="003027BB" w:rsidP="00C575B2">
      <w:pPr>
        <w:pStyle w:val="Heading2"/>
        <w:numPr>
          <w:ilvl w:val="0"/>
          <w:numId w:val="4"/>
        </w:numPr>
        <w:rPr>
          <w:rStyle w:val="Strong"/>
          <w:rFonts w:asciiTheme="minorHAnsi" w:eastAsiaTheme="minorEastAsia" w:hAnsiTheme="minorHAnsi" w:cstheme="minorBidi"/>
          <w:b/>
        </w:rPr>
      </w:pPr>
      <w:r w:rsidRPr="2E4248B8">
        <w:rPr>
          <w:rStyle w:val="Strong"/>
          <w:rFonts w:asciiTheme="minorHAnsi" w:eastAsiaTheme="minorEastAsia" w:hAnsiTheme="minorHAnsi" w:cstheme="minorBidi"/>
          <w:b/>
        </w:rPr>
        <w:t>If yes, please advise:</w:t>
      </w:r>
      <w:r w:rsidR="41AC0F97" w:rsidRPr="2E4248B8">
        <w:rPr>
          <w:rStyle w:val="Strong"/>
          <w:rFonts w:asciiTheme="minorHAnsi" w:eastAsiaTheme="minorEastAsia" w:hAnsiTheme="minorHAnsi" w:cstheme="minorBidi"/>
          <w:b/>
          <w:bCs/>
        </w:rPr>
        <w:t xml:space="preserve"> N/A</w:t>
      </w:r>
    </w:p>
    <w:p w14:paraId="2BF11F85" w14:textId="570D96E1" w:rsidR="000A5B32" w:rsidRPr="00855944" w:rsidRDefault="00696B4B" w:rsidP="00A6491A">
      <w:pPr>
        <w:ind w:left="284"/>
        <w:rPr>
          <w:rStyle w:val="Strong"/>
        </w:rPr>
      </w:pPr>
      <w:r>
        <w:t>NA</w:t>
      </w:r>
    </w:p>
    <w:p w14:paraId="1307940A" w14:textId="77777777" w:rsidR="000B3CD0" w:rsidRDefault="000B3CD0" w:rsidP="00730C04">
      <w:pPr>
        <w:pStyle w:val="Heading2"/>
      </w:pPr>
      <w:r>
        <w:t xml:space="preserve">What is the type of </w:t>
      </w:r>
      <w:r w:rsidR="00B45CA5">
        <w:t xml:space="preserve">medical </w:t>
      </w:r>
      <w:r>
        <w:t>service</w:t>
      </w:r>
      <w:r w:rsidR="00B45CA5">
        <w:t>/technology?</w:t>
      </w:r>
    </w:p>
    <w:p w14:paraId="5766C8FB" w14:textId="77777777" w:rsidR="00A6594E" w:rsidRPr="00057895" w:rsidRDefault="00A6594E" w:rsidP="00A6491A">
      <w:pPr>
        <w:spacing w:before="0" w:after="0"/>
        <w:ind w:left="284"/>
        <w:rPr>
          <w:color w:val="000000" w:themeColor="text1"/>
        </w:rPr>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F1E2E">
        <w:rPr>
          <w:b/>
          <w:szCs w:val="20"/>
        </w:rPr>
      </w:r>
      <w:r w:rsidR="000F1E2E">
        <w:rPr>
          <w:b/>
          <w:szCs w:val="20"/>
        </w:rPr>
        <w:fldChar w:fldCharType="separate"/>
      </w:r>
      <w:r w:rsidRPr="0027105F">
        <w:rPr>
          <w:b/>
          <w:szCs w:val="20"/>
        </w:rPr>
        <w:fldChar w:fldCharType="end"/>
      </w:r>
      <w:r w:rsidRPr="0027105F">
        <w:rPr>
          <w:b/>
          <w:szCs w:val="20"/>
        </w:rPr>
        <w:t xml:space="preserve"> </w:t>
      </w:r>
      <w:r w:rsidRPr="00057895">
        <w:rPr>
          <w:color w:val="000000" w:themeColor="text1"/>
        </w:rPr>
        <w:t>Therapeutic medical service</w:t>
      </w:r>
    </w:p>
    <w:p w14:paraId="395104F7" w14:textId="7F602B9B" w:rsidR="00A6594E" w:rsidRPr="00057895" w:rsidRDefault="00696B4B" w:rsidP="00A6491A">
      <w:pPr>
        <w:spacing w:before="0" w:after="0"/>
        <w:ind w:left="284"/>
        <w:rPr>
          <w:color w:val="000000" w:themeColor="text1"/>
        </w:rPr>
      </w:pPr>
      <w:r w:rsidRPr="00057895">
        <w:rPr>
          <w:b/>
          <w:bCs/>
          <w:color w:val="000000" w:themeColor="text1"/>
        </w:rPr>
        <w:fldChar w:fldCharType="begin">
          <w:ffData>
            <w:name w:val=""/>
            <w:enabled/>
            <w:calcOnExit w:val="0"/>
            <w:checkBox>
              <w:sizeAuto/>
              <w:default w:val="1"/>
            </w:checkBox>
          </w:ffData>
        </w:fldChar>
      </w:r>
      <w:r w:rsidRPr="00057895">
        <w:rPr>
          <w:b/>
          <w:bCs/>
          <w:color w:val="000000" w:themeColor="text1"/>
        </w:rPr>
        <w:instrText xml:space="preserve"> FORMCHECKBOX </w:instrText>
      </w:r>
      <w:r w:rsidR="000F1E2E">
        <w:rPr>
          <w:b/>
          <w:bCs/>
          <w:color w:val="000000" w:themeColor="text1"/>
        </w:rPr>
      </w:r>
      <w:r w:rsidR="000F1E2E">
        <w:rPr>
          <w:b/>
          <w:bCs/>
          <w:color w:val="000000" w:themeColor="text1"/>
        </w:rPr>
        <w:fldChar w:fldCharType="separate"/>
      </w:r>
      <w:r w:rsidRPr="00057895">
        <w:rPr>
          <w:b/>
          <w:bCs/>
          <w:color w:val="000000" w:themeColor="text1"/>
        </w:rPr>
        <w:fldChar w:fldCharType="end"/>
      </w:r>
      <w:r w:rsidR="00A6594E" w:rsidRPr="00057895">
        <w:rPr>
          <w:b/>
          <w:bCs/>
          <w:color w:val="000000" w:themeColor="text1"/>
        </w:rPr>
        <w:t xml:space="preserve"> </w:t>
      </w:r>
      <w:r w:rsidR="00A6594E" w:rsidRPr="00057895">
        <w:rPr>
          <w:color w:val="000000" w:themeColor="text1"/>
        </w:rPr>
        <w:t>Investigative medical service</w:t>
      </w:r>
    </w:p>
    <w:p w14:paraId="0E1010E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F1E2E">
        <w:rPr>
          <w:b/>
          <w:szCs w:val="20"/>
        </w:rPr>
      </w:r>
      <w:r w:rsidR="000F1E2E">
        <w:rPr>
          <w:b/>
          <w:szCs w:val="20"/>
        </w:rPr>
        <w:fldChar w:fldCharType="separate"/>
      </w:r>
      <w:r w:rsidRPr="0027105F">
        <w:rPr>
          <w:b/>
          <w:szCs w:val="20"/>
        </w:rPr>
        <w:fldChar w:fldCharType="end"/>
      </w:r>
      <w:r w:rsidRPr="0027105F">
        <w:rPr>
          <w:b/>
          <w:szCs w:val="20"/>
        </w:rPr>
        <w:t xml:space="preserve"> </w:t>
      </w:r>
      <w:r>
        <w:t>Single consultation medical service</w:t>
      </w:r>
    </w:p>
    <w:p w14:paraId="6563ED9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F1E2E">
        <w:rPr>
          <w:b/>
          <w:szCs w:val="20"/>
        </w:rPr>
      </w:r>
      <w:r w:rsidR="000F1E2E">
        <w:rPr>
          <w:b/>
          <w:szCs w:val="20"/>
        </w:rPr>
        <w:fldChar w:fldCharType="separate"/>
      </w:r>
      <w:r w:rsidRPr="0027105F">
        <w:rPr>
          <w:b/>
          <w:szCs w:val="20"/>
        </w:rPr>
        <w:fldChar w:fldCharType="end"/>
      </w:r>
      <w:r w:rsidRPr="0027105F">
        <w:rPr>
          <w:b/>
          <w:szCs w:val="20"/>
        </w:rPr>
        <w:t xml:space="preserve"> </w:t>
      </w:r>
      <w:r>
        <w:t>Global consultation medical service</w:t>
      </w:r>
    </w:p>
    <w:p w14:paraId="5136F5C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F1E2E">
        <w:rPr>
          <w:b/>
          <w:szCs w:val="20"/>
        </w:rPr>
      </w:r>
      <w:r w:rsidR="000F1E2E">
        <w:rPr>
          <w:b/>
          <w:szCs w:val="20"/>
        </w:rPr>
        <w:fldChar w:fldCharType="separate"/>
      </w:r>
      <w:r w:rsidRPr="0027105F">
        <w:rPr>
          <w:b/>
          <w:szCs w:val="20"/>
        </w:rPr>
        <w:fldChar w:fldCharType="end"/>
      </w:r>
      <w:r w:rsidRPr="0027105F">
        <w:rPr>
          <w:b/>
          <w:szCs w:val="20"/>
        </w:rPr>
        <w:t xml:space="preserve"> </w:t>
      </w:r>
      <w:r>
        <w:t>Allied health service</w:t>
      </w:r>
    </w:p>
    <w:p w14:paraId="4FB0DF7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F1E2E">
        <w:rPr>
          <w:b/>
          <w:szCs w:val="20"/>
        </w:rPr>
      </w:r>
      <w:r w:rsidR="000F1E2E">
        <w:rPr>
          <w:b/>
          <w:szCs w:val="20"/>
        </w:rPr>
        <w:fldChar w:fldCharType="separate"/>
      </w:r>
      <w:r w:rsidRPr="0027105F">
        <w:rPr>
          <w:b/>
          <w:szCs w:val="20"/>
        </w:rPr>
        <w:fldChar w:fldCharType="end"/>
      </w:r>
      <w:r w:rsidRPr="0027105F">
        <w:rPr>
          <w:b/>
          <w:szCs w:val="20"/>
        </w:rPr>
        <w:t xml:space="preserve"> </w:t>
      </w:r>
      <w:r>
        <w:t>Co-dependent technology</w:t>
      </w:r>
    </w:p>
    <w:p w14:paraId="4260E4FD" w14:textId="77777777" w:rsidR="0054594B" w:rsidRPr="00057895" w:rsidRDefault="0054594B" w:rsidP="00730C04">
      <w:pPr>
        <w:pStyle w:val="Heading2"/>
        <w:rPr>
          <w:color w:val="000000" w:themeColor="text1"/>
        </w:rPr>
      </w:pPr>
      <w:r>
        <w:t xml:space="preserve">For investigative services, </w:t>
      </w:r>
      <w:r w:rsidR="00154B00">
        <w:t>advise</w:t>
      </w:r>
      <w:r>
        <w:t xml:space="preserve"> the specific purpose of performing the service </w:t>
      </w:r>
      <w:r w:rsidRPr="4746F29E">
        <w:rPr>
          <w:i/>
          <w:iCs/>
        </w:rPr>
        <w:t xml:space="preserve">(which could be one or more </w:t>
      </w:r>
      <w:r w:rsidRPr="00057895">
        <w:rPr>
          <w:i/>
          <w:iCs/>
          <w:color w:val="000000" w:themeColor="text1"/>
        </w:rPr>
        <w:t>of the following</w:t>
      </w:r>
      <w:r w:rsidR="00154B00" w:rsidRPr="00057895">
        <w:rPr>
          <w:i/>
          <w:iCs/>
          <w:color w:val="000000" w:themeColor="text1"/>
        </w:rPr>
        <w:t>)</w:t>
      </w:r>
      <w:r w:rsidRPr="00057895">
        <w:rPr>
          <w:color w:val="000000" w:themeColor="text1"/>
        </w:rPr>
        <w:t>:</w:t>
      </w:r>
    </w:p>
    <w:p w14:paraId="07915746" w14:textId="27097E99" w:rsidR="00A6594E" w:rsidRPr="00057895" w:rsidRDefault="00BB6DB1" w:rsidP="00C575B2">
      <w:pPr>
        <w:pStyle w:val="ListParagraph"/>
        <w:numPr>
          <w:ilvl w:val="0"/>
          <w:numId w:val="16"/>
        </w:numPr>
        <w:spacing w:before="0" w:after="0"/>
        <w:ind w:left="851" w:hanging="425"/>
        <w:rPr>
          <w:color w:val="000000" w:themeColor="text1"/>
        </w:rPr>
      </w:pPr>
      <w:r w:rsidRPr="00057895">
        <w:rPr>
          <w:b/>
          <w:bCs/>
          <w:color w:val="000000" w:themeColor="text1"/>
        </w:rPr>
        <w:fldChar w:fldCharType="begin">
          <w:ffData>
            <w:name w:val=""/>
            <w:enabled/>
            <w:calcOnExit w:val="0"/>
            <w:checkBox>
              <w:sizeAuto/>
              <w:default w:val="1"/>
            </w:checkBox>
          </w:ffData>
        </w:fldChar>
      </w:r>
      <w:r w:rsidRPr="00057895">
        <w:rPr>
          <w:b/>
          <w:bCs/>
          <w:color w:val="000000" w:themeColor="text1"/>
        </w:rPr>
        <w:instrText xml:space="preserve"> FORMCHECKBOX </w:instrText>
      </w:r>
      <w:r w:rsidR="000F1E2E">
        <w:rPr>
          <w:b/>
          <w:bCs/>
          <w:color w:val="000000" w:themeColor="text1"/>
        </w:rPr>
      </w:r>
      <w:r w:rsidR="000F1E2E">
        <w:rPr>
          <w:b/>
          <w:bCs/>
          <w:color w:val="000000" w:themeColor="text1"/>
        </w:rPr>
        <w:fldChar w:fldCharType="separate"/>
      </w:r>
      <w:r w:rsidRPr="00057895">
        <w:rPr>
          <w:b/>
          <w:bCs/>
          <w:color w:val="000000" w:themeColor="text1"/>
        </w:rPr>
        <w:fldChar w:fldCharType="end"/>
      </w:r>
      <w:r w:rsidR="4C0AB93D" w:rsidRPr="00057895">
        <w:rPr>
          <w:b/>
          <w:bCs/>
          <w:color w:val="000000" w:themeColor="text1"/>
        </w:rPr>
        <w:t xml:space="preserve"> </w:t>
      </w:r>
      <w:r w:rsidR="4C0AB93D" w:rsidRPr="00057895">
        <w:rPr>
          <w:color w:val="000000" w:themeColor="text1"/>
        </w:rPr>
        <w:t xml:space="preserve">To be used as a screening tool in asymptomatic </w:t>
      </w:r>
      <w:r w:rsidR="041FE8BE" w:rsidRPr="00057895">
        <w:rPr>
          <w:color w:val="000000" w:themeColor="text1"/>
        </w:rPr>
        <w:t xml:space="preserve">at-risk </w:t>
      </w:r>
      <w:r w:rsidR="4C0AB93D" w:rsidRPr="00057895">
        <w:rPr>
          <w:color w:val="000000" w:themeColor="text1"/>
        </w:rPr>
        <w:t xml:space="preserve">populations </w:t>
      </w:r>
    </w:p>
    <w:p w14:paraId="6A733F47" w14:textId="29EF5A8A" w:rsidR="00A6594E" w:rsidRPr="00057895" w:rsidRDefault="00BB6DB1" w:rsidP="00C575B2">
      <w:pPr>
        <w:pStyle w:val="ListParagraph"/>
        <w:numPr>
          <w:ilvl w:val="0"/>
          <w:numId w:val="16"/>
        </w:numPr>
        <w:spacing w:before="0" w:after="0"/>
        <w:ind w:left="851" w:hanging="425"/>
        <w:rPr>
          <w:color w:val="000000" w:themeColor="text1"/>
        </w:rPr>
      </w:pPr>
      <w:r w:rsidRPr="00057895">
        <w:rPr>
          <w:b/>
          <w:bCs/>
          <w:color w:val="000000" w:themeColor="text1"/>
        </w:rPr>
        <w:fldChar w:fldCharType="begin">
          <w:ffData>
            <w:name w:val=""/>
            <w:enabled/>
            <w:calcOnExit w:val="0"/>
            <w:checkBox>
              <w:sizeAuto/>
              <w:default w:val="1"/>
            </w:checkBox>
          </w:ffData>
        </w:fldChar>
      </w:r>
      <w:r w:rsidRPr="00057895">
        <w:rPr>
          <w:b/>
          <w:bCs/>
          <w:color w:val="000000" w:themeColor="text1"/>
        </w:rPr>
        <w:instrText xml:space="preserve"> FORMCHECKBOX </w:instrText>
      </w:r>
      <w:r w:rsidR="000F1E2E">
        <w:rPr>
          <w:b/>
          <w:bCs/>
          <w:color w:val="000000" w:themeColor="text1"/>
        </w:rPr>
      </w:r>
      <w:r w:rsidR="000F1E2E">
        <w:rPr>
          <w:b/>
          <w:bCs/>
          <w:color w:val="000000" w:themeColor="text1"/>
        </w:rPr>
        <w:fldChar w:fldCharType="separate"/>
      </w:r>
      <w:r w:rsidRPr="00057895">
        <w:rPr>
          <w:b/>
          <w:bCs/>
          <w:color w:val="000000" w:themeColor="text1"/>
        </w:rPr>
        <w:fldChar w:fldCharType="end"/>
      </w:r>
      <w:r w:rsidR="00A6594E" w:rsidRPr="00057895">
        <w:rPr>
          <w:b/>
          <w:bCs/>
          <w:color w:val="000000" w:themeColor="text1"/>
        </w:rPr>
        <w:t xml:space="preserve"> </w:t>
      </w:r>
      <w:r w:rsidR="00A6594E" w:rsidRPr="00057895">
        <w:rPr>
          <w:color w:val="000000" w:themeColor="text1"/>
        </w:rPr>
        <w:t>Assists in establishing a diagnosis in symptomatic patients</w:t>
      </w:r>
    </w:p>
    <w:p w14:paraId="24FE42F0" w14:textId="33DB6E0D" w:rsidR="00A6594E" w:rsidRPr="00057895" w:rsidRDefault="00BB6DB1" w:rsidP="00C575B2">
      <w:pPr>
        <w:pStyle w:val="ListParagraph"/>
        <w:numPr>
          <w:ilvl w:val="0"/>
          <w:numId w:val="16"/>
        </w:numPr>
        <w:spacing w:before="0" w:after="0"/>
        <w:ind w:left="851" w:hanging="425"/>
        <w:rPr>
          <w:color w:val="000000" w:themeColor="text1"/>
        </w:rPr>
      </w:pPr>
      <w:r w:rsidRPr="00057895">
        <w:rPr>
          <w:b/>
          <w:bCs/>
          <w:color w:val="000000" w:themeColor="text1"/>
        </w:rPr>
        <w:fldChar w:fldCharType="begin">
          <w:ffData>
            <w:name w:val=""/>
            <w:enabled/>
            <w:calcOnExit w:val="0"/>
            <w:checkBox>
              <w:sizeAuto/>
              <w:default w:val="1"/>
            </w:checkBox>
          </w:ffData>
        </w:fldChar>
      </w:r>
      <w:r w:rsidRPr="00057895">
        <w:rPr>
          <w:b/>
          <w:bCs/>
          <w:color w:val="000000" w:themeColor="text1"/>
        </w:rPr>
        <w:instrText xml:space="preserve"> FORMCHECKBOX </w:instrText>
      </w:r>
      <w:r w:rsidR="000F1E2E">
        <w:rPr>
          <w:b/>
          <w:bCs/>
          <w:color w:val="000000" w:themeColor="text1"/>
        </w:rPr>
      </w:r>
      <w:r w:rsidR="000F1E2E">
        <w:rPr>
          <w:b/>
          <w:bCs/>
          <w:color w:val="000000" w:themeColor="text1"/>
        </w:rPr>
        <w:fldChar w:fldCharType="separate"/>
      </w:r>
      <w:r w:rsidRPr="00057895">
        <w:rPr>
          <w:b/>
          <w:bCs/>
          <w:color w:val="000000" w:themeColor="text1"/>
        </w:rPr>
        <w:fldChar w:fldCharType="end"/>
      </w:r>
      <w:r w:rsidR="00A6594E" w:rsidRPr="00057895">
        <w:rPr>
          <w:b/>
          <w:bCs/>
          <w:color w:val="000000" w:themeColor="text1"/>
        </w:rPr>
        <w:t xml:space="preserve"> </w:t>
      </w:r>
      <w:r w:rsidR="00A6594E" w:rsidRPr="00057895">
        <w:rPr>
          <w:color w:val="000000" w:themeColor="text1"/>
        </w:rPr>
        <w:t>Provides information about prognosis</w:t>
      </w:r>
    </w:p>
    <w:p w14:paraId="1021229C" w14:textId="70D1146A" w:rsidR="00A6594E" w:rsidRPr="00057895" w:rsidRDefault="00BB6DB1" w:rsidP="00C575B2">
      <w:pPr>
        <w:pStyle w:val="ListParagraph"/>
        <w:numPr>
          <w:ilvl w:val="0"/>
          <w:numId w:val="16"/>
        </w:numPr>
        <w:spacing w:before="0" w:after="0"/>
        <w:ind w:left="851" w:hanging="425"/>
        <w:rPr>
          <w:color w:val="000000" w:themeColor="text1"/>
        </w:rPr>
      </w:pPr>
      <w:r w:rsidRPr="00057895">
        <w:rPr>
          <w:b/>
          <w:bCs/>
          <w:color w:val="000000" w:themeColor="text1"/>
        </w:rPr>
        <w:fldChar w:fldCharType="begin">
          <w:ffData>
            <w:name w:val=""/>
            <w:enabled/>
            <w:calcOnExit w:val="0"/>
            <w:checkBox>
              <w:sizeAuto/>
              <w:default w:val="1"/>
            </w:checkBox>
          </w:ffData>
        </w:fldChar>
      </w:r>
      <w:r w:rsidRPr="00057895">
        <w:rPr>
          <w:b/>
          <w:bCs/>
          <w:color w:val="000000" w:themeColor="text1"/>
        </w:rPr>
        <w:instrText xml:space="preserve"> FORMCHECKBOX </w:instrText>
      </w:r>
      <w:r w:rsidR="000F1E2E">
        <w:rPr>
          <w:b/>
          <w:bCs/>
          <w:color w:val="000000" w:themeColor="text1"/>
        </w:rPr>
      </w:r>
      <w:r w:rsidR="000F1E2E">
        <w:rPr>
          <w:b/>
          <w:bCs/>
          <w:color w:val="000000" w:themeColor="text1"/>
        </w:rPr>
        <w:fldChar w:fldCharType="separate"/>
      </w:r>
      <w:r w:rsidRPr="00057895">
        <w:rPr>
          <w:b/>
          <w:bCs/>
          <w:color w:val="000000" w:themeColor="text1"/>
        </w:rPr>
        <w:fldChar w:fldCharType="end"/>
      </w:r>
      <w:r w:rsidR="4C0AB93D" w:rsidRPr="00057895">
        <w:rPr>
          <w:b/>
          <w:bCs/>
          <w:color w:val="000000" w:themeColor="text1"/>
        </w:rPr>
        <w:t xml:space="preserve"> </w:t>
      </w:r>
      <w:r w:rsidR="4C0AB93D" w:rsidRPr="00057895">
        <w:rPr>
          <w:color w:val="000000" w:themeColor="text1"/>
        </w:rPr>
        <w:t xml:space="preserve">Identifies a patient as suitable for </w:t>
      </w:r>
      <w:r w:rsidR="4045F0B9" w:rsidRPr="00057895">
        <w:rPr>
          <w:color w:val="000000" w:themeColor="text1"/>
        </w:rPr>
        <w:t xml:space="preserve">specific </w:t>
      </w:r>
      <w:r w:rsidR="4C0AB93D" w:rsidRPr="00057895">
        <w:rPr>
          <w:color w:val="000000" w:themeColor="text1"/>
        </w:rPr>
        <w:t>therapy by predicting a variation in the effect of the therapy</w:t>
      </w:r>
    </w:p>
    <w:p w14:paraId="0DBCFDD1" w14:textId="5BCE58A9" w:rsidR="00A6594E" w:rsidRPr="00057895" w:rsidRDefault="00BB6DB1" w:rsidP="00C575B2">
      <w:pPr>
        <w:pStyle w:val="ListParagraph"/>
        <w:numPr>
          <w:ilvl w:val="0"/>
          <w:numId w:val="16"/>
        </w:numPr>
        <w:spacing w:before="0" w:after="0"/>
        <w:ind w:left="851" w:hanging="425"/>
        <w:rPr>
          <w:color w:val="000000" w:themeColor="text1"/>
        </w:rPr>
      </w:pPr>
      <w:r w:rsidRPr="00057895">
        <w:rPr>
          <w:b/>
          <w:bCs/>
          <w:color w:val="000000" w:themeColor="text1"/>
        </w:rPr>
        <w:fldChar w:fldCharType="begin">
          <w:ffData>
            <w:name w:val=""/>
            <w:enabled/>
            <w:calcOnExit w:val="0"/>
            <w:checkBox>
              <w:sizeAuto/>
              <w:default w:val="1"/>
            </w:checkBox>
          </w:ffData>
        </w:fldChar>
      </w:r>
      <w:r w:rsidRPr="00057895">
        <w:rPr>
          <w:b/>
          <w:bCs/>
          <w:color w:val="000000" w:themeColor="text1"/>
        </w:rPr>
        <w:instrText xml:space="preserve"> FORMCHECKBOX </w:instrText>
      </w:r>
      <w:r w:rsidR="000F1E2E">
        <w:rPr>
          <w:b/>
          <w:bCs/>
          <w:color w:val="000000" w:themeColor="text1"/>
        </w:rPr>
      </w:r>
      <w:r w:rsidR="000F1E2E">
        <w:rPr>
          <w:b/>
          <w:bCs/>
          <w:color w:val="000000" w:themeColor="text1"/>
        </w:rPr>
        <w:fldChar w:fldCharType="separate"/>
      </w:r>
      <w:r w:rsidRPr="00057895">
        <w:rPr>
          <w:b/>
          <w:bCs/>
          <w:color w:val="000000" w:themeColor="text1"/>
        </w:rPr>
        <w:fldChar w:fldCharType="end"/>
      </w:r>
      <w:r w:rsidR="00A6594E" w:rsidRPr="00057895">
        <w:rPr>
          <w:b/>
          <w:bCs/>
          <w:color w:val="000000" w:themeColor="text1"/>
        </w:rPr>
        <w:t xml:space="preserve"> </w:t>
      </w:r>
      <w:r w:rsidR="00A6594E" w:rsidRPr="00057895">
        <w:rPr>
          <w:color w:val="000000" w:themeColor="text1"/>
        </w:rPr>
        <w:t>Monitors a patient over time to assess treatment response and guide subsequent treatment decisions</w:t>
      </w:r>
    </w:p>
    <w:p w14:paraId="40D6CFFB" w14:textId="77777777" w:rsidR="000B3CD0" w:rsidRDefault="000B3CD0" w:rsidP="00730C04">
      <w:pPr>
        <w:pStyle w:val="Heading2"/>
      </w:pPr>
      <w:r>
        <w:t xml:space="preserve">Does </w:t>
      </w:r>
      <w:r w:rsidR="00C209C2">
        <w:t>your</w:t>
      </w:r>
      <w:r>
        <w:t xml:space="preserve"> service rely on another medical </w:t>
      </w:r>
      <w:r w:rsidR="001E1180">
        <w:t>product</w:t>
      </w:r>
      <w:r>
        <w:t xml:space="preserve"> to achieve or to enhance its intended effect?</w:t>
      </w:r>
    </w:p>
    <w:p w14:paraId="7C90D9F1" w14:textId="77777777" w:rsidR="00FE16C1" w:rsidRDefault="00FE16C1" w:rsidP="00D6440D">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F1E2E">
        <w:rPr>
          <w:b/>
          <w:szCs w:val="20"/>
        </w:rPr>
      </w:r>
      <w:r w:rsidR="000F1E2E">
        <w:rPr>
          <w:b/>
          <w:szCs w:val="20"/>
        </w:rPr>
        <w:fldChar w:fldCharType="separate"/>
      </w:r>
      <w:r w:rsidRPr="0027105F">
        <w:rPr>
          <w:b/>
          <w:szCs w:val="20"/>
        </w:rPr>
        <w:fldChar w:fldCharType="end"/>
      </w:r>
      <w:r w:rsidRPr="0027105F">
        <w:rPr>
          <w:b/>
          <w:szCs w:val="20"/>
        </w:rPr>
        <w:t xml:space="preserve"> </w:t>
      </w:r>
      <w:r>
        <w:t>Pharmaceutical / Biological</w:t>
      </w:r>
    </w:p>
    <w:p w14:paraId="2D58B33E" w14:textId="77777777" w:rsidR="00FE16C1" w:rsidRDefault="00FE16C1" w:rsidP="00D6440D">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0F1E2E">
        <w:rPr>
          <w:b/>
          <w:szCs w:val="20"/>
        </w:rPr>
      </w:r>
      <w:r w:rsidR="000F1E2E">
        <w:rPr>
          <w:b/>
          <w:szCs w:val="20"/>
        </w:rPr>
        <w:fldChar w:fldCharType="separate"/>
      </w:r>
      <w:r w:rsidRPr="0027105F">
        <w:rPr>
          <w:b/>
          <w:szCs w:val="20"/>
        </w:rPr>
        <w:fldChar w:fldCharType="end"/>
      </w:r>
      <w:r w:rsidRPr="0027105F">
        <w:rPr>
          <w:b/>
          <w:szCs w:val="20"/>
        </w:rPr>
        <w:t xml:space="preserve"> </w:t>
      </w:r>
      <w:r>
        <w:t>Prosthesis or device</w:t>
      </w:r>
    </w:p>
    <w:p w14:paraId="29F7096D" w14:textId="0FE37116" w:rsidR="00FE16C1" w:rsidRPr="00057895" w:rsidRDefault="001F097F" w:rsidP="00D6440D">
      <w:pPr>
        <w:spacing w:before="0" w:after="0"/>
        <w:ind w:left="360"/>
        <w:rPr>
          <w:color w:val="000000" w:themeColor="text1"/>
        </w:rPr>
      </w:pPr>
      <w:r w:rsidRPr="00057895">
        <w:rPr>
          <w:b/>
          <w:bCs/>
          <w:color w:val="000000" w:themeColor="text1"/>
        </w:rPr>
        <w:fldChar w:fldCharType="begin">
          <w:ffData>
            <w:name w:val=""/>
            <w:enabled/>
            <w:calcOnExit w:val="0"/>
            <w:checkBox>
              <w:sizeAuto/>
              <w:default w:val="1"/>
            </w:checkBox>
          </w:ffData>
        </w:fldChar>
      </w:r>
      <w:r w:rsidRPr="00057895">
        <w:rPr>
          <w:b/>
          <w:bCs/>
          <w:color w:val="000000" w:themeColor="text1"/>
        </w:rPr>
        <w:instrText xml:space="preserve"> FORMCHECKBOX </w:instrText>
      </w:r>
      <w:r w:rsidR="000F1E2E">
        <w:rPr>
          <w:b/>
          <w:bCs/>
          <w:color w:val="000000" w:themeColor="text1"/>
        </w:rPr>
      </w:r>
      <w:r w:rsidR="000F1E2E">
        <w:rPr>
          <w:b/>
          <w:bCs/>
          <w:color w:val="000000" w:themeColor="text1"/>
        </w:rPr>
        <w:fldChar w:fldCharType="separate"/>
      </w:r>
      <w:r w:rsidRPr="00057895">
        <w:rPr>
          <w:b/>
          <w:bCs/>
          <w:color w:val="000000" w:themeColor="text1"/>
        </w:rPr>
        <w:fldChar w:fldCharType="end"/>
      </w:r>
      <w:r w:rsidR="00FE16C1" w:rsidRPr="00057895">
        <w:rPr>
          <w:b/>
          <w:bCs/>
          <w:color w:val="000000" w:themeColor="text1"/>
        </w:rPr>
        <w:t xml:space="preserve"> </w:t>
      </w:r>
      <w:r w:rsidR="00FE16C1" w:rsidRPr="00057895">
        <w:rPr>
          <w:color w:val="000000" w:themeColor="text1"/>
        </w:rPr>
        <w:t>No</w:t>
      </w:r>
    </w:p>
    <w:p w14:paraId="0CFBD92F" w14:textId="43DB41CF" w:rsidR="00FE16C1" w:rsidRDefault="00530204" w:rsidP="00D6440D">
      <w:pPr>
        <w:pStyle w:val="Heading2"/>
        <w:contextualSpacing w:val="0"/>
      </w:pPr>
      <w:r>
        <w:t xml:space="preserve">(a)  </w:t>
      </w:r>
      <w:r w:rsidR="000E5439">
        <w:t>If the proposed service has a pharmaceutical component to it, is it already covered under an existing Pharmaceutical Benefits Scheme (PBS) listing?</w:t>
      </w:r>
    </w:p>
    <w:p w14:paraId="4A89C50B" w14:textId="04A616FD" w:rsidR="00FE16C1" w:rsidRPr="00FE16C1" w:rsidRDefault="00FE16C1" w:rsidP="00D6440D">
      <w:pPr>
        <w:ind w:left="284" w:firstLine="76"/>
      </w:pPr>
      <w:r w:rsidRPr="57EC909B">
        <w:t xml:space="preserve">No  </w:t>
      </w:r>
    </w:p>
    <w:p w14:paraId="50D7A67E" w14:textId="77777777" w:rsidR="00D6440D" w:rsidRDefault="000E5439" w:rsidP="00D6440D">
      <w:pPr>
        <w:pStyle w:val="Heading2"/>
        <w:numPr>
          <w:ilvl w:val="0"/>
          <w:numId w:val="5"/>
        </w:numPr>
        <w:contextualSpacing w:val="0"/>
      </w:pPr>
      <w:r>
        <w:t xml:space="preserve">If yes, </w:t>
      </w:r>
      <w:r w:rsidR="00BB003A">
        <w:t>please list</w:t>
      </w:r>
      <w:r>
        <w:t xml:space="preserve"> the</w:t>
      </w:r>
      <w:r w:rsidR="00BB003A">
        <w:t xml:space="preserve"> relevant</w:t>
      </w:r>
      <w:r>
        <w:t xml:space="preserve"> PBS </w:t>
      </w:r>
      <w:r w:rsidR="001E23EA">
        <w:t>item code</w:t>
      </w:r>
      <w:r>
        <w:t>(s)</w:t>
      </w:r>
      <w:r w:rsidR="007E39E4">
        <w:t>:</w:t>
      </w:r>
      <w:r w:rsidR="394DBFD3">
        <w:t xml:space="preserve"> </w:t>
      </w:r>
    </w:p>
    <w:p w14:paraId="0B3EAB63" w14:textId="45FE7157" w:rsidR="00EC127A" w:rsidRPr="00D6440D" w:rsidRDefault="00D6440D" w:rsidP="00D6440D">
      <w:pPr>
        <w:pStyle w:val="Heading2"/>
        <w:numPr>
          <w:ilvl w:val="0"/>
          <w:numId w:val="0"/>
        </w:numPr>
        <w:ind w:left="360"/>
        <w:contextualSpacing w:val="0"/>
        <w:rPr>
          <w:b w:val="0"/>
          <w:bCs/>
        </w:rPr>
      </w:pPr>
      <w:r w:rsidRPr="00D6440D">
        <w:rPr>
          <w:b w:val="0"/>
          <w:bCs/>
        </w:rPr>
        <w:t>Not applicable</w:t>
      </w:r>
    </w:p>
    <w:p w14:paraId="3C9E3AB0" w14:textId="223AA5FF" w:rsidR="007E39E4" w:rsidRPr="009203C8" w:rsidRDefault="00411735" w:rsidP="00D6440D">
      <w:pPr>
        <w:pStyle w:val="Heading2"/>
        <w:numPr>
          <w:ilvl w:val="0"/>
          <w:numId w:val="5"/>
        </w:numPr>
        <w:contextualSpacing w:val="0"/>
      </w:pPr>
      <w:r>
        <w:t xml:space="preserve">If no, is an application </w:t>
      </w:r>
      <w:r w:rsidR="001E23EA">
        <w:t xml:space="preserve">(submission) </w:t>
      </w:r>
      <w:r>
        <w:t xml:space="preserve">in the process of being considered by the </w:t>
      </w:r>
      <w:r w:rsidR="00802553">
        <w:t>Pharmaceutical Benefits Advisory Committee (</w:t>
      </w:r>
      <w:r>
        <w:t>PBAC</w:t>
      </w:r>
      <w:r w:rsidR="00802553">
        <w:t>)</w:t>
      </w:r>
      <w:r>
        <w:t>?</w:t>
      </w:r>
    </w:p>
    <w:p w14:paraId="62C5B60E" w14:textId="58A8DC14" w:rsidR="279866A2" w:rsidRPr="00D6440D" w:rsidRDefault="00A540A2" w:rsidP="00D6440D">
      <w:pPr>
        <w:ind w:left="284" w:firstLine="76"/>
        <w:rPr>
          <w:color w:val="000000" w:themeColor="text1"/>
        </w:rPr>
      </w:pPr>
      <w:r w:rsidRPr="009203C8">
        <w:rPr>
          <w:color w:val="000000" w:themeColor="text1"/>
          <w:szCs w:val="20"/>
        </w:rPr>
        <w:fldChar w:fldCharType="begin">
          <w:ffData>
            <w:name w:val=""/>
            <w:enabled/>
            <w:calcOnExit w:val="0"/>
            <w:checkBox>
              <w:sizeAuto/>
              <w:default w:val="1"/>
            </w:checkBox>
          </w:ffData>
        </w:fldChar>
      </w:r>
      <w:r w:rsidRPr="009203C8">
        <w:rPr>
          <w:color w:val="000000" w:themeColor="text1"/>
          <w:szCs w:val="20"/>
        </w:rPr>
        <w:instrText xml:space="preserve"> FORMCHECKBOX </w:instrText>
      </w:r>
      <w:r w:rsidR="000F1E2E">
        <w:rPr>
          <w:color w:val="000000" w:themeColor="text1"/>
          <w:szCs w:val="20"/>
        </w:rPr>
      </w:r>
      <w:r w:rsidR="000F1E2E">
        <w:rPr>
          <w:color w:val="000000" w:themeColor="text1"/>
          <w:szCs w:val="20"/>
        </w:rPr>
        <w:fldChar w:fldCharType="separate"/>
      </w:r>
      <w:r w:rsidRPr="009203C8">
        <w:rPr>
          <w:color w:val="000000" w:themeColor="text1"/>
          <w:szCs w:val="20"/>
        </w:rPr>
        <w:fldChar w:fldCharType="end"/>
      </w:r>
      <w:r w:rsidR="001E6919" w:rsidRPr="009203C8">
        <w:rPr>
          <w:color w:val="000000" w:themeColor="text1"/>
        </w:rPr>
        <w:t xml:space="preserve"> </w:t>
      </w:r>
      <w:r w:rsidR="001E6919" w:rsidRPr="009203C8">
        <w:rPr>
          <w:b/>
          <w:bCs/>
          <w:color w:val="000000" w:themeColor="text1"/>
        </w:rPr>
        <w:t>No</w:t>
      </w:r>
    </w:p>
    <w:p w14:paraId="3F235019" w14:textId="77777777" w:rsidR="00D6440D" w:rsidRPr="00D6440D" w:rsidRDefault="000E5439" w:rsidP="00D6440D">
      <w:pPr>
        <w:pStyle w:val="Heading2"/>
        <w:numPr>
          <w:ilvl w:val="0"/>
          <w:numId w:val="5"/>
        </w:numPr>
        <w:ind w:left="714" w:hanging="357"/>
        <w:contextualSpacing w:val="0"/>
      </w:pPr>
      <w:r>
        <w:t>If you are seeking both MBS and PBS listing</w:t>
      </w:r>
      <w:r w:rsidR="00B75965">
        <w:t xml:space="preserve">, what is the trade name and generic name of the </w:t>
      </w:r>
      <w:r w:rsidR="00B75965" w:rsidRPr="57EC909B">
        <w:rPr>
          <w:color w:val="000000" w:themeColor="text1"/>
        </w:rPr>
        <w:t>pharmaceutical?</w:t>
      </w:r>
      <w:r w:rsidR="7B33CA02" w:rsidRPr="57EC909B">
        <w:rPr>
          <w:color w:val="000000" w:themeColor="text1"/>
        </w:rPr>
        <w:t xml:space="preserve"> </w:t>
      </w:r>
    </w:p>
    <w:p w14:paraId="0FCDFA1D" w14:textId="5240FE9A" w:rsidR="000E5439" w:rsidRPr="00D6440D" w:rsidRDefault="00D6440D" w:rsidP="00D6440D">
      <w:pPr>
        <w:pStyle w:val="Heading2"/>
        <w:numPr>
          <w:ilvl w:val="0"/>
          <w:numId w:val="0"/>
        </w:numPr>
        <w:ind w:left="357"/>
        <w:contextualSpacing w:val="0"/>
        <w:rPr>
          <w:b w:val="0"/>
          <w:bCs/>
        </w:rPr>
      </w:pPr>
      <w:r w:rsidRPr="00D6440D">
        <w:rPr>
          <w:b w:val="0"/>
          <w:bCs/>
          <w:color w:val="000000" w:themeColor="text1"/>
        </w:rPr>
        <w:t>Not applicable</w:t>
      </w:r>
    </w:p>
    <w:p w14:paraId="03071AF6" w14:textId="1D499A5C" w:rsidR="00B75965" w:rsidRDefault="00530204" w:rsidP="00D6440D">
      <w:pPr>
        <w:pStyle w:val="Heading2"/>
        <w:ind w:left="357" w:hanging="357"/>
        <w:contextualSpacing w:val="0"/>
      </w:pPr>
      <w:r>
        <w:t xml:space="preserve">(a) </w:t>
      </w:r>
      <w:r w:rsidR="00B75965">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t>is it already included on the Prosthes</w:t>
      </w:r>
      <w:r w:rsidR="00BB003A">
        <w:t>e</w:t>
      </w:r>
      <w:r w:rsidR="00B75965">
        <w:t>s List?</w:t>
      </w:r>
    </w:p>
    <w:p w14:paraId="45E0FAFB" w14:textId="77777777" w:rsidR="00D6440D" w:rsidRPr="00D6440D" w:rsidRDefault="00D6440D" w:rsidP="00D6440D">
      <w:pPr>
        <w:pStyle w:val="Heading2"/>
        <w:numPr>
          <w:ilvl w:val="0"/>
          <w:numId w:val="0"/>
        </w:numPr>
        <w:ind w:left="357"/>
        <w:contextualSpacing w:val="0"/>
        <w:rPr>
          <w:b w:val="0"/>
          <w:bCs/>
        </w:rPr>
      </w:pPr>
      <w:r w:rsidRPr="00D6440D">
        <w:rPr>
          <w:b w:val="0"/>
          <w:bCs/>
          <w:color w:val="000000" w:themeColor="text1"/>
        </w:rPr>
        <w:lastRenderedPageBreak/>
        <w:t>Not applicable</w:t>
      </w:r>
    </w:p>
    <w:p w14:paraId="781215C1" w14:textId="691D343B" w:rsidR="57EC909B" w:rsidRDefault="00B75965" w:rsidP="00D6440D">
      <w:pPr>
        <w:pStyle w:val="Heading2"/>
        <w:numPr>
          <w:ilvl w:val="0"/>
          <w:numId w:val="6"/>
        </w:numPr>
        <w:contextualSpacing w:val="0"/>
        <w:rPr>
          <w:color w:val="000000" w:themeColor="text1"/>
        </w:rPr>
      </w:pPr>
      <w:r>
        <w:t xml:space="preserve">If yes, </w:t>
      </w:r>
      <w:r w:rsidR="00C73B62">
        <w:t>please provide the following information (where relevant)</w:t>
      </w:r>
      <w:r w:rsidR="00C73B62" w:rsidRPr="00D6440D">
        <w:rPr>
          <w:color w:val="000000" w:themeColor="text1"/>
        </w:rPr>
        <w:t xml:space="preserve">: </w:t>
      </w:r>
    </w:p>
    <w:p w14:paraId="2069B0A0" w14:textId="795C2FF9" w:rsidR="00D6440D" w:rsidRPr="00D6440D" w:rsidRDefault="00D6440D" w:rsidP="00D6440D">
      <w:pPr>
        <w:pStyle w:val="Heading2"/>
        <w:numPr>
          <w:ilvl w:val="0"/>
          <w:numId w:val="0"/>
        </w:numPr>
        <w:ind w:left="357"/>
        <w:contextualSpacing w:val="0"/>
        <w:rPr>
          <w:b w:val="0"/>
          <w:bCs/>
        </w:rPr>
      </w:pPr>
      <w:r w:rsidRPr="00D6440D">
        <w:rPr>
          <w:b w:val="0"/>
          <w:bCs/>
          <w:color w:val="000000" w:themeColor="text1"/>
        </w:rPr>
        <w:t>Not applicable</w:t>
      </w:r>
    </w:p>
    <w:p w14:paraId="5E1BF3A9" w14:textId="77777777" w:rsidR="00D6440D" w:rsidRDefault="00411735" w:rsidP="00D6440D">
      <w:pPr>
        <w:pStyle w:val="Heading2"/>
        <w:numPr>
          <w:ilvl w:val="0"/>
          <w:numId w:val="6"/>
        </w:numPr>
        <w:contextualSpacing w:val="0"/>
      </w:pPr>
      <w:r>
        <w:t xml:space="preserve">If no, is an application in the process of being considered by </w:t>
      </w:r>
      <w:r w:rsidR="003433D1">
        <w:t xml:space="preserve">a Clinical Advisory Group or </w:t>
      </w:r>
      <w:r>
        <w:t>the</w:t>
      </w:r>
      <w:r w:rsidR="00BB003A">
        <w:t xml:space="preserve"> Prostheses List Advisory Committee</w:t>
      </w:r>
      <w:r>
        <w:t xml:space="preserve"> </w:t>
      </w:r>
      <w:r w:rsidR="00BB003A">
        <w:t>(</w:t>
      </w:r>
      <w:r>
        <w:t>PLAC</w:t>
      </w:r>
      <w:r w:rsidR="00BB003A">
        <w:t>)</w:t>
      </w:r>
      <w:r>
        <w:t>?</w:t>
      </w:r>
      <w:r w:rsidR="0068DE5D">
        <w:t xml:space="preserve"> </w:t>
      </w:r>
      <w:r w:rsidR="336B5B91">
        <w:t xml:space="preserve"> </w:t>
      </w:r>
    </w:p>
    <w:p w14:paraId="4734F2C7" w14:textId="60A96887" w:rsidR="001E6958" w:rsidRPr="00D6440D" w:rsidRDefault="336B5B91" w:rsidP="00D6440D">
      <w:pPr>
        <w:pStyle w:val="Heading2"/>
        <w:numPr>
          <w:ilvl w:val="0"/>
          <w:numId w:val="0"/>
        </w:numPr>
        <w:ind w:left="360"/>
        <w:contextualSpacing w:val="0"/>
        <w:rPr>
          <w:b w:val="0"/>
          <w:bCs/>
        </w:rPr>
      </w:pPr>
      <w:r w:rsidRPr="00D6440D">
        <w:rPr>
          <w:b w:val="0"/>
          <w:bCs/>
        </w:rPr>
        <w:t>No</w:t>
      </w:r>
    </w:p>
    <w:p w14:paraId="022E59BC" w14:textId="77777777" w:rsidR="00D6440D" w:rsidRDefault="00016B6E" w:rsidP="00D6440D">
      <w:pPr>
        <w:pStyle w:val="Heading2"/>
        <w:numPr>
          <w:ilvl w:val="0"/>
          <w:numId w:val="6"/>
        </w:numPr>
        <w:contextualSpacing w:val="0"/>
      </w:pPr>
      <w:r>
        <w:t>Are there any other sponsor(s) and / or manufacturer(</w:t>
      </w:r>
      <w:r w:rsidR="008B729C">
        <w:t>s) that have a similar prosthesi</w:t>
      </w:r>
      <w:r>
        <w:t>s or device component in the Australian marketplace which this application is relevant to?</w:t>
      </w:r>
      <w:r w:rsidR="12BDCE2A">
        <w:t xml:space="preserve">  </w:t>
      </w:r>
    </w:p>
    <w:p w14:paraId="0BDED788" w14:textId="76039314" w:rsidR="00016B6E" w:rsidRPr="00D6440D" w:rsidRDefault="12BDCE2A" w:rsidP="00D6440D">
      <w:pPr>
        <w:pStyle w:val="Heading2"/>
        <w:numPr>
          <w:ilvl w:val="0"/>
          <w:numId w:val="0"/>
        </w:numPr>
        <w:ind w:left="360"/>
        <w:contextualSpacing w:val="0"/>
        <w:rPr>
          <w:b w:val="0"/>
          <w:bCs/>
        </w:rPr>
      </w:pPr>
      <w:r w:rsidRPr="00D6440D">
        <w:rPr>
          <w:b w:val="0"/>
          <w:bCs/>
        </w:rPr>
        <w:t>No</w:t>
      </w:r>
    </w:p>
    <w:p w14:paraId="73A43A5D" w14:textId="77777777" w:rsidR="00D6440D" w:rsidRPr="00D6440D" w:rsidRDefault="00016B6E" w:rsidP="00D6440D">
      <w:pPr>
        <w:pStyle w:val="ListParagraph"/>
        <w:numPr>
          <w:ilvl w:val="0"/>
          <w:numId w:val="24"/>
        </w:numPr>
        <w:contextualSpacing w:val="0"/>
        <w:rPr>
          <w:rFonts w:eastAsiaTheme="minorEastAsia"/>
          <w:b/>
          <w:bCs/>
          <w:szCs w:val="20"/>
        </w:rPr>
      </w:pPr>
      <w:r w:rsidRPr="00D6440D">
        <w:rPr>
          <w:b/>
          <w:bCs/>
        </w:rPr>
        <w:t>If yes, please provide the name(s) of the spon</w:t>
      </w:r>
      <w:r w:rsidR="009939DC" w:rsidRPr="00D6440D">
        <w:rPr>
          <w:b/>
          <w:bCs/>
        </w:rPr>
        <w:t>sor(s) and / or manufacturer(s):</w:t>
      </w:r>
      <w:r w:rsidR="3C9EC54E" w:rsidRPr="00D6440D">
        <w:rPr>
          <w:b/>
          <w:bCs/>
        </w:rPr>
        <w:t xml:space="preserve"> </w:t>
      </w:r>
    </w:p>
    <w:p w14:paraId="21C4EA38" w14:textId="0C3C98D3" w:rsidR="009939DC" w:rsidRPr="00D6440D" w:rsidRDefault="00D6440D" w:rsidP="00D6440D">
      <w:pPr>
        <w:ind w:left="360"/>
        <w:rPr>
          <w:rFonts w:eastAsiaTheme="minorEastAsia"/>
          <w:b/>
          <w:bCs/>
          <w:szCs w:val="20"/>
        </w:rPr>
      </w:pPr>
      <w:r>
        <w:t>Not applicable</w:t>
      </w:r>
    </w:p>
    <w:p w14:paraId="1EA07DAF" w14:textId="4B9BB949" w:rsidR="0084657B" w:rsidRPr="009939DC" w:rsidRDefault="00A9062D" w:rsidP="00D6440D">
      <w:pPr>
        <w:pStyle w:val="Heading2"/>
        <w:contextualSpacing w:val="0"/>
      </w:pPr>
      <w:r>
        <w:t>P</w:t>
      </w:r>
      <w:r w:rsidR="0084657B">
        <w:t xml:space="preserve">lease identify </w:t>
      </w:r>
      <w:r w:rsidR="00E8649B">
        <w:t xml:space="preserve">any single </w:t>
      </w:r>
      <w:r w:rsidR="00016B6E">
        <w:t>and / or multi-</w:t>
      </w:r>
      <w:r w:rsidR="00E8649B">
        <w:t>use consumables</w:t>
      </w:r>
      <w:r w:rsidR="0084657B">
        <w:t xml:space="preserve"> </w:t>
      </w:r>
      <w:r w:rsidR="00E8649B">
        <w:t>delivered as part of the service?</w:t>
      </w:r>
    </w:p>
    <w:p w14:paraId="375713A3" w14:textId="7338CEBD" w:rsidR="00F301F1" w:rsidRPr="00855944" w:rsidRDefault="009939DC" w:rsidP="00606CE5">
      <w:pPr>
        <w:spacing w:before="0" w:after="0"/>
        <w:ind w:left="284"/>
      </w:pPr>
      <w:r>
        <w:t>Single use consum</w:t>
      </w:r>
      <w:r w:rsidR="00606CE5">
        <w:t xml:space="preserve">ables: </w:t>
      </w:r>
      <w:r w:rsidR="186C97BC" w:rsidRPr="006741ED">
        <w:t xml:space="preserve">Intravenous gadolinium is used in most MRI procedures, unless precluded by the patient’s eGFR being </w:t>
      </w:r>
      <w:r w:rsidR="6DAF4387" w:rsidRPr="006741ED">
        <w:t>&lt;30 ml/min</w:t>
      </w:r>
      <w:r w:rsidR="00D57A8A">
        <w:t xml:space="preserve"> in which case a contrast agent would not be used.</w:t>
      </w:r>
      <w:r w:rsidR="009831A9">
        <w:t xml:space="preserve">  </w:t>
      </w:r>
      <w:r w:rsidR="00254D7A">
        <w:t>This will require the creation of a modifying MBS item which is to be claimed simul</w:t>
      </w:r>
      <w:r w:rsidR="0057616E">
        <w:t>taneously with the proposed MRI item.</w:t>
      </w:r>
      <w:r w:rsidR="0056039F">
        <w:br w:type="page"/>
      </w:r>
    </w:p>
    <w:p w14:paraId="62CA3E53" w14:textId="77777777" w:rsidR="00226777" w:rsidRPr="008D6014" w:rsidRDefault="00530204" w:rsidP="0056015F">
      <w:pPr>
        <w:pStyle w:val="Heading1"/>
      </w:pPr>
      <w:r>
        <w:lastRenderedPageBreak/>
        <w:t>PART 3</w:t>
      </w:r>
      <w:r w:rsidR="00F93784">
        <w:t xml:space="preserve"> – </w:t>
      </w:r>
      <w:r w:rsidR="00226777" w:rsidRPr="00C776B1">
        <w:t xml:space="preserve">INFORMATION ABOUT REGULATORY </w:t>
      </w:r>
      <w:r w:rsidR="00226777" w:rsidRPr="008D6014">
        <w:t>REQUIREMENTS</w:t>
      </w:r>
    </w:p>
    <w:p w14:paraId="1864CE9B" w14:textId="0625D785" w:rsidR="001A1ADF" w:rsidRDefault="76A3BEB1" w:rsidP="4AC5FA4E">
      <w:pPr>
        <w:pStyle w:val="Heading2"/>
      </w:pPr>
      <w:r w:rsidRPr="008D6014">
        <w:t>(a) If the proposed medical service involves use of a medical de</w:t>
      </w:r>
      <w:r w:rsidR="564829F1" w:rsidRPr="008D6014">
        <w:t xml:space="preserve">vice, in-vitro diagnostic test, </w:t>
      </w:r>
      <w:r w:rsidRPr="008D6014">
        <w:t>pharmaceutical product, radioactive tracer, or any other type of therapeutic good, please provide details</w:t>
      </w:r>
      <w:r w:rsidR="00286C82">
        <w:t>.</w:t>
      </w:r>
    </w:p>
    <w:p w14:paraId="0A672811" w14:textId="77A226B2" w:rsidR="001C03E5" w:rsidRPr="00BB69CA" w:rsidRDefault="00BA2095" w:rsidP="00D6440D">
      <w:pPr>
        <w:ind w:left="360"/>
      </w:pPr>
      <w:r>
        <w:t xml:space="preserve">The proposed services </w:t>
      </w:r>
      <w:proofErr w:type="gramStart"/>
      <w:r>
        <w:t>requires</w:t>
      </w:r>
      <w:proofErr w:type="gramEnd"/>
      <w:r>
        <w:t xml:space="preserve"> use of a MRI Scanner and a gadolinium contrast based agent.  Both </w:t>
      </w:r>
      <w:r w:rsidR="00077806">
        <w:t>technologies are currently</w:t>
      </w:r>
      <w:r>
        <w:t xml:space="preserve"> listed on the ARTG. </w:t>
      </w:r>
    </w:p>
    <w:p w14:paraId="7B9E43D6" w14:textId="77777777" w:rsidR="00D56765" w:rsidRPr="00043460" w:rsidRDefault="000E2E02" w:rsidP="00C575B2">
      <w:pPr>
        <w:pStyle w:val="Heading2"/>
        <w:numPr>
          <w:ilvl w:val="0"/>
          <w:numId w:val="7"/>
        </w:numPr>
      </w:pPr>
      <w:r w:rsidRPr="00043460">
        <w:t>Has it been listed on the Australian Register of Therapeutic Goods (ARTG) by the Therapeutic Goods</w:t>
      </w:r>
      <w:r w:rsidR="000F3129" w:rsidRPr="00043460">
        <w:t xml:space="preserve"> </w:t>
      </w:r>
      <w:r w:rsidRPr="00043460">
        <w:t>Administration (TGA)? If the therapeutic good has been listed on the ARTG, please state the ARTG identification numbers, TGA-approved indication(s), and TGA-approved purpose(s).</w:t>
      </w:r>
    </w:p>
    <w:p w14:paraId="049F31CB" w14:textId="277C61C5" w:rsidR="00704082" w:rsidRPr="00043460" w:rsidRDefault="228B7BF9" w:rsidP="00704082">
      <w:pPr>
        <w:ind w:firstLine="352"/>
        <w:contextualSpacing/>
      </w:pPr>
      <w:r w:rsidRPr="00043460">
        <w:t>Yes</w:t>
      </w:r>
    </w:p>
    <w:p w14:paraId="3BF4D419" w14:textId="50CBA10E" w:rsidR="00704082" w:rsidRPr="00966434" w:rsidRDefault="00CF2BDD" w:rsidP="279866A2">
      <w:pPr>
        <w:pStyle w:val="Heading2"/>
      </w:pPr>
      <w:proofErr w:type="spellStart"/>
      <w:r>
        <w:t>Gadovist</w:t>
      </w:r>
      <w:proofErr w:type="spellEnd"/>
      <w:r w:rsidR="00966434">
        <w:t xml:space="preserve"> (Bayer)</w:t>
      </w:r>
      <w:r>
        <w:t xml:space="preserve"> </w:t>
      </w:r>
      <w:r w:rsidR="004A7E50">
        <w:t>ARTG Identification</w:t>
      </w:r>
      <w:r w:rsidR="00FD556E">
        <w:t xml:space="preserve"> numbers: </w:t>
      </w:r>
      <w:r w:rsidR="00FD556E" w:rsidRPr="00966434">
        <w:rPr>
          <w:rFonts w:ascii="Calibri" w:hAnsi="Calibri" w:cs="Calibri"/>
        </w:rPr>
        <w:t>72518, 72517, 72494, 72493, 67046, 67047, 67048, and 286854</w:t>
      </w:r>
    </w:p>
    <w:p w14:paraId="53128261" w14:textId="209A8723" w:rsidR="000F3129" w:rsidRPr="00D6440D" w:rsidRDefault="1EE24B90" w:rsidP="00D6440D">
      <w:pPr>
        <w:spacing w:before="0"/>
        <w:ind w:left="352"/>
        <w:rPr>
          <w:rFonts w:ascii="Calibri" w:eastAsia="Calibri" w:hAnsi="Calibri" w:cs="Calibri"/>
          <w:noProof/>
          <w:szCs w:val="20"/>
        </w:rPr>
      </w:pPr>
      <w:r w:rsidRPr="00D6440D">
        <w:rPr>
          <w:rFonts w:ascii="Calibri" w:eastAsia="Calibri" w:hAnsi="Calibri" w:cs="Calibri"/>
          <w:noProof/>
          <w:szCs w:val="20"/>
        </w:rPr>
        <w:t>Contrast enhancement in whole body MRI including head and neck region, thoracic space, breast, abdomen (pancreas, liver and spleen), pelvis (prostate, bladder and uterus), retroperitoneal space (kidney), extremities and musculoskeletal system</w:t>
      </w:r>
    </w:p>
    <w:p w14:paraId="28F4AC62" w14:textId="01E8E37A" w:rsidR="000E2E02" w:rsidRPr="00F41C5B" w:rsidRDefault="000E2E02" w:rsidP="00C575B2">
      <w:pPr>
        <w:pStyle w:val="Heading2"/>
        <w:numPr>
          <w:ilvl w:val="0"/>
          <w:numId w:val="7"/>
        </w:numPr>
        <w:spacing w:before="0" w:after="0"/>
        <w:ind w:left="709" w:hanging="357"/>
      </w:pPr>
      <w:r w:rsidRPr="00F41C5B">
        <w:t>If a medical device is involved, has the medical device been classified by TGA as a Class III OR Active Implantable Medical Device (AIMD) under the TGA regulatory scheme for devices?</w:t>
      </w:r>
    </w:p>
    <w:p w14:paraId="7D9F0FB9" w14:textId="77777777" w:rsidR="000E2E02" w:rsidRPr="00F41C5B" w:rsidRDefault="000E2E02" w:rsidP="00D6440D">
      <w:pPr>
        <w:spacing w:before="0" w:after="0"/>
        <w:ind w:left="352"/>
        <w:rPr>
          <w:szCs w:val="20"/>
        </w:rPr>
      </w:pPr>
      <w:r w:rsidRPr="00F41C5B">
        <w:rPr>
          <w:szCs w:val="20"/>
        </w:rPr>
        <w:fldChar w:fldCharType="begin">
          <w:ffData>
            <w:name w:val="Check1"/>
            <w:enabled/>
            <w:calcOnExit w:val="0"/>
            <w:checkBox>
              <w:sizeAuto/>
              <w:default w:val="0"/>
            </w:checkBox>
          </w:ffData>
        </w:fldChar>
      </w:r>
      <w:r w:rsidRPr="00F41C5B">
        <w:rPr>
          <w:szCs w:val="20"/>
        </w:rPr>
        <w:instrText xml:space="preserve"> FORMCHECKBOX </w:instrText>
      </w:r>
      <w:r w:rsidR="000F1E2E">
        <w:rPr>
          <w:szCs w:val="20"/>
        </w:rPr>
      </w:r>
      <w:r w:rsidR="000F1E2E">
        <w:rPr>
          <w:szCs w:val="20"/>
        </w:rPr>
        <w:fldChar w:fldCharType="separate"/>
      </w:r>
      <w:r w:rsidRPr="00F41C5B">
        <w:rPr>
          <w:szCs w:val="20"/>
        </w:rPr>
        <w:fldChar w:fldCharType="end"/>
      </w:r>
      <w:r w:rsidRPr="00F41C5B">
        <w:rPr>
          <w:szCs w:val="20"/>
        </w:rPr>
        <w:t xml:space="preserve"> Class III</w:t>
      </w:r>
    </w:p>
    <w:p w14:paraId="29503F2E" w14:textId="77777777" w:rsidR="000E2E02" w:rsidRPr="00F41C5B" w:rsidRDefault="000E2E02" w:rsidP="00D6440D">
      <w:pPr>
        <w:spacing w:before="0" w:after="0"/>
        <w:ind w:left="352"/>
        <w:rPr>
          <w:szCs w:val="20"/>
        </w:rPr>
      </w:pPr>
      <w:r w:rsidRPr="00F41C5B">
        <w:rPr>
          <w:szCs w:val="20"/>
        </w:rPr>
        <w:fldChar w:fldCharType="begin">
          <w:ffData>
            <w:name w:val="Check1"/>
            <w:enabled/>
            <w:calcOnExit w:val="0"/>
            <w:checkBox>
              <w:sizeAuto/>
              <w:default w:val="0"/>
            </w:checkBox>
          </w:ffData>
        </w:fldChar>
      </w:r>
      <w:r w:rsidRPr="00F41C5B">
        <w:rPr>
          <w:szCs w:val="20"/>
        </w:rPr>
        <w:instrText xml:space="preserve"> FORMCHECKBOX </w:instrText>
      </w:r>
      <w:r w:rsidR="000F1E2E">
        <w:rPr>
          <w:szCs w:val="20"/>
        </w:rPr>
      </w:r>
      <w:r w:rsidR="000F1E2E">
        <w:rPr>
          <w:szCs w:val="20"/>
        </w:rPr>
        <w:fldChar w:fldCharType="separate"/>
      </w:r>
      <w:r w:rsidRPr="00F41C5B">
        <w:rPr>
          <w:szCs w:val="20"/>
        </w:rPr>
        <w:fldChar w:fldCharType="end"/>
      </w:r>
      <w:r w:rsidRPr="00F41C5B">
        <w:rPr>
          <w:szCs w:val="20"/>
        </w:rPr>
        <w:t xml:space="preserve"> AIMD</w:t>
      </w:r>
    </w:p>
    <w:p w14:paraId="62486C05" w14:textId="70A4AEFB" w:rsidR="000F3129" w:rsidRPr="00F41C5B" w:rsidRDefault="00FB6E27" w:rsidP="00D6440D">
      <w:pPr>
        <w:spacing w:before="0" w:after="0"/>
        <w:ind w:left="352"/>
        <w:rPr>
          <w:szCs w:val="20"/>
        </w:rPr>
      </w:pPr>
      <w:r w:rsidRPr="00F41C5B">
        <w:rPr>
          <w:szCs w:val="20"/>
        </w:rPr>
        <w:fldChar w:fldCharType="begin">
          <w:ffData>
            <w:name w:val=""/>
            <w:enabled/>
            <w:calcOnExit w:val="0"/>
            <w:checkBox>
              <w:sizeAuto/>
              <w:default w:val="1"/>
            </w:checkBox>
          </w:ffData>
        </w:fldChar>
      </w:r>
      <w:r w:rsidRPr="00F41C5B">
        <w:rPr>
          <w:szCs w:val="20"/>
        </w:rPr>
        <w:instrText xml:space="preserve"> FORMCHECKBOX </w:instrText>
      </w:r>
      <w:r w:rsidR="000F1E2E">
        <w:rPr>
          <w:szCs w:val="20"/>
        </w:rPr>
      </w:r>
      <w:r w:rsidR="000F1E2E">
        <w:rPr>
          <w:szCs w:val="20"/>
        </w:rPr>
        <w:fldChar w:fldCharType="separate"/>
      </w:r>
      <w:r w:rsidRPr="00F41C5B">
        <w:rPr>
          <w:szCs w:val="20"/>
        </w:rPr>
        <w:fldChar w:fldCharType="end"/>
      </w:r>
      <w:r w:rsidR="000E2E02" w:rsidRPr="00F41C5B">
        <w:rPr>
          <w:szCs w:val="20"/>
        </w:rPr>
        <w:t xml:space="preserve"> N/A</w:t>
      </w:r>
    </w:p>
    <w:p w14:paraId="433FBA4A" w14:textId="77777777" w:rsidR="00D6440D" w:rsidRDefault="000E2E02" w:rsidP="000E2E02">
      <w:pPr>
        <w:pStyle w:val="Heading2"/>
        <w:numPr>
          <w:ilvl w:val="0"/>
          <w:numId w:val="7"/>
        </w:numPr>
        <w:rPr>
          <w:lang w:val="en-GB"/>
        </w:rPr>
      </w:pPr>
      <w:r w:rsidRPr="00F41C5B">
        <w:rPr>
          <w:lang w:val="en-GB"/>
        </w:rPr>
        <w:t>Is the therapeutic good classified by TGA for Research Use Only (RUO)?</w:t>
      </w:r>
      <w:r w:rsidR="26F8F648" w:rsidRPr="00A11B6C">
        <w:rPr>
          <w:lang w:val="en-GB"/>
        </w:rPr>
        <w:t xml:space="preserve"> </w:t>
      </w:r>
    </w:p>
    <w:p w14:paraId="4101652C" w14:textId="1FAB1572" w:rsidR="000E2E02" w:rsidRPr="00D6440D" w:rsidRDefault="00D6440D" w:rsidP="00D6440D">
      <w:pPr>
        <w:pStyle w:val="Heading2"/>
        <w:numPr>
          <w:ilvl w:val="0"/>
          <w:numId w:val="0"/>
        </w:numPr>
        <w:ind w:left="357"/>
        <w:contextualSpacing w:val="0"/>
        <w:rPr>
          <w:b w:val="0"/>
          <w:bCs/>
          <w:lang w:val="en-GB"/>
        </w:rPr>
      </w:pPr>
      <w:r w:rsidRPr="00D6440D">
        <w:rPr>
          <w:b w:val="0"/>
          <w:bCs/>
        </w:rPr>
        <w:t>No</w:t>
      </w:r>
    </w:p>
    <w:p w14:paraId="181A42DF" w14:textId="7B6A7A96" w:rsidR="003421AE" w:rsidRPr="00F41C5B" w:rsidRDefault="33C12B84" w:rsidP="1D8889F0">
      <w:pPr>
        <w:pStyle w:val="Heading2"/>
      </w:pPr>
      <w:r w:rsidRPr="00F41C5B">
        <w:t xml:space="preserve">(a) </w:t>
      </w:r>
      <w:r w:rsidR="2FBDBD49" w:rsidRPr="00F41C5B">
        <w:rPr>
          <w:u w:val="single"/>
        </w:rPr>
        <w:t>If not listed on the ARTG</w:t>
      </w:r>
      <w:r w:rsidR="2FBDBD49" w:rsidRPr="00F41C5B">
        <w:t>, i</w:t>
      </w:r>
      <w:r w:rsidR="163AF368" w:rsidRPr="00F41C5B">
        <w:t xml:space="preserve">s the therapeutic good to be used in the service exempt from the regulatory requirements of the </w:t>
      </w:r>
      <w:r w:rsidR="163AF368" w:rsidRPr="00F41C5B">
        <w:rPr>
          <w:i/>
          <w:iCs/>
        </w:rPr>
        <w:t>Therapeutic Goods Act 1989</w:t>
      </w:r>
      <w:r w:rsidR="163AF368" w:rsidRPr="00F41C5B">
        <w:t>?</w:t>
      </w:r>
      <w:r w:rsidR="4F7374D5" w:rsidRPr="00F41C5B">
        <w:t xml:space="preserve"> </w:t>
      </w:r>
      <w:r w:rsidR="4F7374D5" w:rsidRPr="00205FAB">
        <w:t>N/A</w:t>
      </w:r>
    </w:p>
    <w:p w14:paraId="73AFFD37" w14:textId="6B686A68" w:rsidR="00F24FD6" w:rsidRDefault="00D6440D" w:rsidP="00D56765">
      <w:pPr>
        <w:spacing w:before="0" w:after="0"/>
        <w:ind w:left="284"/>
        <w:rPr>
          <w:szCs w:val="20"/>
        </w:rPr>
      </w:pPr>
      <w:r>
        <w:rPr>
          <w:szCs w:val="20"/>
        </w:rPr>
        <w:t>Not applicable</w:t>
      </w:r>
    </w:p>
    <w:p w14:paraId="4B99056E" w14:textId="77777777" w:rsidR="00D56765" w:rsidRPr="00D56765" w:rsidRDefault="00D56765" w:rsidP="00D56765">
      <w:pPr>
        <w:spacing w:before="0" w:after="0"/>
        <w:ind w:left="284"/>
        <w:rPr>
          <w:b/>
          <w:szCs w:val="20"/>
        </w:rPr>
      </w:pPr>
    </w:p>
    <w:p w14:paraId="07FCA208" w14:textId="77777777" w:rsidR="00FF23B8" w:rsidRDefault="00FF23B8" w:rsidP="00C575B2">
      <w:pPr>
        <w:pStyle w:val="Heading2"/>
        <w:numPr>
          <w:ilvl w:val="0"/>
          <w:numId w:val="8"/>
        </w:numPr>
        <w:spacing w:before="0" w:after="0"/>
      </w:pPr>
      <w:r w:rsidRPr="00154B00">
        <w:t xml:space="preserve">If </w:t>
      </w:r>
      <w:r>
        <w:t xml:space="preserve">the therapeutic good is </w:t>
      </w:r>
      <w:r w:rsidRPr="00296405">
        <w:rPr>
          <w:u w:val="single"/>
        </w:rPr>
        <w:t>not ARTG listed</w:t>
      </w:r>
      <w:r>
        <w:t xml:space="preserve">, is the therapeutic good </w:t>
      </w:r>
      <w:r w:rsidR="00B80335">
        <w:t>in the process of being considered by TGA</w:t>
      </w:r>
      <w:r>
        <w:t>?</w:t>
      </w:r>
    </w:p>
    <w:p w14:paraId="2B5A5622" w14:textId="2060C387" w:rsidR="00FF23B8" w:rsidRPr="0047581D" w:rsidRDefault="00D6440D" w:rsidP="00D6440D">
      <w:pPr>
        <w:spacing w:before="0" w:after="0"/>
        <w:ind w:firstLine="360"/>
        <w:rPr>
          <w:szCs w:val="20"/>
        </w:rPr>
      </w:pPr>
      <w:r>
        <w:t>Not applicable</w:t>
      </w:r>
    </w:p>
    <w:p w14:paraId="3461D779" w14:textId="77777777" w:rsidR="00FF23B8" w:rsidRDefault="00FF23B8" w:rsidP="00A75D46">
      <w:pPr>
        <w:spacing w:before="0" w:after="0"/>
        <w:rPr>
          <w:szCs w:val="20"/>
        </w:rPr>
      </w:pPr>
    </w:p>
    <w:p w14:paraId="1C840DB3" w14:textId="77777777" w:rsidR="00FF23B8" w:rsidRPr="00FF23B8" w:rsidRDefault="00FF23B8" w:rsidP="00C575B2">
      <w:pPr>
        <w:pStyle w:val="ListParagraph"/>
        <w:numPr>
          <w:ilvl w:val="0"/>
          <w:numId w:val="8"/>
        </w:numPr>
        <w:rPr>
          <w:b/>
          <w:szCs w:val="20"/>
        </w:rPr>
      </w:pPr>
      <w:r>
        <w:t xml:space="preserve">If </w:t>
      </w:r>
      <w:r w:rsidRPr="00FF23B8">
        <w:rPr>
          <w:b/>
          <w:szCs w:val="20"/>
        </w:rPr>
        <w:t xml:space="preserve">the therapeutic good is NOT </w:t>
      </w:r>
      <w:r>
        <w:rPr>
          <w:b/>
          <w:szCs w:val="20"/>
        </w:rPr>
        <w:t>in the process of being considered</w:t>
      </w:r>
      <w:r w:rsidRPr="00FF23B8">
        <w:rPr>
          <w:b/>
          <w:szCs w:val="20"/>
        </w:rPr>
        <w:t xml:space="preserve"> by TGA, is an application to TGA being prepared?</w:t>
      </w:r>
    </w:p>
    <w:p w14:paraId="0FB78278" w14:textId="3D4F20F8" w:rsidR="00F83A9D" w:rsidRPr="00154B00" w:rsidRDefault="00D6440D" w:rsidP="00D6440D">
      <w:pPr>
        <w:ind w:firstLine="360"/>
        <w:rPr>
          <w:szCs w:val="20"/>
        </w:rPr>
      </w:pPr>
      <w:r>
        <w:rPr>
          <w:szCs w:val="20"/>
        </w:rPr>
        <w:t>Not applicable</w:t>
      </w:r>
    </w:p>
    <w:p w14:paraId="1FC39945" w14:textId="77777777" w:rsidR="00DD308E" w:rsidRDefault="00DD308E">
      <w:pPr>
        <w:rPr>
          <w:b/>
          <w:sz w:val="32"/>
          <w:szCs w:val="32"/>
        </w:rPr>
        <w:sectPr w:rsidR="00DD308E" w:rsidSect="00991EE4">
          <w:footerReference w:type="default" r:id="rId14"/>
          <w:pgSz w:w="11906" w:h="16838"/>
          <w:pgMar w:top="1440" w:right="1440" w:bottom="1440" w:left="1440" w:header="708" w:footer="708" w:gutter="0"/>
          <w:pgNumType w:start="0"/>
          <w:cols w:space="708"/>
          <w:titlePg/>
          <w:docGrid w:linePitch="360"/>
        </w:sectPr>
      </w:pPr>
    </w:p>
    <w:p w14:paraId="4442D2BE"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11B93B2C" w14:textId="19A0BCAB" w:rsidR="00DD308E" w:rsidRPr="00643755" w:rsidRDefault="00643755" w:rsidP="00643755">
      <w:pPr>
        <w:pStyle w:val="Heading2"/>
      </w:pPr>
      <w:r>
        <w:t xml:space="preserve">Provide one or more recent (published) high quality clinical studies that support use of the proposed health service/technology. </w:t>
      </w:r>
    </w:p>
    <w:tbl>
      <w:tblPr>
        <w:tblStyle w:val="TableGrid"/>
        <w:tblW w:w="13948" w:type="dxa"/>
        <w:tblLayout w:type="fixed"/>
        <w:tblLook w:val="04A0" w:firstRow="1" w:lastRow="0" w:firstColumn="1" w:lastColumn="0" w:noHBand="0" w:noVBand="1"/>
        <w:tblCaption w:val="Summary of Evidence - Published"/>
      </w:tblPr>
      <w:tblGrid>
        <w:gridCol w:w="555"/>
        <w:gridCol w:w="1425"/>
        <w:gridCol w:w="2551"/>
        <w:gridCol w:w="5529"/>
        <w:gridCol w:w="2409"/>
        <w:gridCol w:w="1479"/>
      </w:tblGrid>
      <w:tr w:rsidR="00DC2C80" w14:paraId="4A071688" w14:textId="77777777" w:rsidTr="00D6440D">
        <w:trPr>
          <w:cantSplit/>
          <w:tblHeader/>
        </w:trPr>
        <w:tc>
          <w:tcPr>
            <w:tcW w:w="555" w:type="dxa"/>
          </w:tcPr>
          <w:p w14:paraId="0562CB0E" w14:textId="77777777" w:rsidR="00DD308E" w:rsidRDefault="00DD308E" w:rsidP="00855944">
            <w:pPr>
              <w:pStyle w:val="TableHEADER"/>
            </w:pPr>
          </w:p>
        </w:tc>
        <w:tc>
          <w:tcPr>
            <w:tcW w:w="1425" w:type="dxa"/>
          </w:tcPr>
          <w:p w14:paraId="07826D0D" w14:textId="1130B14F" w:rsidR="00DD308E" w:rsidRDefault="00DD308E" w:rsidP="00855944">
            <w:pPr>
              <w:pStyle w:val="TableHEADER"/>
            </w:pPr>
            <w:r>
              <w:t>Type of study design</w:t>
            </w:r>
          </w:p>
        </w:tc>
        <w:tc>
          <w:tcPr>
            <w:tcW w:w="2551" w:type="dxa"/>
          </w:tcPr>
          <w:p w14:paraId="40B239AC" w14:textId="71BD2632" w:rsidR="00DD308E" w:rsidRDefault="00DD308E" w:rsidP="00855944">
            <w:pPr>
              <w:pStyle w:val="TableHEADER"/>
            </w:pPr>
            <w:r>
              <w:t>Title of journal article or research project</w:t>
            </w:r>
          </w:p>
        </w:tc>
        <w:tc>
          <w:tcPr>
            <w:tcW w:w="5529" w:type="dxa"/>
          </w:tcPr>
          <w:p w14:paraId="12C94975" w14:textId="32FEBD9E" w:rsidR="00DD308E" w:rsidRDefault="00DD308E" w:rsidP="00855944">
            <w:pPr>
              <w:pStyle w:val="TableHEADER"/>
            </w:pPr>
            <w:r>
              <w:t>Short description of research</w:t>
            </w:r>
          </w:p>
        </w:tc>
        <w:tc>
          <w:tcPr>
            <w:tcW w:w="2409" w:type="dxa"/>
          </w:tcPr>
          <w:p w14:paraId="2FF36F80" w14:textId="40E3D99F" w:rsidR="00DD308E" w:rsidRDefault="00DD308E" w:rsidP="00855944">
            <w:pPr>
              <w:pStyle w:val="TableHEADER"/>
            </w:pPr>
            <w:r w:rsidRPr="00E82F54">
              <w:t xml:space="preserve">Website link to </w:t>
            </w:r>
            <w:r>
              <w:t>journal article or research</w:t>
            </w:r>
          </w:p>
        </w:tc>
        <w:tc>
          <w:tcPr>
            <w:tcW w:w="1479" w:type="dxa"/>
          </w:tcPr>
          <w:p w14:paraId="4897E1DD" w14:textId="00208B85" w:rsidR="00DD308E" w:rsidRDefault="00DD308E" w:rsidP="00855944">
            <w:pPr>
              <w:pStyle w:val="TableHEADER"/>
            </w:pPr>
            <w:r w:rsidRPr="00E82F54">
              <w:t>Date</w:t>
            </w:r>
            <w:r>
              <w:t xml:space="preserve"> of publication</w:t>
            </w:r>
          </w:p>
        </w:tc>
      </w:tr>
      <w:tr w:rsidR="00DC2C80" w14:paraId="5520D9C4" w14:textId="77777777" w:rsidTr="00D6440D">
        <w:trPr>
          <w:cantSplit/>
        </w:trPr>
        <w:tc>
          <w:tcPr>
            <w:tcW w:w="555" w:type="dxa"/>
          </w:tcPr>
          <w:p w14:paraId="0135CBF0" w14:textId="77777777" w:rsidR="00DD308E" w:rsidRPr="00965B6B" w:rsidRDefault="00DD308E" w:rsidP="00DD308E">
            <w:pPr>
              <w:rPr>
                <w:szCs w:val="20"/>
              </w:rPr>
            </w:pPr>
            <w:r w:rsidRPr="00965B6B">
              <w:rPr>
                <w:szCs w:val="20"/>
              </w:rPr>
              <w:t>1</w:t>
            </w:r>
            <w:r>
              <w:rPr>
                <w:szCs w:val="20"/>
              </w:rPr>
              <w:t>.</w:t>
            </w:r>
          </w:p>
        </w:tc>
        <w:tc>
          <w:tcPr>
            <w:tcW w:w="1425" w:type="dxa"/>
          </w:tcPr>
          <w:p w14:paraId="18A27192" w14:textId="0B6CE301" w:rsidR="00DD308E" w:rsidRPr="0024626D" w:rsidRDefault="22FC2A87" w:rsidP="279866A2">
            <w:r w:rsidRPr="0024626D">
              <w:t>Review</w:t>
            </w:r>
            <w:r w:rsidR="6BAEDF4D" w:rsidRPr="0024626D">
              <w:t xml:space="preserve"> </w:t>
            </w:r>
            <w:r w:rsidR="2B3B01E4" w:rsidRPr="0024626D">
              <w:rPr>
                <w:noProof/>
              </w:rPr>
              <w:t xml:space="preserve">of </w:t>
            </w:r>
            <w:r w:rsidR="6BAEDF4D" w:rsidRPr="0024626D">
              <w:t>TSC</w:t>
            </w:r>
          </w:p>
        </w:tc>
        <w:tc>
          <w:tcPr>
            <w:tcW w:w="2551" w:type="dxa"/>
          </w:tcPr>
          <w:p w14:paraId="3D3D98D0" w14:textId="66374662" w:rsidR="00DD308E" w:rsidRPr="0024626D" w:rsidRDefault="7D5BF31E" w:rsidP="279866A2">
            <w:pPr>
              <w:rPr>
                <w:noProof/>
                <w:szCs w:val="20"/>
              </w:rPr>
            </w:pPr>
            <w:r w:rsidRPr="0024626D">
              <w:rPr>
                <w:noProof/>
                <w:szCs w:val="20"/>
              </w:rPr>
              <w:t>Renal disease in tuberous sclerosis complex: pathogenesis and therapy</w:t>
            </w:r>
          </w:p>
        </w:tc>
        <w:tc>
          <w:tcPr>
            <w:tcW w:w="5529" w:type="dxa"/>
          </w:tcPr>
          <w:p w14:paraId="127CC10E" w14:textId="42247C80" w:rsidR="00DD308E" w:rsidRPr="00BA2095" w:rsidRDefault="739019D5" w:rsidP="279866A2">
            <w:pPr>
              <w:rPr>
                <w:noProof/>
                <w:szCs w:val="20"/>
              </w:rPr>
            </w:pPr>
            <w:r w:rsidRPr="00BA2095">
              <w:rPr>
                <w:noProof/>
                <w:szCs w:val="20"/>
              </w:rPr>
              <w:t>Key points:</w:t>
            </w:r>
          </w:p>
          <w:p w14:paraId="2EC2E853" w14:textId="1E500C29" w:rsidR="00DD308E" w:rsidRPr="00BA2095" w:rsidRDefault="739019D5" w:rsidP="279866A2">
            <w:pPr>
              <w:rPr>
                <w:noProof/>
                <w:szCs w:val="20"/>
              </w:rPr>
            </w:pPr>
            <w:r w:rsidRPr="00BA2095">
              <w:rPr>
                <w:noProof/>
                <w:szCs w:val="20"/>
              </w:rPr>
              <w:t>1.RCC occurs in ~2–4% of patients with TSC</w:t>
            </w:r>
          </w:p>
          <w:p w14:paraId="5B897887" w14:textId="2BBEC7F7" w:rsidR="00DD308E" w:rsidRPr="00BA2095" w:rsidRDefault="739019D5" w:rsidP="279866A2">
            <w:pPr>
              <w:rPr>
                <w:noProof/>
                <w:szCs w:val="20"/>
              </w:rPr>
            </w:pPr>
            <w:r w:rsidRPr="00BA2095">
              <w:rPr>
                <w:noProof/>
                <w:szCs w:val="20"/>
              </w:rPr>
              <w:t xml:space="preserve">2. The median age of onset of RCC is two decades earlier in patients with TSC than in the general population </w:t>
            </w:r>
          </w:p>
          <w:p w14:paraId="2163FBA4" w14:textId="5B26F4E8" w:rsidR="00DD308E" w:rsidRPr="00BA2095" w:rsidRDefault="739019D5" w:rsidP="279866A2">
            <w:pPr>
              <w:rPr>
                <w:noProof/>
                <w:szCs w:val="20"/>
              </w:rPr>
            </w:pPr>
            <w:r w:rsidRPr="00BA2095">
              <w:rPr>
                <w:noProof/>
                <w:szCs w:val="20"/>
              </w:rPr>
              <w:t>3. RCC can develop in young children and even infants with TSC</w:t>
            </w:r>
          </w:p>
          <w:p w14:paraId="36A4C837" w14:textId="58BEEDBA" w:rsidR="00DD308E" w:rsidRPr="00BA2095" w:rsidRDefault="739019D5" w:rsidP="279866A2">
            <w:pPr>
              <w:rPr>
                <w:noProof/>
                <w:szCs w:val="20"/>
              </w:rPr>
            </w:pPr>
            <w:r w:rsidRPr="00BA2095">
              <w:rPr>
                <w:noProof/>
                <w:szCs w:val="20"/>
              </w:rPr>
              <w:t>4.Multiple bilateral RCCs can develop in the same patient</w:t>
            </w:r>
          </w:p>
          <w:p w14:paraId="421FEA88" w14:textId="042F9C2B" w:rsidR="00DD308E" w:rsidRPr="0024626D" w:rsidRDefault="739019D5" w:rsidP="279866A2">
            <w:pPr>
              <w:rPr>
                <w:rFonts w:ascii="Calibri" w:eastAsia="Calibri" w:hAnsi="Calibri" w:cs="Calibri"/>
                <w:noProof/>
                <w:szCs w:val="20"/>
              </w:rPr>
            </w:pPr>
            <w:r w:rsidRPr="00BA2095">
              <w:rPr>
                <w:noProof/>
                <w:szCs w:val="20"/>
              </w:rPr>
              <w:t>5. Routine imaging frequently identifies early RCCs</w:t>
            </w:r>
            <w:r w:rsidR="4A49F28F" w:rsidRPr="00BA2095">
              <w:rPr>
                <w:noProof/>
                <w:szCs w:val="20"/>
              </w:rPr>
              <w:t>, allowing for nephon-sparing therapy</w:t>
            </w:r>
          </w:p>
        </w:tc>
        <w:tc>
          <w:tcPr>
            <w:tcW w:w="2409" w:type="dxa"/>
          </w:tcPr>
          <w:p w14:paraId="3B3483FF" w14:textId="721C598B" w:rsidR="00DD308E" w:rsidRPr="0024626D" w:rsidRDefault="106EA9DE" w:rsidP="279866A2">
            <w:pPr>
              <w:rPr>
                <w:noProof/>
                <w:szCs w:val="20"/>
              </w:rPr>
            </w:pPr>
            <w:r w:rsidRPr="0024626D">
              <w:rPr>
                <w:noProof/>
                <w:szCs w:val="20"/>
              </w:rPr>
              <w:t>https://www.nature.com/articles/s41581-018-0059-6</w:t>
            </w:r>
          </w:p>
        </w:tc>
        <w:tc>
          <w:tcPr>
            <w:tcW w:w="1479" w:type="dxa"/>
          </w:tcPr>
          <w:p w14:paraId="4AB94A43" w14:textId="1C1560C7" w:rsidR="00DD308E" w:rsidRPr="0024626D" w:rsidRDefault="76205421" w:rsidP="279866A2">
            <w:pPr>
              <w:rPr>
                <w:b/>
                <w:bCs/>
              </w:rPr>
            </w:pPr>
            <w:r w:rsidRPr="0024626D">
              <w:rPr>
                <w:b/>
                <w:bCs/>
              </w:rPr>
              <w:t>19 September 2018</w:t>
            </w:r>
          </w:p>
        </w:tc>
      </w:tr>
      <w:tr w:rsidR="00DC2C80" w14:paraId="05C3AD60" w14:textId="77777777" w:rsidTr="00D6440D">
        <w:trPr>
          <w:cantSplit/>
        </w:trPr>
        <w:tc>
          <w:tcPr>
            <w:tcW w:w="555" w:type="dxa"/>
          </w:tcPr>
          <w:p w14:paraId="47886996" w14:textId="77777777" w:rsidR="00DD308E" w:rsidRPr="00965B6B" w:rsidRDefault="00DD308E" w:rsidP="00DD308E">
            <w:pPr>
              <w:rPr>
                <w:szCs w:val="20"/>
              </w:rPr>
            </w:pPr>
            <w:r>
              <w:rPr>
                <w:szCs w:val="20"/>
              </w:rPr>
              <w:t>2.</w:t>
            </w:r>
          </w:p>
        </w:tc>
        <w:tc>
          <w:tcPr>
            <w:tcW w:w="1425" w:type="dxa"/>
          </w:tcPr>
          <w:p w14:paraId="4B148ECB" w14:textId="1DB41414" w:rsidR="00DD308E" w:rsidRPr="0024626D" w:rsidRDefault="0BD83A93" w:rsidP="279866A2">
            <w:pPr>
              <w:rPr>
                <w:noProof/>
                <w:szCs w:val="20"/>
              </w:rPr>
            </w:pPr>
            <w:r w:rsidRPr="0024626D">
              <w:rPr>
                <w:noProof/>
                <w:szCs w:val="20"/>
              </w:rPr>
              <w:t>Delphi Consensus guidelines from 51 TSC experts</w:t>
            </w:r>
          </w:p>
        </w:tc>
        <w:tc>
          <w:tcPr>
            <w:tcW w:w="2551" w:type="dxa"/>
          </w:tcPr>
          <w:p w14:paraId="19F0EF12" w14:textId="130BA93D" w:rsidR="00C90867" w:rsidRPr="0024626D" w:rsidRDefault="00C90867" w:rsidP="279866A2">
            <w:pPr>
              <w:rPr>
                <w:noProof/>
                <w:szCs w:val="20"/>
              </w:rPr>
            </w:pPr>
            <w:r w:rsidRPr="0024626D">
              <w:rPr>
                <w:noProof/>
                <w:szCs w:val="20"/>
              </w:rPr>
              <w:t>Amin et al</w:t>
            </w:r>
          </w:p>
          <w:p w14:paraId="6A44A5B2" w14:textId="3E067CDD" w:rsidR="00DD308E" w:rsidRPr="0024626D" w:rsidRDefault="06BF4937" w:rsidP="279866A2">
            <w:pPr>
              <w:rPr>
                <w:noProof/>
                <w:szCs w:val="20"/>
              </w:rPr>
            </w:pPr>
            <w:r w:rsidRPr="0024626D">
              <w:rPr>
                <w:noProof/>
                <w:szCs w:val="20"/>
              </w:rPr>
              <w:t>The UK Guidelines for management and surveillance of TSC</w:t>
            </w:r>
          </w:p>
        </w:tc>
        <w:tc>
          <w:tcPr>
            <w:tcW w:w="5529" w:type="dxa"/>
          </w:tcPr>
          <w:p w14:paraId="4480A252" w14:textId="6185EC90" w:rsidR="00DD308E" w:rsidRPr="0024626D" w:rsidRDefault="33C6C573" w:rsidP="5684DB01">
            <w:pPr>
              <w:rPr>
                <w:rFonts w:eastAsiaTheme="minorEastAsia"/>
                <w:noProof/>
                <w:szCs w:val="20"/>
              </w:rPr>
            </w:pPr>
            <w:r w:rsidRPr="0024626D">
              <w:rPr>
                <w:noProof/>
              </w:rPr>
              <w:t>1.</w:t>
            </w:r>
            <w:r w:rsidR="7191438F" w:rsidRPr="0024626D">
              <w:t xml:space="preserve">MRI </w:t>
            </w:r>
            <w:r w:rsidR="23ED2E1B" w:rsidRPr="0024626D">
              <w:t xml:space="preserve">should be performed at diagnosis, regardless of age, to assess presence of </w:t>
            </w:r>
            <w:proofErr w:type="gramStart"/>
            <w:r w:rsidR="23ED2E1B" w:rsidRPr="0024626D">
              <w:t>AMLs,  renal</w:t>
            </w:r>
            <w:proofErr w:type="gramEnd"/>
            <w:r w:rsidR="23ED2E1B" w:rsidRPr="0024626D">
              <w:t xml:space="preserve"> cysts and </w:t>
            </w:r>
            <w:r w:rsidR="47C6EA27" w:rsidRPr="0024626D">
              <w:t>RCC</w:t>
            </w:r>
            <w:r w:rsidR="23ED2E1B" w:rsidRPr="0024626D">
              <w:t xml:space="preserve">s. </w:t>
            </w:r>
          </w:p>
          <w:p w14:paraId="2C4A9A4E" w14:textId="31779F0F" w:rsidR="00DD308E" w:rsidRPr="0024626D" w:rsidRDefault="10F685CE" w:rsidP="279866A2">
            <w:pPr>
              <w:rPr>
                <w:rFonts w:eastAsiaTheme="minorEastAsia"/>
                <w:szCs w:val="20"/>
              </w:rPr>
            </w:pPr>
            <w:r w:rsidRPr="0024626D">
              <w:t xml:space="preserve">MRI </w:t>
            </w:r>
            <w:r w:rsidR="7191438F" w:rsidRPr="0024626D">
              <w:t xml:space="preserve">is </w:t>
            </w:r>
            <w:r w:rsidR="3630F5CE" w:rsidRPr="0024626D">
              <w:t xml:space="preserve">the </w:t>
            </w:r>
            <w:r w:rsidR="1B065AF5" w:rsidRPr="0024626D">
              <w:t>optimal</w:t>
            </w:r>
            <w:r w:rsidR="158CA1D6" w:rsidRPr="0024626D">
              <w:t xml:space="preserve"> </w:t>
            </w:r>
            <w:r w:rsidR="7191438F" w:rsidRPr="0024626D">
              <w:rPr>
                <w:noProof/>
              </w:rPr>
              <w:t>imaging</w:t>
            </w:r>
            <w:r w:rsidR="7191438F" w:rsidRPr="0024626D">
              <w:t xml:space="preserve"> modality</w:t>
            </w:r>
            <w:r w:rsidR="44CA433A" w:rsidRPr="0024626D">
              <w:t xml:space="preserve"> as some lesions, including fat-poor AMLs, can be overlooked on ultrasound.</w:t>
            </w:r>
          </w:p>
          <w:p w14:paraId="5F31D1D5" w14:textId="249CECD8" w:rsidR="00DD308E" w:rsidRPr="0024626D" w:rsidRDefault="0D125D68" w:rsidP="733130E5">
            <w:pPr>
              <w:rPr>
                <w:rFonts w:eastAsiaTheme="minorEastAsia"/>
                <w:noProof/>
                <w:szCs w:val="20"/>
              </w:rPr>
            </w:pPr>
            <w:r w:rsidRPr="0024626D">
              <w:t>2.</w:t>
            </w:r>
            <w:r w:rsidR="68F929F8" w:rsidRPr="0024626D">
              <w:t>All</w:t>
            </w:r>
            <w:r w:rsidR="4EB1B2AD" w:rsidRPr="0024626D">
              <w:t xml:space="preserve"> patients with TSC should have regular imaging every 1-2 years</w:t>
            </w:r>
          </w:p>
          <w:p w14:paraId="668F31F3" w14:textId="04AD4022" w:rsidR="00DD308E" w:rsidRPr="0024626D" w:rsidRDefault="62A900CA" w:rsidP="5684DB01">
            <w:pPr>
              <w:rPr>
                <w:szCs w:val="20"/>
              </w:rPr>
            </w:pPr>
            <w:r w:rsidRPr="0024626D">
              <w:t>3.Enlarging</w:t>
            </w:r>
            <w:r w:rsidR="4EB1B2AD" w:rsidRPr="0024626D">
              <w:t xml:space="preserve"> AMLs &gt;3cm should be treated with </w:t>
            </w:r>
            <w:proofErr w:type="spellStart"/>
            <w:r w:rsidR="4EB1B2AD" w:rsidRPr="0024626D">
              <w:t>mTORi</w:t>
            </w:r>
            <w:proofErr w:type="spellEnd"/>
          </w:p>
        </w:tc>
        <w:tc>
          <w:tcPr>
            <w:tcW w:w="2409" w:type="dxa"/>
          </w:tcPr>
          <w:p w14:paraId="2D34D23A" w14:textId="5E3B64DF" w:rsidR="00DD308E" w:rsidRPr="0024626D" w:rsidRDefault="10545713" w:rsidP="279866A2">
            <w:pPr>
              <w:rPr>
                <w:noProof/>
                <w:szCs w:val="20"/>
              </w:rPr>
            </w:pPr>
            <w:r w:rsidRPr="0024626D">
              <w:rPr>
                <w:noProof/>
                <w:szCs w:val="20"/>
              </w:rPr>
              <w:t>https://academic.oup.com/qjmed/article/112/3/171/5104881?login=true</w:t>
            </w:r>
          </w:p>
        </w:tc>
        <w:tc>
          <w:tcPr>
            <w:tcW w:w="1479" w:type="dxa"/>
          </w:tcPr>
          <w:p w14:paraId="50CB0740" w14:textId="58E4F420" w:rsidR="00DD308E" w:rsidRPr="0024626D" w:rsidRDefault="21F93B06" w:rsidP="279866A2">
            <w:pPr>
              <w:rPr>
                <w:b/>
                <w:bCs/>
                <w:noProof/>
                <w:szCs w:val="20"/>
              </w:rPr>
            </w:pPr>
            <w:r w:rsidRPr="0024626D">
              <w:rPr>
                <w:b/>
                <w:bCs/>
                <w:noProof/>
                <w:szCs w:val="20"/>
              </w:rPr>
              <w:t>201</w:t>
            </w:r>
            <w:r w:rsidR="00C90867" w:rsidRPr="0024626D">
              <w:rPr>
                <w:b/>
                <w:bCs/>
                <w:noProof/>
                <w:szCs w:val="20"/>
              </w:rPr>
              <w:t>9</w:t>
            </w:r>
          </w:p>
        </w:tc>
      </w:tr>
      <w:tr w:rsidR="00DC2C80" w14:paraId="2EEFE2EE" w14:textId="77777777" w:rsidTr="00D6440D">
        <w:trPr>
          <w:cantSplit/>
        </w:trPr>
        <w:tc>
          <w:tcPr>
            <w:tcW w:w="555" w:type="dxa"/>
          </w:tcPr>
          <w:p w14:paraId="1F75A9DD" w14:textId="77777777" w:rsidR="00DD308E" w:rsidRPr="00965B6B" w:rsidRDefault="00DD308E" w:rsidP="00DD308E">
            <w:pPr>
              <w:rPr>
                <w:szCs w:val="20"/>
              </w:rPr>
            </w:pPr>
            <w:r>
              <w:rPr>
                <w:szCs w:val="20"/>
              </w:rPr>
              <w:t>3.</w:t>
            </w:r>
          </w:p>
        </w:tc>
        <w:tc>
          <w:tcPr>
            <w:tcW w:w="1425" w:type="dxa"/>
          </w:tcPr>
          <w:p w14:paraId="066C83FF" w14:textId="7660F2FB" w:rsidR="00DD308E" w:rsidRPr="0024626D" w:rsidRDefault="00665E7F" w:rsidP="279866A2">
            <w:r w:rsidRPr="0024626D">
              <w:t>RCT</w:t>
            </w:r>
          </w:p>
        </w:tc>
        <w:tc>
          <w:tcPr>
            <w:tcW w:w="2551" w:type="dxa"/>
          </w:tcPr>
          <w:p w14:paraId="695AFBC3" w14:textId="5D2D9E59" w:rsidR="00DD308E" w:rsidRPr="0024626D" w:rsidRDefault="000C0D1D" w:rsidP="279866A2">
            <w:pPr>
              <w:rPr>
                <w:noProof/>
                <w:szCs w:val="20"/>
              </w:rPr>
            </w:pPr>
            <w:r w:rsidRPr="0024626D">
              <w:rPr>
                <w:noProof/>
                <w:szCs w:val="20"/>
              </w:rPr>
              <w:t>Biss</w:t>
            </w:r>
            <w:r w:rsidR="005F7FF2" w:rsidRPr="0024626D">
              <w:rPr>
                <w:noProof/>
                <w:szCs w:val="20"/>
              </w:rPr>
              <w:t>ler</w:t>
            </w:r>
            <w:r w:rsidRPr="0024626D">
              <w:rPr>
                <w:noProof/>
                <w:szCs w:val="20"/>
              </w:rPr>
              <w:t xml:space="preserve"> et al </w:t>
            </w:r>
            <w:r w:rsidR="3695B669" w:rsidRPr="0024626D">
              <w:rPr>
                <w:noProof/>
                <w:szCs w:val="20"/>
              </w:rPr>
              <w:t>Everolimus for angiomyoipomata associated with TSC</w:t>
            </w:r>
          </w:p>
        </w:tc>
        <w:tc>
          <w:tcPr>
            <w:tcW w:w="5529" w:type="dxa"/>
          </w:tcPr>
          <w:p w14:paraId="70C54F32" w14:textId="4DA3AE16" w:rsidR="00DD308E" w:rsidRPr="0024626D" w:rsidRDefault="638C3E76" w:rsidP="279866A2">
            <w:pPr>
              <w:rPr>
                <w:noProof/>
                <w:szCs w:val="20"/>
              </w:rPr>
            </w:pPr>
            <w:r w:rsidRPr="0024626D">
              <w:rPr>
                <w:noProof/>
                <w:szCs w:val="20"/>
              </w:rPr>
              <w:t>Everolimus decreased AML volume with an acceptable safety profile</w:t>
            </w:r>
          </w:p>
        </w:tc>
        <w:tc>
          <w:tcPr>
            <w:tcW w:w="2409" w:type="dxa"/>
          </w:tcPr>
          <w:p w14:paraId="782E8AE6" w14:textId="79A4015E" w:rsidR="00DD308E" w:rsidRPr="0024626D" w:rsidRDefault="3F7F7CD7" w:rsidP="279866A2">
            <w:pPr>
              <w:rPr>
                <w:noProof/>
                <w:szCs w:val="20"/>
              </w:rPr>
            </w:pPr>
            <w:r w:rsidRPr="0024626D">
              <w:rPr>
                <w:noProof/>
                <w:szCs w:val="20"/>
              </w:rPr>
              <w:t>https://www.sciencedirect.com/science/article/pii/S014067361261767X</w:t>
            </w:r>
          </w:p>
        </w:tc>
        <w:tc>
          <w:tcPr>
            <w:tcW w:w="1479" w:type="dxa"/>
          </w:tcPr>
          <w:p w14:paraId="3C07B5DC" w14:textId="39C09725" w:rsidR="00DD308E" w:rsidRPr="0024626D" w:rsidRDefault="2B4DEFA9" w:rsidP="279866A2">
            <w:pPr>
              <w:rPr>
                <w:noProof/>
                <w:szCs w:val="20"/>
              </w:rPr>
            </w:pPr>
            <w:r w:rsidRPr="0024626D">
              <w:rPr>
                <w:noProof/>
                <w:szCs w:val="20"/>
              </w:rPr>
              <w:t>2013</w:t>
            </w:r>
          </w:p>
        </w:tc>
      </w:tr>
      <w:tr w:rsidR="00DC2C80" w14:paraId="38967E8A" w14:textId="77777777" w:rsidTr="00D6440D">
        <w:trPr>
          <w:cantSplit/>
        </w:trPr>
        <w:tc>
          <w:tcPr>
            <w:tcW w:w="555" w:type="dxa"/>
          </w:tcPr>
          <w:p w14:paraId="56C72689" w14:textId="75B517B7" w:rsidR="00DD308E" w:rsidRPr="00965B6B" w:rsidRDefault="26378F07" w:rsidP="00DD308E">
            <w:r>
              <w:lastRenderedPageBreak/>
              <w:t>4</w:t>
            </w:r>
            <w:r w:rsidR="00DD308E">
              <w:t>.</w:t>
            </w:r>
          </w:p>
        </w:tc>
        <w:tc>
          <w:tcPr>
            <w:tcW w:w="1425" w:type="dxa"/>
          </w:tcPr>
          <w:p w14:paraId="4DA067B1" w14:textId="03D1650A" w:rsidR="00DD308E" w:rsidRDefault="00ED3095" w:rsidP="00DD308E">
            <w:pPr>
              <w:rPr>
                <w:b/>
                <w:szCs w:val="20"/>
              </w:rPr>
            </w:pPr>
            <w:r>
              <w:t xml:space="preserve">Consensus </w:t>
            </w:r>
            <w:r w:rsidR="00A64580">
              <w:t>Guidelines</w:t>
            </w:r>
          </w:p>
        </w:tc>
        <w:tc>
          <w:tcPr>
            <w:tcW w:w="2551" w:type="dxa"/>
          </w:tcPr>
          <w:p w14:paraId="48F5915E" w14:textId="16AD60DA" w:rsidR="00A852DB" w:rsidRPr="00A852DB" w:rsidRDefault="0F634E81" w:rsidP="1D8889F0">
            <w:pPr>
              <w:rPr>
                <w:rFonts w:eastAsiaTheme="minorEastAsia"/>
                <w:color w:val="222222"/>
                <w:szCs w:val="20"/>
              </w:rPr>
            </w:pPr>
            <w:r w:rsidRPr="1D8889F0">
              <w:rPr>
                <w:rFonts w:eastAsiaTheme="minorEastAsia"/>
                <w:color w:val="222222"/>
                <w:sz w:val="19"/>
                <w:szCs w:val="19"/>
              </w:rPr>
              <w:t xml:space="preserve">Northrup H, </w:t>
            </w:r>
            <w:proofErr w:type="spellStart"/>
            <w:r w:rsidRPr="1D8889F0">
              <w:rPr>
                <w:rFonts w:eastAsiaTheme="minorEastAsia"/>
                <w:color w:val="222222"/>
                <w:sz w:val="19"/>
                <w:szCs w:val="19"/>
              </w:rPr>
              <w:t>Aronow</w:t>
            </w:r>
            <w:proofErr w:type="spellEnd"/>
            <w:r w:rsidRPr="1D8889F0">
              <w:rPr>
                <w:rFonts w:eastAsiaTheme="minorEastAsia"/>
                <w:color w:val="222222"/>
                <w:sz w:val="19"/>
                <w:szCs w:val="19"/>
              </w:rPr>
              <w:t xml:space="preserve"> ME, </w:t>
            </w:r>
            <w:proofErr w:type="spellStart"/>
            <w:r w:rsidRPr="1D8889F0">
              <w:rPr>
                <w:rFonts w:eastAsiaTheme="minorEastAsia"/>
                <w:color w:val="222222"/>
                <w:sz w:val="19"/>
                <w:szCs w:val="19"/>
              </w:rPr>
              <w:t>Bebin</w:t>
            </w:r>
            <w:proofErr w:type="spellEnd"/>
            <w:r w:rsidRPr="1D8889F0">
              <w:rPr>
                <w:rFonts w:eastAsiaTheme="minorEastAsia"/>
                <w:color w:val="222222"/>
                <w:sz w:val="19"/>
                <w:szCs w:val="19"/>
              </w:rPr>
              <w:t xml:space="preserve"> EM, </w:t>
            </w:r>
            <w:proofErr w:type="spellStart"/>
            <w:r w:rsidRPr="1D8889F0">
              <w:rPr>
                <w:rFonts w:eastAsiaTheme="minorEastAsia"/>
                <w:color w:val="222222"/>
                <w:sz w:val="19"/>
                <w:szCs w:val="19"/>
              </w:rPr>
              <w:t>Bissler</w:t>
            </w:r>
            <w:proofErr w:type="spellEnd"/>
            <w:r w:rsidRPr="1D8889F0">
              <w:rPr>
                <w:rFonts w:eastAsiaTheme="minorEastAsia"/>
                <w:color w:val="222222"/>
                <w:sz w:val="19"/>
                <w:szCs w:val="19"/>
              </w:rPr>
              <w:t xml:space="preserve"> J, Darling TN, de Vries PJ, Frost MD, Fuchs Z, Gosnell ES, Gupta N, Jansen AC. Updated International Tuberous Sclerosis Complex Diagnostic Criteria and Surveillance and Management Recommendations. </w:t>
            </w:r>
            <w:proofErr w:type="spellStart"/>
            <w:r w:rsidRPr="1D8889F0">
              <w:rPr>
                <w:rFonts w:eastAsiaTheme="minorEastAsia"/>
                <w:color w:val="222222"/>
                <w:sz w:val="19"/>
                <w:szCs w:val="19"/>
              </w:rPr>
              <w:t>Pediatric</w:t>
            </w:r>
            <w:proofErr w:type="spellEnd"/>
            <w:r w:rsidRPr="1D8889F0">
              <w:rPr>
                <w:rFonts w:eastAsiaTheme="minorEastAsia"/>
                <w:color w:val="222222"/>
                <w:sz w:val="19"/>
                <w:szCs w:val="19"/>
              </w:rPr>
              <w:t xml:space="preserve"> Neurology. 2021 Oct </w:t>
            </w:r>
            <w:proofErr w:type="gramStart"/>
            <w:r w:rsidRPr="1D8889F0">
              <w:rPr>
                <w:rFonts w:eastAsiaTheme="minorEastAsia"/>
                <w:color w:val="222222"/>
                <w:sz w:val="19"/>
                <w:szCs w:val="19"/>
              </w:rPr>
              <w:t>1;123:50</w:t>
            </w:r>
            <w:proofErr w:type="gramEnd"/>
            <w:r w:rsidRPr="1D8889F0">
              <w:rPr>
                <w:rFonts w:eastAsiaTheme="minorEastAsia"/>
                <w:color w:val="222222"/>
                <w:sz w:val="19"/>
                <w:szCs w:val="19"/>
              </w:rPr>
              <w:t>-66.</w:t>
            </w:r>
          </w:p>
          <w:p w14:paraId="5E3C7A0B" w14:textId="02B15F7D" w:rsidR="00A852DB" w:rsidRDefault="7B08C7BB" w:rsidP="1D8889F0">
            <w:pPr>
              <w:rPr>
                <w:rFonts w:ascii="Times New Roman" w:eastAsia="Times New Roman" w:hAnsi="Times New Roman" w:cs="Times New Roman"/>
                <w:b/>
                <w:bCs/>
              </w:rPr>
            </w:pPr>
            <w:r w:rsidRPr="1D8889F0">
              <w:rPr>
                <w:rFonts w:ascii="Times New Roman" w:eastAsia="Times New Roman" w:hAnsi="Times New Roman" w:cs="Times New Roman"/>
              </w:rPr>
              <w:t xml:space="preserve"> </w:t>
            </w:r>
          </w:p>
        </w:tc>
        <w:tc>
          <w:tcPr>
            <w:tcW w:w="5529" w:type="dxa"/>
          </w:tcPr>
          <w:p w14:paraId="644FA338" w14:textId="12CD272A" w:rsidR="00DC2C80" w:rsidRDefault="73631812" w:rsidP="1D8889F0">
            <w:pPr>
              <w:rPr>
                <w:rFonts w:eastAsiaTheme="minorEastAsia"/>
              </w:rPr>
            </w:pPr>
            <w:r w:rsidRPr="1D8889F0">
              <w:rPr>
                <w:rFonts w:eastAsiaTheme="minorEastAsia"/>
              </w:rPr>
              <w:t>-</w:t>
            </w:r>
            <w:r w:rsidR="63F033EB" w:rsidRPr="1D8889F0">
              <w:rPr>
                <w:rFonts w:eastAsiaTheme="minorEastAsia"/>
              </w:rPr>
              <w:t>abdominal imaging</w:t>
            </w:r>
            <w:r w:rsidR="29DF1978" w:rsidRPr="1D8889F0">
              <w:rPr>
                <w:rFonts w:eastAsiaTheme="minorEastAsia"/>
              </w:rPr>
              <w:t xml:space="preserve"> should </w:t>
            </w:r>
            <w:r w:rsidR="63F033EB" w:rsidRPr="1D8889F0">
              <w:rPr>
                <w:rFonts w:eastAsiaTheme="minorEastAsia"/>
              </w:rPr>
              <w:t xml:space="preserve">be obtained </w:t>
            </w:r>
            <w:r w:rsidR="399A8980" w:rsidRPr="1D8889F0">
              <w:rPr>
                <w:rFonts w:eastAsiaTheme="minorEastAsia"/>
              </w:rPr>
              <w:t xml:space="preserve">at the time </w:t>
            </w:r>
            <w:r w:rsidR="50838730" w:rsidRPr="1D8889F0">
              <w:rPr>
                <w:rFonts w:eastAsiaTheme="minorEastAsia"/>
              </w:rPr>
              <w:t>o</w:t>
            </w:r>
            <w:r w:rsidR="399A8980" w:rsidRPr="1D8889F0">
              <w:rPr>
                <w:rFonts w:eastAsiaTheme="minorEastAsia"/>
              </w:rPr>
              <w:t xml:space="preserve">f diagnosis, </w:t>
            </w:r>
            <w:r w:rsidR="63F033EB" w:rsidRPr="1D8889F0">
              <w:rPr>
                <w:rFonts w:eastAsiaTheme="minorEastAsia"/>
              </w:rPr>
              <w:t>regardless of age</w:t>
            </w:r>
            <w:r w:rsidR="35D21FB1" w:rsidRPr="1D8889F0">
              <w:rPr>
                <w:rFonts w:eastAsiaTheme="minorEastAsia"/>
              </w:rPr>
              <w:t xml:space="preserve">, and repeated every 1-3 </w:t>
            </w:r>
            <w:proofErr w:type="spellStart"/>
            <w:r w:rsidR="35D21FB1" w:rsidRPr="1D8889F0">
              <w:rPr>
                <w:rFonts w:eastAsiaTheme="minorEastAsia"/>
              </w:rPr>
              <w:t>yrs</w:t>
            </w:r>
            <w:proofErr w:type="spellEnd"/>
            <w:r w:rsidR="35D21FB1" w:rsidRPr="1D8889F0">
              <w:rPr>
                <w:rFonts w:eastAsiaTheme="minorEastAsia"/>
              </w:rPr>
              <w:t xml:space="preserve"> throughout the patient’s lifetime.</w:t>
            </w:r>
            <w:r w:rsidR="5C508F7F" w:rsidRPr="1D8889F0">
              <w:rPr>
                <w:rFonts w:eastAsiaTheme="minorEastAsia"/>
              </w:rPr>
              <w:t xml:space="preserve"> Annual scans recommended for tumours approaching 3cm in size and/or are growing.</w:t>
            </w:r>
          </w:p>
          <w:p w14:paraId="078A49D8" w14:textId="577E2499" w:rsidR="00CB4E78" w:rsidRDefault="73631812" w:rsidP="1D8889F0">
            <w:pPr>
              <w:rPr>
                <w:rFonts w:eastAsiaTheme="minorEastAsia"/>
              </w:rPr>
            </w:pPr>
            <w:r w:rsidRPr="1D8889F0">
              <w:rPr>
                <w:rFonts w:eastAsiaTheme="minorEastAsia"/>
              </w:rPr>
              <w:t>-</w:t>
            </w:r>
            <w:r w:rsidR="63F033EB" w:rsidRPr="1D8889F0">
              <w:rPr>
                <w:rFonts w:eastAsiaTheme="minorEastAsia"/>
              </w:rPr>
              <w:t>MRI i</w:t>
            </w:r>
            <w:r w:rsidR="3FE7A082" w:rsidRPr="1D8889F0">
              <w:rPr>
                <w:rFonts w:eastAsiaTheme="minorEastAsia"/>
              </w:rPr>
              <w:t>s</w:t>
            </w:r>
            <w:r w:rsidR="63F033EB" w:rsidRPr="1D8889F0">
              <w:rPr>
                <w:rFonts w:eastAsiaTheme="minorEastAsia"/>
              </w:rPr>
              <w:t xml:space="preserve"> preferred modality for evaluation of angiomyolipomata</w:t>
            </w:r>
            <w:r w:rsidR="0D223A22" w:rsidRPr="1D8889F0">
              <w:rPr>
                <w:rFonts w:eastAsiaTheme="minorEastAsia"/>
              </w:rPr>
              <w:t xml:space="preserve"> –because 25-30% are fat poor and </w:t>
            </w:r>
            <w:r w:rsidR="78BF4C40" w:rsidRPr="1D8889F0">
              <w:rPr>
                <w:rFonts w:eastAsiaTheme="minorEastAsia"/>
              </w:rPr>
              <w:t>may be</w:t>
            </w:r>
            <w:r w:rsidR="63F033EB" w:rsidRPr="1D8889F0">
              <w:rPr>
                <w:rFonts w:eastAsiaTheme="minorEastAsia"/>
              </w:rPr>
              <w:t xml:space="preserve"> missed </w:t>
            </w:r>
            <w:r w:rsidR="78BF4C40" w:rsidRPr="1D8889F0">
              <w:rPr>
                <w:rFonts w:eastAsiaTheme="minorEastAsia"/>
              </w:rPr>
              <w:t xml:space="preserve">in </w:t>
            </w:r>
            <w:r w:rsidR="63F033EB" w:rsidRPr="1D8889F0">
              <w:rPr>
                <w:rFonts w:eastAsiaTheme="minorEastAsia"/>
              </w:rPr>
              <w:t>abdominal CT or US</w:t>
            </w:r>
          </w:p>
          <w:p w14:paraId="7439F23B" w14:textId="63CD56A4" w:rsidR="000A27B5" w:rsidRDefault="328C2F66" w:rsidP="1D8889F0">
            <w:pPr>
              <w:rPr>
                <w:rFonts w:eastAsiaTheme="minorEastAsia"/>
              </w:rPr>
            </w:pPr>
            <w:r w:rsidRPr="1D8889F0">
              <w:rPr>
                <w:rFonts w:eastAsiaTheme="minorEastAsia"/>
              </w:rPr>
              <w:t>-</w:t>
            </w:r>
            <w:r w:rsidR="6958181C" w:rsidRPr="1D8889F0">
              <w:rPr>
                <w:rFonts w:eastAsiaTheme="minorEastAsia"/>
              </w:rPr>
              <w:t xml:space="preserve"> abdominal </w:t>
            </w:r>
            <w:r w:rsidR="63F033EB" w:rsidRPr="1D8889F0">
              <w:rPr>
                <w:rFonts w:eastAsiaTheme="minorEastAsia"/>
              </w:rPr>
              <w:t xml:space="preserve">MRI may be combined </w:t>
            </w:r>
            <w:r w:rsidR="78BF4C40" w:rsidRPr="1D8889F0">
              <w:rPr>
                <w:rFonts w:eastAsiaTheme="minorEastAsia"/>
              </w:rPr>
              <w:t>with</w:t>
            </w:r>
            <w:r w:rsidR="63F033EB" w:rsidRPr="1D8889F0">
              <w:rPr>
                <w:rFonts w:eastAsiaTheme="minorEastAsia"/>
              </w:rPr>
              <w:t xml:space="preserve"> </w:t>
            </w:r>
            <w:r w:rsidR="6958181C" w:rsidRPr="1D8889F0">
              <w:rPr>
                <w:rFonts w:eastAsiaTheme="minorEastAsia"/>
              </w:rPr>
              <w:t xml:space="preserve">brain </w:t>
            </w:r>
            <w:proofErr w:type="gramStart"/>
            <w:r w:rsidR="63F033EB" w:rsidRPr="1D8889F0">
              <w:rPr>
                <w:rFonts w:eastAsiaTheme="minorEastAsia"/>
              </w:rPr>
              <w:t>MRI  if</w:t>
            </w:r>
            <w:proofErr w:type="gramEnd"/>
            <w:r w:rsidR="63F033EB" w:rsidRPr="1D8889F0">
              <w:rPr>
                <w:rFonts w:eastAsiaTheme="minorEastAsia"/>
              </w:rPr>
              <w:t xml:space="preserve"> an</w:t>
            </w:r>
            <w:r w:rsidR="5FE2D624" w:rsidRPr="1D8889F0">
              <w:rPr>
                <w:rFonts w:eastAsiaTheme="minorEastAsia"/>
              </w:rPr>
              <w:t>a</w:t>
            </w:r>
            <w:r w:rsidR="63F033EB" w:rsidRPr="1D8889F0">
              <w:rPr>
                <w:rFonts w:eastAsiaTheme="minorEastAsia"/>
              </w:rPr>
              <w:t xml:space="preserve">esthesia is needed. </w:t>
            </w:r>
          </w:p>
          <w:p w14:paraId="29AE6794" w14:textId="599048F0" w:rsidR="00DD308E" w:rsidRPr="00DC2C80" w:rsidRDefault="591C210F" w:rsidP="1D8889F0">
            <w:pPr>
              <w:rPr>
                <w:rFonts w:eastAsiaTheme="minorEastAsia"/>
              </w:rPr>
            </w:pPr>
            <w:r w:rsidRPr="1D8889F0">
              <w:rPr>
                <w:rFonts w:eastAsiaTheme="minorEastAsia"/>
              </w:rPr>
              <w:t>-</w:t>
            </w:r>
            <w:r w:rsidR="63F033EB" w:rsidRPr="1D8889F0">
              <w:rPr>
                <w:rFonts w:eastAsiaTheme="minorEastAsia"/>
              </w:rPr>
              <w:t xml:space="preserve">MRI of the abdomen may a </w:t>
            </w:r>
            <w:proofErr w:type="gramStart"/>
            <w:r w:rsidR="63F033EB" w:rsidRPr="1D8889F0">
              <w:rPr>
                <w:rFonts w:eastAsiaTheme="minorEastAsia"/>
              </w:rPr>
              <w:t>reveal</w:t>
            </w:r>
            <w:r w:rsidR="516EF1DF" w:rsidRPr="1D8889F0">
              <w:rPr>
                <w:rFonts w:eastAsiaTheme="minorEastAsia"/>
              </w:rPr>
              <w:t xml:space="preserve"> </w:t>
            </w:r>
            <w:r w:rsidR="63F033EB" w:rsidRPr="1D8889F0">
              <w:rPr>
                <w:rFonts w:eastAsiaTheme="minorEastAsia"/>
              </w:rPr>
              <w:t>aortic aneurysms</w:t>
            </w:r>
            <w:proofErr w:type="gramEnd"/>
            <w:r w:rsidR="2C259902" w:rsidRPr="1D8889F0">
              <w:rPr>
                <w:rFonts w:eastAsiaTheme="minorEastAsia"/>
              </w:rPr>
              <w:t xml:space="preserve"> or</w:t>
            </w:r>
            <w:r w:rsidR="2C597C78" w:rsidRPr="1D8889F0">
              <w:rPr>
                <w:rFonts w:eastAsiaTheme="minorEastAsia"/>
              </w:rPr>
              <w:t xml:space="preserve"> </w:t>
            </w:r>
            <w:r w:rsidR="63F033EB" w:rsidRPr="1D8889F0">
              <w:rPr>
                <w:rFonts w:eastAsiaTheme="minorEastAsia"/>
              </w:rPr>
              <w:t>extrarenal hamartomas</w:t>
            </w:r>
            <w:r w:rsidR="2C597C78" w:rsidRPr="1D8889F0">
              <w:rPr>
                <w:rFonts w:eastAsiaTheme="minorEastAsia"/>
              </w:rPr>
              <w:t xml:space="preserve"> </w:t>
            </w:r>
            <w:r w:rsidR="63F033EB" w:rsidRPr="1D8889F0">
              <w:rPr>
                <w:rFonts w:eastAsiaTheme="minorEastAsia"/>
              </w:rPr>
              <w:t>o</w:t>
            </w:r>
            <w:r w:rsidR="63F033EB" w:rsidRPr="1D8889F0">
              <w:rPr>
                <w:rFonts w:eastAsiaTheme="minorEastAsia"/>
                <w:szCs w:val="20"/>
              </w:rPr>
              <w:t xml:space="preserve">f </w:t>
            </w:r>
            <w:r w:rsidR="5CC5E6B4" w:rsidRPr="1D8889F0">
              <w:rPr>
                <w:rFonts w:eastAsiaTheme="minorEastAsia"/>
                <w:color w:val="2E2E2E"/>
                <w:szCs w:val="20"/>
              </w:rPr>
              <w:t xml:space="preserve">the liver and neuroendocrine </w:t>
            </w:r>
            <w:proofErr w:type="spellStart"/>
            <w:r w:rsidR="5CC5E6B4" w:rsidRPr="1D8889F0">
              <w:rPr>
                <w:rFonts w:eastAsiaTheme="minorEastAsia"/>
                <w:color w:val="2E2E2E"/>
                <w:szCs w:val="20"/>
              </w:rPr>
              <w:t>tumors</w:t>
            </w:r>
            <w:proofErr w:type="spellEnd"/>
            <w:r w:rsidR="5CC5E6B4" w:rsidRPr="1D8889F0">
              <w:rPr>
                <w:rFonts w:eastAsiaTheme="minorEastAsia"/>
                <w:color w:val="2E2E2E"/>
                <w:szCs w:val="20"/>
              </w:rPr>
              <w:t xml:space="preserve"> in the pancreas and other abdominal organs that also can occur in individuals with TSC.</w:t>
            </w:r>
          </w:p>
        </w:tc>
        <w:tc>
          <w:tcPr>
            <w:tcW w:w="2409" w:type="dxa"/>
          </w:tcPr>
          <w:p w14:paraId="1995066F" w14:textId="17133C0C" w:rsidR="00DD308E" w:rsidRPr="00E82F54" w:rsidRDefault="64179CDD" w:rsidP="1D8889F0">
            <w:pPr>
              <w:rPr>
                <w:noProof/>
                <w:color w:val="C0504D" w:themeColor="accent2"/>
              </w:rPr>
            </w:pPr>
            <w:r w:rsidRPr="0024626D">
              <w:rPr>
                <w:noProof/>
              </w:rPr>
              <w:t>https://www.sciencedirect.com/science/article/pii/S088789942100151X?via%3Dihub</w:t>
            </w:r>
          </w:p>
        </w:tc>
        <w:tc>
          <w:tcPr>
            <w:tcW w:w="1479" w:type="dxa"/>
          </w:tcPr>
          <w:p w14:paraId="7CE12B77" w14:textId="586A2970" w:rsidR="00DD308E" w:rsidRPr="00E82F54" w:rsidRDefault="64179CDD" w:rsidP="1D8889F0">
            <w:pPr>
              <w:rPr>
                <w:szCs w:val="20"/>
              </w:rPr>
            </w:pPr>
            <w:r>
              <w:t>October 2021</w:t>
            </w:r>
          </w:p>
        </w:tc>
      </w:tr>
      <w:tr w:rsidR="00067235" w14:paraId="0E6C0C6D" w14:textId="77777777" w:rsidTr="00D6440D">
        <w:trPr>
          <w:cantSplit/>
        </w:trPr>
        <w:tc>
          <w:tcPr>
            <w:tcW w:w="555" w:type="dxa"/>
          </w:tcPr>
          <w:p w14:paraId="570417DD" w14:textId="33490CE5" w:rsidR="00067235" w:rsidRDefault="4CEBF712" w:rsidP="00DD308E">
            <w:pPr>
              <w:rPr>
                <w:szCs w:val="20"/>
              </w:rPr>
            </w:pPr>
            <w:r>
              <w:t>5</w:t>
            </w:r>
          </w:p>
        </w:tc>
        <w:tc>
          <w:tcPr>
            <w:tcW w:w="1425" w:type="dxa"/>
          </w:tcPr>
          <w:p w14:paraId="53144F14" w14:textId="3A2CE63D" w:rsidR="00067235" w:rsidRDefault="00A74AF1" w:rsidP="00DD308E">
            <w:r>
              <w:t>Review</w:t>
            </w:r>
          </w:p>
        </w:tc>
        <w:tc>
          <w:tcPr>
            <w:tcW w:w="2551" w:type="dxa"/>
          </w:tcPr>
          <w:p w14:paraId="52A8879B" w14:textId="56CD3147" w:rsidR="00CF3714" w:rsidRDefault="0015121C" w:rsidP="00DD308E">
            <w:proofErr w:type="spellStart"/>
            <w:r>
              <w:t>Trnka</w:t>
            </w:r>
            <w:proofErr w:type="spellEnd"/>
            <w:r>
              <w:t xml:space="preserve"> and Kennedy</w:t>
            </w:r>
          </w:p>
          <w:p w14:paraId="4D2A8B48" w14:textId="66C1E912" w:rsidR="00CF3714" w:rsidRDefault="00CF3714" w:rsidP="00DD308E">
            <w:r>
              <w:t xml:space="preserve">Renal </w:t>
            </w:r>
            <w:proofErr w:type="spellStart"/>
            <w:r>
              <w:t>tumors</w:t>
            </w:r>
            <w:proofErr w:type="spellEnd"/>
            <w:r>
              <w:t xml:space="preserve"> in tuberous sclerosis complex</w:t>
            </w:r>
          </w:p>
        </w:tc>
        <w:tc>
          <w:tcPr>
            <w:tcW w:w="5529" w:type="dxa"/>
          </w:tcPr>
          <w:p w14:paraId="3E5683D0" w14:textId="23B3C5E2" w:rsidR="007A2E1F" w:rsidRDefault="0030479C" w:rsidP="00DD308E">
            <w:r>
              <w:t xml:space="preserve">Renal AML develop in 80% of people with tuberous sclerosis complex (TSC) by adulthood.  </w:t>
            </w:r>
          </w:p>
          <w:p w14:paraId="2C66B891" w14:textId="6DF9D02A" w:rsidR="007A2E1F" w:rsidRDefault="000C0632" w:rsidP="00DD308E">
            <w:r>
              <w:t>Ri</w:t>
            </w:r>
            <w:r w:rsidR="0030479C">
              <w:t>sk of h</w:t>
            </w:r>
            <w:r w:rsidR="00566743">
              <w:t>a</w:t>
            </w:r>
            <w:r w:rsidR="0030479C">
              <w:t>emorrhage increases as AML increase in size above 3 cm in diameter.</w:t>
            </w:r>
          </w:p>
          <w:p w14:paraId="1B6F8A8A" w14:textId="77777777" w:rsidR="00067235" w:rsidRDefault="0030479C" w:rsidP="00DD308E">
            <w:r>
              <w:t>All children with TSC sh</w:t>
            </w:r>
            <w:r w:rsidR="007A2E1F">
              <w:t>ould</w:t>
            </w:r>
            <w:r w:rsidR="00566743">
              <w:t xml:space="preserve"> undergo regular surveillance with kidney imaging</w:t>
            </w:r>
          </w:p>
          <w:p w14:paraId="742E1AE6" w14:textId="5A0EBCA2" w:rsidR="00976BBD" w:rsidRDefault="00976BBD" w:rsidP="00DD308E">
            <w:r>
              <w:t>mTOR inhibitors are effective in reducing growth and size of AML in patients with TSC.</w:t>
            </w:r>
          </w:p>
        </w:tc>
        <w:tc>
          <w:tcPr>
            <w:tcW w:w="2409" w:type="dxa"/>
          </w:tcPr>
          <w:p w14:paraId="27CAF047" w14:textId="33717667" w:rsidR="00067235" w:rsidRDefault="000C0632" w:rsidP="00DD308E">
            <w:r w:rsidRPr="000C0632">
              <w:t>https://ern-ithaca.eu/wp-content/uploads/2020/12/Trnka_TS_kidney_PediatrNephrol2020.pdf</w:t>
            </w:r>
          </w:p>
        </w:tc>
        <w:tc>
          <w:tcPr>
            <w:tcW w:w="1479" w:type="dxa"/>
          </w:tcPr>
          <w:p w14:paraId="2F709E0C" w14:textId="45BD3AC7" w:rsidR="00067235" w:rsidRDefault="007A2E1F" w:rsidP="00DD308E">
            <w:r>
              <w:t>2020</w:t>
            </w:r>
          </w:p>
        </w:tc>
      </w:tr>
      <w:tr w:rsidR="002F493A" w14:paraId="38FF6D14" w14:textId="77777777" w:rsidTr="00D6440D">
        <w:trPr>
          <w:cantSplit/>
        </w:trPr>
        <w:tc>
          <w:tcPr>
            <w:tcW w:w="555" w:type="dxa"/>
          </w:tcPr>
          <w:p w14:paraId="7F0128EB" w14:textId="1C0B4DE7" w:rsidR="002F493A" w:rsidRDefault="6DABBFAA" w:rsidP="00DD308E">
            <w:r>
              <w:lastRenderedPageBreak/>
              <w:t>6</w:t>
            </w:r>
            <w:r w:rsidR="002F493A">
              <w:t xml:space="preserve"> </w:t>
            </w:r>
          </w:p>
        </w:tc>
        <w:tc>
          <w:tcPr>
            <w:tcW w:w="1425" w:type="dxa"/>
          </w:tcPr>
          <w:p w14:paraId="6A8BBB13" w14:textId="541A0DBA" w:rsidR="002F493A" w:rsidRDefault="002F493A" w:rsidP="00DD308E">
            <w:r>
              <w:t xml:space="preserve">Clinical guidelines </w:t>
            </w:r>
            <w:r w:rsidR="007000DE">
              <w:t xml:space="preserve">developed by </w:t>
            </w:r>
            <w:proofErr w:type="spellStart"/>
            <w:r w:rsidR="007000DE">
              <w:t>multidisciplanry</w:t>
            </w:r>
            <w:proofErr w:type="spellEnd"/>
            <w:r w:rsidR="007000DE">
              <w:t xml:space="preserve"> expert team</w:t>
            </w:r>
          </w:p>
        </w:tc>
        <w:tc>
          <w:tcPr>
            <w:tcW w:w="2551" w:type="dxa"/>
          </w:tcPr>
          <w:p w14:paraId="0D94C3E9" w14:textId="4D63EF00" w:rsidR="002F493A" w:rsidRDefault="00B34621" w:rsidP="00DD308E">
            <w:proofErr w:type="spellStart"/>
            <w:r>
              <w:t>eviQ</w:t>
            </w:r>
            <w:proofErr w:type="spellEnd"/>
          </w:p>
        </w:tc>
        <w:tc>
          <w:tcPr>
            <w:tcW w:w="5529" w:type="dxa"/>
          </w:tcPr>
          <w:p w14:paraId="1F2C8CBA" w14:textId="7F7357B6" w:rsidR="002F493A" w:rsidRDefault="00B34621" w:rsidP="00DD308E">
            <w:r>
              <w:t xml:space="preserve">-guidelines recommend MRI </w:t>
            </w:r>
            <w:r w:rsidR="008437A6">
              <w:t>risk management for people with genetic disorders that carry increased risk of renal cancer</w:t>
            </w:r>
          </w:p>
        </w:tc>
        <w:tc>
          <w:tcPr>
            <w:tcW w:w="2409" w:type="dxa"/>
          </w:tcPr>
          <w:p w14:paraId="40F6C65F" w14:textId="39FAAF99" w:rsidR="002F493A" w:rsidRPr="00D6440D" w:rsidRDefault="000F1E2E" w:rsidP="00DD308E">
            <w:hyperlink r:id="rId15" w:anchor="cancer-tumour-risk-management-guidelines" w:history="1">
              <w:r w:rsidR="00B34621" w:rsidRPr="00D6440D">
                <w:rPr>
                  <w:rStyle w:val="Hyperlink"/>
                  <w:color w:val="auto"/>
                  <w:u w:val="none"/>
                </w:rPr>
                <w:t>https://www.eviq.org.au/cancer-genetics/adult/risk-management/161-flcn-birt-hogg-dube-risk-management#cancer-tumour-risk-management-guidelines</w:t>
              </w:r>
            </w:hyperlink>
          </w:p>
          <w:p w14:paraId="202C1786" w14:textId="06D18D5C" w:rsidR="00B34621" w:rsidRPr="00D6440D" w:rsidRDefault="000F1E2E" w:rsidP="00DD308E">
            <w:hyperlink r:id="rId16" w:anchor="cancer-tumour-risk-management-guidelines" w:history="1">
              <w:r w:rsidR="00B34621" w:rsidRPr="00D6440D">
                <w:rPr>
                  <w:rStyle w:val="Hyperlink"/>
                  <w:color w:val="auto"/>
                  <w:u w:val="none"/>
                </w:rPr>
                <w:t>https://www.eviq.org.au/cancer-genetics/adult/risk-management/1657-fh-hereditary-leiomyomatosis-and-renal-cell#cancer-tumour-risk-management-guidelines</w:t>
              </w:r>
            </w:hyperlink>
          </w:p>
          <w:p w14:paraId="0B1F6F33" w14:textId="123BEE27" w:rsidR="00B34621" w:rsidRPr="000C0632" w:rsidRDefault="00B34621" w:rsidP="00DD308E"/>
        </w:tc>
        <w:tc>
          <w:tcPr>
            <w:tcW w:w="1479" w:type="dxa"/>
          </w:tcPr>
          <w:p w14:paraId="4FF9B0C6" w14:textId="461844F8" w:rsidR="002F493A" w:rsidRDefault="792F9523" w:rsidP="00DD308E">
            <w:r>
              <w:t xml:space="preserve">Krueger and </w:t>
            </w:r>
            <w:proofErr w:type="spellStart"/>
            <w:r>
              <w:t>northrup</w:t>
            </w:r>
            <w:proofErr w:type="spellEnd"/>
          </w:p>
        </w:tc>
      </w:tr>
      <w:tr w:rsidR="62F8DD10" w14:paraId="2CB1DFE6" w14:textId="77777777" w:rsidTr="00D6440D">
        <w:trPr>
          <w:cantSplit/>
        </w:trPr>
        <w:tc>
          <w:tcPr>
            <w:tcW w:w="555" w:type="dxa"/>
          </w:tcPr>
          <w:p w14:paraId="5FB52566" w14:textId="0B181AF1" w:rsidR="62F8DD10" w:rsidRDefault="67576477" w:rsidP="62F8DD10">
            <w:r>
              <w:t>7</w:t>
            </w:r>
          </w:p>
        </w:tc>
        <w:tc>
          <w:tcPr>
            <w:tcW w:w="1425" w:type="dxa"/>
          </w:tcPr>
          <w:p w14:paraId="38C9BE60" w14:textId="566D2F80" w:rsidR="34AB6931" w:rsidRPr="34AB6931" w:rsidRDefault="34AB6931" w:rsidP="34AB6931">
            <w:pPr>
              <w:rPr>
                <w:b/>
                <w:bCs/>
              </w:rPr>
            </w:pPr>
            <w:r w:rsidRPr="34AB6931">
              <w:rPr>
                <w:b/>
                <w:bCs/>
              </w:rPr>
              <w:t>Cross-sectional retrospective analysis</w:t>
            </w:r>
          </w:p>
        </w:tc>
        <w:tc>
          <w:tcPr>
            <w:tcW w:w="2551" w:type="dxa"/>
          </w:tcPr>
          <w:p w14:paraId="09A53905" w14:textId="22A34BFE" w:rsidR="34AB6931" w:rsidRPr="00BA2095" w:rsidRDefault="34AB6931" w:rsidP="34AB6931">
            <w:pPr>
              <w:rPr>
                <w:rFonts w:eastAsia="Calibri Light" w:cstheme="minorHAnsi"/>
                <w:color w:val="202020"/>
                <w:szCs w:val="20"/>
              </w:rPr>
            </w:pPr>
            <w:r w:rsidRPr="00BA2095">
              <w:rPr>
                <w:rFonts w:eastAsia="Calibri Light" w:cstheme="minorHAnsi"/>
                <w:color w:val="202020"/>
                <w:szCs w:val="20"/>
              </w:rPr>
              <w:t>Johannes</w:t>
            </w:r>
            <w:r w:rsidR="0071475E" w:rsidRPr="00BA2095">
              <w:rPr>
                <w:rFonts w:eastAsia="Calibri Light" w:cstheme="minorHAnsi"/>
                <w:color w:val="202020"/>
                <w:szCs w:val="20"/>
              </w:rPr>
              <w:t xml:space="preserve"> e</w:t>
            </w:r>
            <w:r w:rsidRPr="00BA2095">
              <w:rPr>
                <w:rFonts w:eastAsia="Calibri Light" w:cstheme="minorHAnsi"/>
                <w:color w:val="202020"/>
                <w:szCs w:val="20"/>
              </w:rPr>
              <w:t xml:space="preserve">t al. (2019) </w:t>
            </w:r>
            <w:r w:rsidRPr="00BA2095">
              <w:rPr>
                <w:rFonts w:eastAsia="Calibri Light" w:cstheme="minorHAnsi"/>
                <w:b/>
                <w:bCs/>
                <w:color w:val="202020"/>
                <w:szCs w:val="20"/>
              </w:rPr>
              <w:t xml:space="preserve">Renal imaging in 199 Dutch patients with </w:t>
            </w:r>
            <w:proofErr w:type="spellStart"/>
            <w:r w:rsidRPr="00BA2095">
              <w:rPr>
                <w:rFonts w:eastAsia="Calibri Light" w:cstheme="minorHAnsi"/>
                <w:b/>
                <w:bCs/>
                <w:color w:val="202020"/>
                <w:szCs w:val="20"/>
              </w:rPr>
              <w:t>Birt</w:t>
            </w:r>
            <w:proofErr w:type="spellEnd"/>
            <w:r w:rsidRPr="00BA2095">
              <w:rPr>
                <w:rFonts w:eastAsia="Calibri Light" w:cstheme="minorHAnsi"/>
                <w:b/>
                <w:bCs/>
                <w:color w:val="202020"/>
                <w:szCs w:val="20"/>
              </w:rPr>
              <w:t>-Hogg-</w:t>
            </w:r>
            <w:proofErr w:type="spellStart"/>
            <w:r w:rsidRPr="00BA2095">
              <w:rPr>
                <w:rFonts w:eastAsia="Calibri Light" w:cstheme="minorHAnsi"/>
                <w:b/>
                <w:bCs/>
                <w:color w:val="202020"/>
                <w:szCs w:val="20"/>
              </w:rPr>
              <w:t>Dubé</w:t>
            </w:r>
            <w:proofErr w:type="spellEnd"/>
            <w:r w:rsidRPr="00BA2095">
              <w:rPr>
                <w:rFonts w:eastAsia="Calibri Light" w:cstheme="minorHAnsi"/>
                <w:b/>
                <w:bCs/>
                <w:color w:val="202020"/>
                <w:szCs w:val="20"/>
              </w:rPr>
              <w:t xml:space="preserve"> syndrome:</w:t>
            </w:r>
            <w:r w:rsidRPr="00BA2095">
              <w:rPr>
                <w:rFonts w:eastAsia="Calibri Light" w:cstheme="minorHAnsi"/>
                <w:color w:val="202020"/>
                <w:szCs w:val="20"/>
              </w:rPr>
              <w:t xml:space="preserve"> </w:t>
            </w:r>
          </w:p>
        </w:tc>
        <w:tc>
          <w:tcPr>
            <w:tcW w:w="5529" w:type="dxa"/>
          </w:tcPr>
          <w:p w14:paraId="321614E5" w14:textId="0EE153B9" w:rsidR="34AB6931" w:rsidRPr="00BA2095" w:rsidRDefault="34AB6931">
            <w:pPr>
              <w:rPr>
                <w:rFonts w:cstheme="minorHAnsi"/>
                <w:noProof/>
                <w:szCs w:val="20"/>
              </w:rPr>
            </w:pPr>
            <w:r w:rsidRPr="00BA2095">
              <w:rPr>
                <w:rFonts w:cstheme="minorHAnsi"/>
                <w:noProof/>
                <w:szCs w:val="20"/>
              </w:rPr>
              <w:t>Of 121 patients screened at diagnosis then followed for a mean of 4.2 yrs, 32 renal cancers were found in 23 patients.Nine small  tumours (7-27mm) were missed on ultrasound but seen on MRI or CT.</w:t>
            </w:r>
          </w:p>
        </w:tc>
        <w:tc>
          <w:tcPr>
            <w:tcW w:w="2409" w:type="dxa"/>
          </w:tcPr>
          <w:p w14:paraId="795FDC60" w14:textId="0638C831" w:rsidR="34AB6931" w:rsidRPr="00BA2095" w:rsidRDefault="34AB6931" w:rsidP="34AB6931">
            <w:pPr>
              <w:rPr>
                <w:rFonts w:cstheme="minorHAnsi"/>
                <w:b/>
                <w:szCs w:val="20"/>
              </w:rPr>
            </w:pPr>
            <w:r w:rsidRPr="00BA2095">
              <w:rPr>
                <w:rFonts w:cstheme="minorHAnsi"/>
                <w:noProof/>
                <w:szCs w:val="20"/>
              </w:rPr>
              <w:t>https://journals.plos.org/plosone/article?id=10.1371/journal.pone.0212952</w:t>
            </w:r>
          </w:p>
        </w:tc>
        <w:tc>
          <w:tcPr>
            <w:tcW w:w="1479" w:type="dxa"/>
          </w:tcPr>
          <w:p w14:paraId="52365D33" w14:textId="0D12DEDE" w:rsidR="34AB6931" w:rsidRPr="34AB6931" w:rsidRDefault="34AB6931">
            <w:pPr>
              <w:rPr>
                <w:noProof/>
              </w:rPr>
            </w:pPr>
            <w:r w:rsidRPr="34AB6931">
              <w:rPr>
                <w:noProof/>
              </w:rPr>
              <w:t>2019</w:t>
            </w:r>
          </w:p>
        </w:tc>
      </w:tr>
      <w:tr w:rsidR="71B95658" w14:paraId="24936976" w14:textId="77777777" w:rsidTr="00D6440D">
        <w:trPr>
          <w:cantSplit/>
        </w:trPr>
        <w:tc>
          <w:tcPr>
            <w:tcW w:w="555" w:type="dxa"/>
          </w:tcPr>
          <w:p w14:paraId="6DD4E0C6" w14:textId="03CB7661" w:rsidR="71B95658" w:rsidRDefault="5ED0AFB2" w:rsidP="71B95658">
            <w:pPr>
              <w:rPr>
                <w:szCs w:val="20"/>
              </w:rPr>
            </w:pPr>
            <w:r w:rsidRPr="0957F438">
              <w:rPr>
                <w:szCs w:val="20"/>
              </w:rPr>
              <w:t>8</w:t>
            </w:r>
          </w:p>
        </w:tc>
        <w:tc>
          <w:tcPr>
            <w:tcW w:w="1425" w:type="dxa"/>
          </w:tcPr>
          <w:p w14:paraId="57646089" w14:textId="62362331" w:rsidR="71B95658" w:rsidRDefault="4A970A5B" w:rsidP="71B95658">
            <w:pPr>
              <w:rPr>
                <w:b/>
                <w:bCs/>
                <w:szCs w:val="20"/>
              </w:rPr>
            </w:pPr>
            <w:r w:rsidRPr="01C6C34F">
              <w:rPr>
                <w:b/>
                <w:bCs/>
                <w:szCs w:val="20"/>
              </w:rPr>
              <w:t>Analysis</w:t>
            </w:r>
            <w:r w:rsidRPr="772B869D">
              <w:rPr>
                <w:b/>
                <w:bCs/>
                <w:szCs w:val="20"/>
              </w:rPr>
              <w:t xml:space="preserve"> of </w:t>
            </w:r>
            <w:r w:rsidRPr="6DDBD337">
              <w:rPr>
                <w:b/>
                <w:bCs/>
                <w:szCs w:val="20"/>
              </w:rPr>
              <w:t xml:space="preserve">130 solid </w:t>
            </w:r>
            <w:r w:rsidRPr="57D2154D">
              <w:rPr>
                <w:b/>
                <w:bCs/>
                <w:szCs w:val="20"/>
              </w:rPr>
              <w:t xml:space="preserve">renal tumours removed from </w:t>
            </w:r>
            <w:r w:rsidRPr="245A6612">
              <w:rPr>
                <w:b/>
                <w:bCs/>
                <w:szCs w:val="20"/>
              </w:rPr>
              <w:t xml:space="preserve">30 </w:t>
            </w:r>
            <w:r w:rsidR="50A56B74" w:rsidRPr="62822342">
              <w:rPr>
                <w:b/>
                <w:bCs/>
                <w:szCs w:val="20"/>
              </w:rPr>
              <w:t xml:space="preserve">BHD patients </w:t>
            </w:r>
            <w:proofErr w:type="gramStart"/>
            <w:r w:rsidR="50A56B74" w:rsidRPr="62822342">
              <w:rPr>
                <w:b/>
                <w:bCs/>
                <w:szCs w:val="20"/>
              </w:rPr>
              <w:t xml:space="preserve">from </w:t>
            </w:r>
            <w:r w:rsidRPr="62822342">
              <w:rPr>
                <w:b/>
                <w:bCs/>
                <w:szCs w:val="20"/>
              </w:rPr>
              <w:t xml:space="preserve"> </w:t>
            </w:r>
            <w:r w:rsidRPr="245A6612">
              <w:rPr>
                <w:b/>
                <w:bCs/>
                <w:szCs w:val="20"/>
              </w:rPr>
              <w:t>19</w:t>
            </w:r>
            <w:proofErr w:type="gramEnd"/>
            <w:r w:rsidRPr="245A6612">
              <w:rPr>
                <w:b/>
                <w:bCs/>
                <w:szCs w:val="20"/>
              </w:rPr>
              <w:t xml:space="preserve"> </w:t>
            </w:r>
            <w:r w:rsidRPr="62822342">
              <w:rPr>
                <w:b/>
                <w:bCs/>
                <w:szCs w:val="20"/>
              </w:rPr>
              <w:t>families</w:t>
            </w:r>
            <w:r w:rsidR="4BF9DD3E" w:rsidRPr="385D4F96">
              <w:rPr>
                <w:b/>
                <w:bCs/>
                <w:szCs w:val="20"/>
              </w:rPr>
              <w:t>,</w:t>
            </w:r>
            <w:r w:rsidR="4BF9DD3E" w:rsidRPr="172A0762">
              <w:rPr>
                <w:b/>
                <w:bCs/>
                <w:szCs w:val="20"/>
              </w:rPr>
              <w:t xml:space="preserve"> all screened</w:t>
            </w:r>
          </w:p>
        </w:tc>
        <w:tc>
          <w:tcPr>
            <w:tcW w:w="2551" w:type="dxa"/>
          </w:tcPr>
          <w:p w14:paraId="4E8F0047" w14:textId="3516A5E2" w:rsidR="71B95658" w:rsidRPr="00BA2095" w:rsidRDefault="5ED0AFB2" w:rsidP="71B95658">
            <w:pPr>
              <w:rPr>
                <w:rFonts w:eastAsia="Calibri Light" w:cstheme="minorHAnsi"/>
                <w:color w:val="000000" w:themeColor="text1"/>
                <w:szCs w:val="20"/>
              </w:rPr>
            </w:pPr>
            <w:r w:rsidRPr="00BA2095">
              <w:rPr>
                <w:rFonts w:eastAsia="Calibri Light" w:cstheme="minorHAnsi"/>
                <w:color w:val="000000" w:themeColor="text1"/>
                <w:szCs w:val="20"/>
              </w:rPr>
              <w:t>Pavlovich CP</w:t>
            </w:r>
            <w:r w:rsidR="004C236F" w:rsidRPr="00BA2095">
              <w:rPr>
                <w:rFonts w:eastAsia="Calibri Light" w:cstheme="minorHAnsi"/>
                <w:color w:val="000000" w:themeColor="text1"/>
                <w:szCs w:val="20"/>
              </w:rPr>
              <w:t xml:space="preserve"> et al </w:t>
            </w:r>
            <w:r w:rsidRPr="00BA2095">
              <w:rPr>
                <w:rFonts w:eastAsia="Calibri Light" w:cstheme="minorHAnsi"/>
                <w:b/>
                <w:bCs/>
                <w:color w:val="000000" w:themeColor="text1"/>
                <w:szCs w:val="20"/>
              </w:rPr>
              <w:t xml:space="preserve">Renal </w:t>
            </w:r>
            <w:proofErr w:type="spellStart"/>
            <w:r w:rsidRPr="00BA2095">
              <w:rPr>
                <w:rFonts w:eastAsia="Calibri Light" w:cstheme="minorHAnsi"/>
                <w:b/>
                <w:bCs/>
                <w:color w:val="000000" w:themeColor="text1"/>
                <w:szCs w:val="20"/>
              </w:rPr>
              <w:t>Tumors</w:t>
            </w:r>
            <w:proofErr w:type="spellEnd"/>
            <w:r w:rsidRPr="00BA2095">
              <w:rPr>
                <w:rFonts w:eastAsia="Calibri Light" w:cstheme="minorHAnsi"/>
                <w:b/>
                <w:bCs/>
                <w:color w:val="000000" w:themeColor="text1"/>
                <w:szCs w:val="20"/>
              </w:rPr>
              <w:t xml:space="preserve"> in the </w:t>
            </w:r>
            <w:proofErr w:type="spellStart"/>
            <w:r w:rsidRPr="00BA2095">
              <w:rPr>
                <w:rFonts w:eastAsia="Calibri Light" w:cstheme="minorHAnsi"/>
                <w:b/>
                <w:bCs/>
                <w:color w:val="000000" w:themeColor="text1"/>
                <w:szCs w:val="20"/>
              </w:rPr>
              <w:t>Birt</w:t>
            </w:r>
            <w:proofErr w:type="spellEnd"/>
            <w:r w:rsidRPr="00BA2095">
              <w:rPr>
                <w:rFonts w:eastAsia="Calibri Light" w:cstheme="minorHAnsi"/>
                <w:b/>
                <w:bCs/>
                <w:color w:val="000000" w:themeColor="text1"/>
                <w:szCs w:val="20"/>
              </w:rPr>
              <w:t>-Hogg-</w:t>
            </w:r>
            <w:proofErr w:type="spellStart"/>
            <w:r w:rsidRPr="00BA2095">
              <w:rPr>
                <w:rFonts w:eastAsia="Calibri Light" w:cstheme="minorHAnsi"/>
                <w:b/>
                <w:bCs/>
                <w:color w:val="000000" w:themeColor="text1"/>
                <w:szCs w:val="20"/>
              </w:rPr>
              <w:t>Dubé</w:t>
            </w:r>
            <w:proofErr w:type="spellEnd"/>
            <w:r w:rsidRPr="00BA2095">
              <w:rPr>
                <w:rFonts w:eastAsia="Calibri Light" w:cstheme="minorHAnsi"/>
                <w:b/>
                <w:bCs/>
                <w:color w:val="000000" w:themeColor="text1"/>
                <w:szCs w:val="20"/>
              </w:rPr>
              <w:t xml:space="preserve"> Syndrome,</w:t>
            </w:r>
            <w:r w:rsidRPr="00BA2095">
              <w:rPr>
                <w:rFonts w:eastAsia="Calibri Light" w:cstheme="minorHAnsi"/>
                <w:color w:val="000000" w:themeColor="text1"/>
                <w:szCs w:val="20"/>
              </w:rPr>
              <w:t xml:space="preserve"> </w:t>
            </w:r>
          </w:p>
        </w:tc>
        <w:tc>
          <w:tcPr>
            <w:tcW w:w="5529" w:type="dxa"/>
          </w:tcPr>
          <w:p w14:paraId="6454E549" w14:textId="7E5FE727" w:rsidR="4F091BF6" w:rsidRPr="00BA2095" w:rsidRDefault="4F091BF6" w:rsidP="103ABDC4">
            <w:pPr>
              <w:rPr>
                <w:rFonts w:cstheme="minorHAnsi"/>
                <w:noProof/>
                <w:szCs w:val="20"/>
              </w:rPr>
            </w:pPr>
            <w:r w:rsidRPr="00BA2095">
              <w:rPr>
                <w:rFonts w:cstheme="minorHAnsi"/>
                <w:noProof/>
                <w:szCs w:val="20"/>
              </w:rPr>
              <w:t>Malignant propensity increased with tumour size – hybrid tumours v</w:t>
            </w:r>
            <w:r w:rsidR="4F82995C" w:rsidRPr="00BA2095">
              <w:rPr>
                <w:rFonts w:cstheme="minorHAnsi"/>
                <w:noProof/>
                <w:szCs w:val="20"/>
              </w:rPr>
              <w:t>erage 2.2cm; cromophobe Ca 3.0cm, clear cell 4.7 cm.</w:t>
            </w:r>
            <w:r w:rsidR="55F0B635" w:rsidRPr="00BA2095">
              <w:rPr>
                <w:rFonts w:cstheme="minorHAnsi"/>
                <w:noProof/>
                <w:szCs w:val="20"/>
              </w:rPr>
              <w:t xml:space="preserve"> Types commonly existed together</w:t>
            </w:r>
            <w:r w:rsidR="10313132" w:rsidRPr="00BA2095">
              <w:rPr>
                <w:rFonts w:cstheme="minorHAnsi"/>
                <w:noProof/>
                <w:szCs w:val="20"/>
              </w:rPr>
              <w:t>, and present bilaterally</w:t>
            </w:r>
            <w:r w:rsidR="55F0B635" w:rsidRPr="00BA2095">
              <w:rPr>
                <w:rFonts w:cstheme="minorHAnsi"/>
                <w:noProof/>
                <w:szCs w:val="20"/>
              </w:rPr>
              <w:t>.</w:t>
            </w:r>
          </w:p>
          <w:p w14:paraId="2D5FDBF2" w14:textId="579F8450" w:rsidR="71B95658" w:rsidRPr="00BA2095" w:rsidRDefault="55F0B635" w:rsidP="71B95658">
            <w:pPr>
              <w:rPr>
                <w:rFonts w:cstheme="minorHAnsi"/>
                <w:szCs w:val="20"/>
              </w:rPr>
            </w:pPr>
            <w:r w:rsidRPr="00BA2095">
              <w:rPr>
                <w:rFonts w:cstheme="minorHAnsi"/>
                <w:szCs w:val="20"/>
              </w:rPr>
              <w:t>THEREFORE – optimal screening modality should have resolution to 1-2cm</w:t>
            </w:r>
            <w:r w:rsidR="6D41DA0F" w:rsidRPr="00BA2095">
              <w:rPr>
                <w:rFonts w:cstheme="minorHAnsi"/>
                <w:szCs w:val="20"/>
              </w:rPr>
              <w:t xml:space="preserve">, AND intervention needs </w:t>
            </w:r>
            <w:proofErr w:type="gramStart"/>
            <w:r w:rsidR="6D41DA0F" w:rsidRPr="00BA2095">
              <w:rPr>
                <w:rFonts w:cstheme="minorHAnsi"/>
                <w:szCs w:val="20"/>
              </w:rPr>
              <w:t xml:space="preserve">to </w:t>
            </w:r>
            <w:r w:rsidR="0028444F" w:rsidRPr="00BA2095">
              <w:rPr>
                <w:rFonts w:cstheme="minorHAnsi"/>
                <w:noProof/>
                <w:szCs w:val="20"/>
              </w:rPr>
              <w:t xml:space="preserve"> spare</w:t>
            </w:r>
            <w:proofErr w:type="gramEnd"/>
            <w:r w:rsidR="0028444F" w:rsidRPr="00BA2095">
              <w:rPr>
                <w:rFonts w:cstheme="minorHAnsi"/>
                <w:noProof/>
                <w:szCs w:val="20"/>
              </w:rPr>
              <w:t xml:space="preserve"> nephrons</w:t>
            </w:r>
          </w:p>
        </w:tc>
        <w:tc>
          <w:tcPr>
            <w:tcW w:w="2409" w:type="dxa"/>
          </w:tcPr>
          <w:p w14:paraId="0120416C" w14:textId="2642FC54" w:rsidR="71B95658" w:rsidRDefault="55F0B635" w:rsidP="71B95658">
            <w:pPr>
              <w:rPr>
                <w:noProof/>
                <w:szCs w:val="20"/>
              </w:rPr>
            </w:pPr>
            <w:r w:rsidRPr="06A2EB46">
              <w:rPr>
                <w:noProof/>
                <w:szCs w:val="20"/>
              </w:rPr>
              <w:t>https://journals.lww.com/ajsp/Fulltext/2002/12000/Optimal_Histopathologic_Examination_of_the.2.aspx#O8-2-3</w:t>
            </w:r>
          </w:p>
        </w:tc>
        <w:tc>
          <w:tcPr>
            <w:tcW w:w="1479" w:type="dxa"/>
          </w:tcPr>
          <w:p w14:paraId="33F82A9C" w14:textId="18ACDC6B" w:rsidR="71B95658" w:rsidRDefault="55F0B635" w:rsidP="71B95658">
            <w:pPr>
              <w:rPr>
                <w:noProof/>
                <w:szCs w:val="20"/>
              </w:rPr>
            </w:pPr>
            <w:r w:rsidRPr="4485B187">
              <w:rPr>
                <w:noProof/>
                <w:szCs w:val="20"/>
              </w:rPr>
              <w:t>December 2002</w:t>
            </w:r>
          </w:p>
        </w:tc>
      </w:tr>
      <w:tr w:rsidR="006B76C6" w14:paraId="6D62FA2E" w14:textId="77777777" w:rsidTr="00D6440D">
        <w:trPr>
          <w:cantSplit/>
        </w:trPr>
        <w:tc>
          <w:tcPr>
            <w:tcW w:w="555" w:type="dxa"/>
          </w:tcPr>
          <w:p w14:paraId="44794BFB" w14:textId="22DCD5CB" w:rsidR="006B76C6" w:rsidRPr="0957F438" w:rsidRDefault="00AB7D95" w:rsidP="71B95658">
            <w:pPr>
              <w:rPr>
                <w:szCs w:val="20"/>
              </w:rPr>
            </w:pPr>
            <w:r>
              <w:rPr>
                <w:szCs w:val="20"/>
              </w:rPr>
              <w:lastRenderedPageBreak/>
              <w:t>9</w:t>
            </w:r>
          </w:p>
        </w:tc>
        <w:tc>
          <w:tcPr>
            <w:tcW w:w="1425" w:type="dxa"/>
          </w:tcPr>
          <w:p w14:paraId="7C64A277" w14:textId="74029461" w:rsidR="006B76C6" w:rsidRPr="01C6C34F" w:rsidRDefault="006C0CAD" w:rsidP="71B95658">
            <w:pPr>
              <w:rPr>
                <w:b/>
                <w:bCs/>
                <w:szCs w:val="20"/>
              </w:rPr>
            </w:pPr>
            <w:r>
              <w:rPr>
                <w:b/>
                <w:bCs/>
                <w:szCs w:val="20"/>
              </w:rPr>
              <w:t>Interdisciplinary review</w:t>
            </w:r>
          </w:p>
        </w:tc>
        <w:tc>
          <w:tcPr>
            <w:tcW w:w="2551" w:type="dxa"/>
          </w:tcPr>
          <w:p w14:paraId="11F93A8C" w14:textId="61231BC9" w:rsidR="00505A87" w:rsidRPr="00BA2095" w:rsidRDefault="00505A87" w:rsidP="71B95658">
            <w:pPr>
              <w:rPr>
                <w:rFonts w:eastAsia="Calibri Light" w:cstheme="minorHAnsi"/>
                <w:color w:val="000000" w:themeColor="text1"/>
                <w:szCs w:val="20"/>
              </w:rPr>
            </w:pPr>
            <w:r w:rsidRPr="00BA2095">
              <w:rPr>
                <w:rFonts w:eastAsia="Calibri Light" w:cstheme="minorHAnsi"/>
                <w:color w:val="000000" w:themeColor="text1"/>
                <w:szCs w:val="20"/>
              </w:rPr>
              <w:t>Sc</w:t>
            </w:r>
            <w:r w:rsidR="004C236F" w:rsidRPr="00BA2095">
              <w:rPr>
                <w:rFonts w:eastAsia="Calibri Light" w:cstheme="minorHAnsi"/>
                <w:color w:val="000000" w:themeColor="text1"/>
                <w:szCs w:val="20"/>
              </w:rPr>
              <w:t>hmid et al</w:t>
            </w:r>
          </w:p>
          <w:p w14:paraId="3BB9979B" w14:textId="6DA70213" w:rsidR="006B76C6" w:rsidRPr="00BA2095" w:rsidRDefault="00C36791" w:rsidP="71B95658">
            <w:pPr>
              <w:rPr>
                <w:rFonts w:eastAsia="Calibri Light" w:cstheme="minorHAnsi"/>
                <w:b/>
                <w:bCs/>
                <w:color w:val="000000" w:themeColor="text1"/>
                <w:szCs w:val="20"/>
              </w:rPr>
            </w:pPr>
            <w:r w:rsidRPr="00BA2095">
              <w:rPr>
                <w:rFonts w:eastAsia="Calibri Light" w:cstheme="minorHAnsi"/>
                <w:b/>
                <w:bCs/>
                <w:color w:val="000000" w:themeColor="text1"/>
                <w:szCs w:val="20"/>
              </w:rPr>
              <w:t>Management of Von</w:t>
            </w:r>
            <w:r w:rsidR="00505A87" w:rsidRPr="00BA2095">
              <w:rPr>
                <w:rFonts w:eastAsia="Calibri Light" w:cstheme="minorHAnsi"/>
                <w:b/>
                <w:bCs/>
                <w:color w:val="000000" w:themeColor="text1"/>
                <w:szCs w:val="20"/>
              </w:rPr>
              <w:t>-Hippel landau disease:</w:t>
            </w:r>
            <w:r w:rsidR="0071475E" w:rsidRPr="00BA2095">
              <w:rPr>
                <w:rFonts w:eastAsia="Calibri Light" w:cstheme="minorHAnsi"/>
                <w:b/>
                <w:bCs/>
                <w:color w:val="000000" w:themeColor="text1"/>
                <w:szCs w:val="20"/>
              </w:rPr>
              <w:t xml:space="preserve"> </w:t>
            </w:r>
            <w:r w:rsidR="00505A87" w:rsidRPr="00BA2095">
              <w:rPr>
                <w:rFonts w:eastAsia="Calibri Light" w:cstheme="minorHAnsi"/>
                <w:b/>
                <w:bCs/>
                <w:color w:val="000000" w:themeColor="text1"/>
                <w:szCs w:val="20"/>
              </w:rPr>
              <w:t>an interdisciplinary review</w:t>
            </w:r>
          </w:p>
        </w:tc>
        <w:tc>
          <w:tcPr>
            <w:tcW w:w="5529" w:type="dxa"/>
          </w:tcPr>
          <w:p w14:paraId="2AA04607" w14:textId="56DB1B27" w:rsidR="006B76C6" w:rsidRPr="00BA2095" w:rsidRDefault="00B86129" w:rsidP="103ABDC4">
            <w:pPr>
              <w:rPr>
                <w:rFonts w:cstheme="minorHAnsi"/>
                <w:color w:val="333333"/>
                <w:szCs w:val="20"/>
                <w:shd w:val="clear" w:color="auto" w:fill="FFFFFF"/>
              </w:rPr>
            </w:pPr>
            <w:r w:rsidRPr="00BA2095">
              <w:rPr>
                <w:rFonts w:cstheme="minorHAnsi"/>
                <w:color w:val="333333"/>
                <w:szCs w:val="20"/>
                <w:shd w:val="clear" w:color="auto" w:fill="FFFFFF"/>
              </w:rPr>
              <w:t xml:space="preserve">- </w:t>
            </w:r>
            <w:r w:rsidR="004856EF" w:rsidRPr="00BA2095">
              <w:rPr>
                <w:rFonts w:cstheme="minorHAnsi"/>
                <w:color w:val="333333"/>
                <w:szCs w:val="20"/>
                <w:shd w:val="clear" w:color="auto" w:fill="FFFFFF"/>
              </w:rPr>
              <w:t xml:space="preserve">The most frequent malignant tumour entity in VHL disease is </w:t>
            </w:r>
            <w:proofErr w:type="spellStart"/>
            <w:r w:rsidR="004856EF" w:rsidRPr="00BA2095">
              <w:rPr>
                <w:rFonts w:cstheme="minorHAnsi"/>
                <w:color w:val="333333"/>
                <w:szCs w:val="20"/>
                <w:shd w:val="clear" w:color="auto" w:fill="FFFFFF"/>
              </w:rPr>
              <w:t>ccRCC</w:t>
            </w:r>
            <w:proofErr w:type="spellEnd"/>
          </w:p>
          <w:p w14:paraId="59F9F032" w14:textId="2EAD8C06" w:rsidR="00B86129" w:rsidRPr="00BA2095" w:rsidRDefault="00B86129" w:rsidP="103ABDC4">
            <w:pPr>
              <w:rPr>
                <w:rFonts w:cstheme="minorHAnsi"/>
                <w:noProof/>
                <w:szCs w:val="20"/>
              </w:rPr>
            </w:pPr>
            <w:r w:rsidRPr="00BA2095">
              <w:rPr>
                <w:rFonts w:cstheme="minorHAnsi"/>
                <w:color w:val="333333"/>
                <w:szCs w:val="20"/>
                <w:shd w:val="clear" w:color="auto" w:fill="FFFFFF"/>
              </w:rPr>
              <w:t>- active surveillance with MRI is recommended in tumours below 3 cm, as early surgical removal may deteriorate renal function. Adherence to a strict surveillance protocol is necessary to minimize metastatic risk.</w:t>
            </w:r>
          </w:p>
        </w:tc>
        <w:tc>
          <w:tcPr>
            <w:tcW w:w="2409" w:type="dxa"/>
          </w:tcPr>
          <w:p w14:paraId="648094AA" w14:textId="610AE23E" w:rsidR="006B76C6" w:rsidRPr="06A2EB46" w:rsidRDefault="003A7EC1" w:rsidP="71B95658">
            <w:pPr>
              <w:rPr>
                <w:noProof/>
                <w:szCs w:val="20"/>
              </w:rPr>
            </w:pPr>
            <w:r w:rsidRPr="003A7EC1">
              <w:rPr>
                <w:noProof/>
                <w:szCs w:val="20"/>
              </w:rPr>
              <w:t>https://www.karger.com/Article/Fulltext/369362</w:t>
            </w:r>
          </w:p>
        </w:tc>
        <w:tc>
          <w:tcPr>
            <w:tcW w:w="1479" w:type="dxa"/>
          </w:tcPr>
          <w:p w14:paraId="33D42A2E" w14:textId="329741DC" w:rsidR="006B76C6" w:rsidRPr="4485B187" w:rsidRDefault="00BD016A" w:rsidP="71B95658">
            <w:pPr>
              <w:rPr>
                <w:noProof/>
                <w:szCs w:val="20"/>
              </w:rPr>
            </w:pPr>
            <w:r>
              <w:rPr>
                <w:noProof/>
                <w:szCs w:val="20"/>
              </w:rPr>
              <w:t>2014</w:t>
            </w:r>
          </w:p>
        </w:tc>
      </w:tr>
      <w:tr w:rsidR="006F2977" w14:paraId="7A014A65" w14:textId="77777777" w:rsidTr="00D6440D">
        <w:trPr>
          <w:cantSplit/>
        </w:trPr>
        <w:tc>
          <w:tcPr>
            <w:tcW w:w="555" w:type="dxa"/>
          </w:tcPr>
          <w:p w14:paraId="3A1D59C1" w14:textId="12F0DB5B" w:rsidR="006F2977" w:rsidRDefault="006F2977" w:rsidP="71B95658">
            <w:pPr>
              <w:rPr>
                <w:szCs w:val="20"/>
              </w:rPr>
            </w:pPr>
            <w:r>
              <w:rPr>
                <w:szCs w:val="20"/>
              </w:rPr>
              <w:t>10</w:t>
            </w:r>
          </w:p>
        </w:tc>
        <w:tc>
          <w:tcPr>
            <w:tcW w:w="1425" w:type="dxa"/>
          </w:tcPr>
          <w:p w14:paraId="13091DE1" w14:textId="2035F465" w:rsidR="006F2977" w:rsidRDefault="006F2977" w:rsidP="71B95658">
            <w:pPr>
              <w:rPr>
                <w:b/>
                <w:bCs/>
                <w:szCs w:val="20"/>
              </w:rPr>
            </w:pPr>
            <w:r>
              <w:rPr>
                <w:b/>
                <w:bCs/>
                <w:szCs w:val="20"/>
              </w:rPr>
              <w:t>Lit review</w:t>
            </w:r>
          </w:p>
        </w:tc>
        <w:tc>
          <w:tcPr>
            <w:tcW w:w="2551" w:type="dxa"/>
          </w:tcPr>
          <w:p w14:paraId="1B9673BB" w14:textId="77777777" w:rsidR="006F2977" w:rsidRPr="00BA2095" w:rsidRDefault="006F2977" w:rsidP="71B95658">
            <w:pPr>
              <w:rPr>
                <w:rFonts w:eastAsia="Calibri Light" w:cstheme="minorHAnsi"/>
                <w:color w:val="000000" w:themeColor="text1"/>
                <w:szCs w:val="20"/>
              </w:rPr>
            </w:pPr>
            <w:r w:rsidRPr="00BA2095">
              <w:rPr>
                <w:rFonts w:eastAsia="Calibri Light" w:cstheme="minorHAnsi"/>
                <w:color w:val="000000" w:themeColor="text1"/>
                <w:szCs w:val="20"/>
              </w:rPr>
              <w:t>Maher</w:t>
            </w:r>
          </w:p>
          <w:p w14:paraId="5FCBEF44" w14:textId="50A11653" w:rsidR="006F2977" w:rsidRPr="00BA2095" w:rsidRDefault="002776DB" w:rsidP="71B95658">
            <w:pPr>
              <w:rPr>
                <w:rFonts w:eastAsia="Calibri Light" w:cstheme="minorHAnsi"/>
                <w:b/>
                <w:bCs/>
                <w:color w:val="000000" w:themeColor="text1"/>
                <w:szCs w:val="20"/>
              </w:rPr>
            </w:pPr>
            <w:r w:rsidRPr="00BA2095">
              <w:rPr>
                <w:rFonts w:eastAsia="Calibri Light" w:cstheme="minorHAnsi"/>
                <w:b/>
                <w:bCs/>
                <w:color w:val="000000" w:themeColor="text1"/>
                <w:szCs w:val="20"/>
              </w:rPr>
              <w:t>Hereditary Renal Cell Carcinoma Syndromes</w:t>
            </w:r>
            <w:r w:rsidR="00521B3D" w:rsidRPr="00BA2095">
              <w:rPr>
                <w:rFonts w:eastAsia="Calibri Light" w:cstheme="minorHAnsi"/>
                <w:b/>
                <w:bCs/>
                <w:color w:val="000000" w:themeColor="text1"/>
                <w:szCs w:val="20"/>
              </w:rPr>
              <w:t xml:space="preserve">: diagnosis, </w:t>
            </w:r>
            <w:proofErr w:type="gramStart"/>
            <w:r w:rsidR="00521B3D" w:rsidRPr="00BA2095">
              <w:rPr>
                <w:rFonts w:eastAsia="Calibri Light" w:cstheme="minorHAnsi"/>
                <w:b/>
                <w:bCs/>
                <w:color w:val="000000" w:themeColor="text1"/>
                <w:szCs w:val="20"/>
              </w:rPr>
              <w:t>surveillance</w:t>
            </w:r>
            <w:proofErr w:type="gramEnd"/>
            <w:r w:rsidR="00521B3D" w:rsidRPr="00BA2095">
              <w:rPr>
                <w:rFonts w:eastAsia="Calibri Light" w:cstheme="minorHAnsi"/>
                <w:b/>
                <w:bCs/>
                <w:color w:val="000000" w:themeColor="text1"/>
                <w:szCs w:val="20"/>
              </w:rPr>
              <w:t xml:space="preserve"> and management</w:t>
            </w:r>
          </w:p>
        </w:tc>
        <w:tc>
          <w:tcPr>
            <w:tcW w:w="5529" w:type="dxa"/>
          </w:tcPr>
          <w:p w14:paraId="6ADC5CF6" w14:textId="14000BF2" w:rsidR="006F2977" w:rsidRPr="00BA2095" w:rsidRDefault="00F606F2" w:rsidP="103ABDC4">
            <w:pPr>
              <w:rPr>
                <w:rFonts w:eastAsia="Times New Roman" w:cstheme="minorHAnsi"/>
                <w:szCs w:val="20"/>
                <w:lang w:eastAsia="en-GB"/>
              </w:rPr>
            </w:pPr>
            <w:r w:rsidRPr="00BA2095">
              <w:rPr>
                <w:rFonts w:cstheme="minorHAnsi"/>
                <w:color w:val="333333"/>
                <w:szCs w:val="20"/>
                <w:shd w:val="clear" w:color="auto" w:fill="FFFFFF"/>
              </w:rPr>
              <w:t>-</w:t>
            </w:r>
            <w:r w:rsidRPr="00BA2095">
              <w:rPr>
                <w:rFonts w:cstheme="minorHAnsi"/>
                <w:szCs w:val="20"/>
                <w:shd w:val="clear" w:color="auto" w:fill="FFFFFF"/>
              </w:rPr>
              <w:t xml:space="preserve"> </w:t>
            </w:r>
            <w:r w:rsidR="00BA047F" w:rsidRPr="00BA2095">
              <w:rPr>
                <w:rFonts w:cstheme="minorHAnsi"/>
                <w:szCs w:val="20"/>
                <w:shd w:val="clear" w:color="auto" w:fill="FFFFFF"/>
              </w:rPr>
              <w:t xml:space="preserve">inherited forms of RCC including </w:t>
            </w:r>
            <w:r w:rsidR="00546211" w:rsidRPr="00BA2095">
              <w:rPr>
                <w:rFonts w:eastAsia="Times New Roman" w:cstheme="minorHAnsi"/>
                <w:szCs w:val="20"/>
                <w:lang w:eastAsia="en-GB"/>
              </w:rPr>
              <w:t xml:space="preserve">Von Hippel Landeau disease, </w:t>
            </w:r>
            <w:proofErr w:type="spellStart"/>
            <w:r w:rsidR="00546211" w:rsidRPr="00BA2095">
              <w:rPr>
                <w:rFonts w:eastAsia="Times New Roman" w:cstheme="minorHAnsi"/>
                <w:szCs w:val="20"/>
                <w:lang w:eastAsia="en-GB"/>
              </w:rPr>
              <w:t>Birt</w:t>
            </w:r>
            <w:proofErr w:type="spellEnd"/>
            <w:r w:rsidR="00546211" w:rsidRPr="00BA2095">
              <w:rPr>
                <w:rFonts w:eastAsia="Times New Roman" w:cstheme="minorHAnsi"/>
                <w:szCs w:val="20"/>
                <w:lang w:eastAsia="en-GB"/>
              </w:rPr>
              <w:t xml:space="preserve">-Hogg-Dube syndrome, Hereditary </w:t>
            </w:r>
            <w:proofErr w:type="spellStart"/>
            <w:r w:rsidR="00546211" w:rsidRPr="00BA2095">
              <w:rPr>
                <w:rFonts w:eastAsia="Times New Roman" w:cstheme="minorHAnsi"/>
                <w:szCs w:val="20"/>
                <w:lang w:eastAsia="en-GB"/>
              </w:rPr>
              <w:t>Leiomyomatosis</w:t>
            </w:r>
            <w:proofErr w:type="spellEnd"/>
            <w:r w:rsidR="00546211" w:rsidRPr="00BA2095">
              <w:rPr>
                <w:rFonts w:eastAsia="Times New Roman" w:cstheme="minorHAnsi"/>
                <w:szCs w:val="20"/>
                <w:lang w:eastAsia="en-GB"/>
              </w:rPr>
              <w:t>, chromosome 3 translocations, and mutations in BAP1</w:t>
            </w:r>
            <w:r w:rsidR="001F302E" w:rsidRPr="00BA2095">
              <w:rPr>
                <w:rFonts w:eastAsia="Times New Roman" w:cstheme="minorHAnsi"/>
                <w:szCs w:val="20"/>
                <w:lang w:eastAsia="en-GB"/>
              </w:rPr>
              <w:t xml:space="preserve"> have high risk of developing RCC</w:t>
            </w:r>
          </w:p>
          <w:p w14:paraId="2DA6FC30" w14:textId="1C830289" w:rsidR="00A60A15" w:rsidRPr="00BA2095" w:rsidRDefault="00A60A15" w:rsidP="103ABDC4">
            <w:pPr>
              <w:rPr>
                <w:rFonts w:cstheme="minorHAnsi"/>
                <w:color w:val="333333"/>
                <w:szCs w:val="20"/>
                <w:shd w:val="clear" w:color="auto" w:fill="FFFFFF"/>
              </w:rPr>
            </w:pPr>
            <w:r w:rsidRPr="00BA2095">
              <w:rPr>
                <w:rFonts w:eastAsia="Times New Roman" w:cstheme="minorHAnsi"/>
                <w:szCs w:val="20"/>
                <w:lang w:eastAsia="en-GB"/>
              </w:rPr>
              <w:t>-</w:t>
            </w:r>
            <w:r w:rsidRPr="00BA2095">
              <w:rPr>
                <w:rFonts w:cstheme="minorHAnsi"/>
                <w:color w:val="000000"/>
                <w:szCs w:val="20"/>
                <w:shd w:val="clear" w:color="auto" w:fill="FFFFFF"/>
              </w:rPr>
              <w:t>principal strategy for preventing morbidity and mortality in individuals at risk of inherited RCC is detection of early stage tumours </w:t>
            </w:r>
          </w:p>
        </w:tc>
        <w:tc>
          <w:tcPr>
            <w:tcW w:w="2409" w:type="dxa"/>
          </w:tcPr>
          <w:p w14:paraId="7A259A45" w14:textId="3ECD45E3" w:rsidR="006F2977" w:rsidRPr="003A7EC1" w:rsidRDefault="00AC13F7" w:rsidP="71B95658">
            <w:pPr>
              <w:rPr>
                <w:noProof/>
                <w:szCs w:val="20"/>
              </w:rPr>
            </w:pPr>
            <w:r w:rsidRPr="00AC13F7">
              <w:rPr>
                <w:noProof/>
                <w:szCs w:val="20"/>
              </w:rPr>
              <w:t>https://www.ncbi.nlm.nih.gov/pmc/articles/PMC6280834/</w:t>
            </w:r>
          </w:p>
        </w:tc>
        <w:tc>
          <w:tcPr>
            <w:tcW w:w="1479" w:type="dxa"/>
          </w:tcPr>
          <w:p w14:paraId="0F9C4B4C" w14:textId="56EF4F42" w:rsidR="006F2977" w:rsidRDefault="00AC13F7" w:rsidP="71B95658">
            <w:pPr>
              <w:rPr>
                <w:noProof/>
                <w:szCs w:val="20"/>
              </w:rPr>
            </w:pPr>
            <w:r>
              <w:rPr>
                <w:noProof/>
                <w:szCs w:val="20"/>
              </w:rPr>
              <w:t>2018</w:t>
            </w:r>
          </w:p>
        </w:tc>
      </w:tr>
      <w:tr w:rsidR="1D8889F0" w14:paraId="628074AB" w14:textId="77777777" w:rsidTr="00D6440D">
        <w:trPr>
          <w:cantSplit/>
        </w:trPr>
        <w:tc>
          <w:tcPr>
            <w:tcW w:w="555" w:type="dxa"/>
          </w:tcPr>
          <w:p w14:paraId="49F876B4" w14:textId="03D7E3B3" w:rsidR="55C663B1" w:rsidRDefault="55C663B1" w:rsidP="1D8889F0">
            <w:pPr>
              <w:rPr>
                <w:szCs w:val="20"/>
              </w:rPr>
            </w:pPr>
            <w:r w:rsidRPr="1D8889F0">
              <w:rPr>
                <w:szCs w:val="20"/>
              </w:rPr>
              <w:t>11</w:t>
            </w:r>
          </w:p>
        </w:tc>
        <w:tc>
          <w:tcPr>
            <w:tcW w:w="1425" w:type="dxa"/>
          </w:tcPr>
          <w:p w14:paraId="45752691" w14:textId="490EACD2" w:rsidR="55C663B1" w:rsidRDefault="55C663B1" w:rsidP="1D8889F0">
            <w:pPr>
              <w:rPr>
                <w:b/>
                <w:bCs/>
                <w:szCs w:val="20"/>
              </w:rPr>
            </w:pPr>
            <w:r w:rsidRPr="1D8889F0">
              <w:rPr>
                <w:b/>
                <w:bCs/>
                <w:szCs w:val="20"/>
              </w:rPr>
              <w:t>Case series of VHL patients studied with uniform novel protocol</w:t>
            </w:r>
          </w:p>
        </w:tc>
        <w:tc>
          <w:tcPr>
            <w:tcW w:w="2551" w:type="dxa"/>
          </w:tcPr>
          <w:p w14:paraId="7592CD3D" w14:textId="73FB1067" w:rsidR="13711DB9" w:rsidRPr="00BA2095" w:rsidRDefault="13711DB9" w:rsidP="1D8889F0">
            <w:pPr>
              <w:rPr>
                <w:rFonts w:eastAsiaTheme="minorEastAsia" w:cstheme="minorHAnsi"/>
                <w:color w:val="222222"/>
                <w:szCs w:val="20"/>
              </w:rPr>
            </w:pPr>
            <w:proofErr w:type="spellStart"/>
            <w:r w:rsidRPr="00BA2095">
              <w:rPr>
                <w:rFonts w:eastAsiaTheme="minorEastAsia" w:cstheme="minorHAnsi"/>
                <w:color w:val="222222"/>
                <w:szCs w:val="20"/>
              </w:rPr>
              <w:t>Vanbinst</w:t>
            </w:r>
            <w:proofErr w:type="spellEnd"/>
            <w:r w:rsidRPr="00BA2095">
              <w:rPr>
                <w:rFonts w:eastAsiaTheme="minorEastAsia" w:cstheme="minorHAnsi"/>
                <w:color w:val="222222"/>
                <w:szCs w:val="20"/>
              </w:rPr>
              <w:t xml:space="preserve"> AM, </w:t>
            </w:r>
            <w:proofErr w:type="spellStart"/>
            <w:r w:rsidRPr="00BA2095">
              <w:rPr>
                <w:rFonts w:eastAsiaTheme="minorEastAsia" w:cstheme="minorHAnsi"/>
                <w:color w:val="222222"/>
                <w:szCs w:val="20"/>
              </w:rPr>
              <w:t>Brussaard</w:t>
            </w:r>
            <w:proofErr w:type="spellEnd"/>
            <w:r w:rsidRPr="00BA2095">
              <w:rPr>
                <w:rFonts w:eastAsiaTheme="minorEastAsia" w:cstheme="minorHAnsi"/>
                <w:color w:val="222222"/>
                <w:szCs w:val="20"/>
              </w:rPr>
              <w:t xml:space="preserve"> C, </w:t>
            </w:r>
            <w:proofErr w:type="spellStart"/>
            <w:r w:rsidRPr="00BA2095">
              <w:rPr>
                <w:rFonts w:eastAsiaTheme="minorEastAsia" w:cstheme="minorHAnsi"/>
                <w:color w:val="222222"/>
                <w:szCs w:val="20"/>
              </w:rPr>
              <w:t>Vergauwen</w:t>
            </w:r>
            <w:proofErr w:type="spellEnd"/>
            <w:r w:rsidRPr="00BA2095">
              <w:rPr>
                <w:rFonts w:eastAsiaTheme="minorEastAsia" w:cstheme="minorHAnsi"/>
                <w:color w:val="222222"/>
                <w:szCs w:val="20"/>
              </w:rPr>
              <w:t xml:space="preserve"> E, Van </w:t>
            </w:r>
            <w:proofErr w:type="spellStart"/>
            <w:r w:rsidRPr="00BA2095">
              <w:rPr>
                <w:rFonts w:eastAsiaTheme="minorEastAsia" w:cstheme="minorHAnsi"/>
                <w:color w:val="222222"/>
                <w:szCs w:val="20"/>
              </w:rPr>
              <w:t>Velthoven</w:t>
            </w:r>
            <w:proofErr w:type="spellEnd"/>
            <w:r w:rsidRPr="00BA2095">
              <w:rPr>
                <w:rFonts w:eastAsiaTheme="minorEastAsia" w:cstheme="minorHAnsi"/>
                <w:color w:val="222222"/>
                <w:szCs w:val="20"/>
              </w:rPr>
              <w:t xml:space="preserve"> V, </w:t>
            </w:r>
            <w:proofErr w:type="spellStart"/>
            <w:r w:rsidRPr="00BA2095">
              <w:rPr>
                <w:rFonts w:eastAsiaTheme="minorEastAsia" w:cstheme="minorHAnsi"/>
                <w:color w:val="222222"/>
                <w:szCs w:val="20"/>
              </w:rPr>
              <w:t>Kuijpers</w:t>
            </w:r>
            <w:proofErr w:type="spellEnd"/>
            <w:r w:rsidRPr="00BA2095">
              <w:rPr>
                <w:rFonts w:eastAsiaTheme="minorEastAsia" w:cstheme="minorHAnsi"/>
                <w:color w:val="222222"/>
                <w:szCs w:val="20"/>
              </w:rPr>
              <w:t xml:space="preserve"> R, Michel O, </w:t>
            </w:r>
            <w:proofErr w:type="spellStart"/>
            <w:r w:rsidRPr="00BA2095">
              <w:rPr>
                <w:rFonts w:eastAsiaTheme="minorEastAsia" w:cstheme="minorHAnsi"/>
                <w:color w:val="222222"/>
                <w:szCs w:val="20"/>
              </w:rPr>
              <w:t>Foulon</w:t>
            </w:r>
            <w:proofErr w:type="spellEnd"/>
            <w:r w:rsidRPr="00BA2095">
              <w:rPr>
                <w:rFonts w:eastAsiaTheme="minorEastAsia" w:cstheme="minorHAnsi"/>
                <w:color w:val="222222"/>
                <w:szCs w:val="20"/>
              </w:rPr>
              <w:t xml:space="preserve"> I, Jansen AC, </w:t>
            </w:r>
            <w:proofErr w:type="spellStart"/>
            <w:r w:rsidRPr="00BA2095">
              <w:rPr>
                <w:rFonts w:eastAsiaTheme="minorEastAsia" w:cstheme="minorHAnsi"/>
                <w:color w:val="222222"/>
                <w:szCs w:val="20"/>
              </w:rPr>
              <w:t>Lefevere</w:t>
            </w:r>
            <w:proofErr w:type="spellEnd"/>
            <w:r w:rsidRPr="00BA2095">
              <w:rPr>
                <w:rFonts w:eastAsiaTheme="minorEastAsia" w:cstheme="minorHAnsi"/>
                <w:color w:val="222222"/>
                <w:szCs w:val="20"/>
              </w:rPr>
              <w:t xml:space="preserve"> B, Bohler S, </w:t>
            </w:r>
            <w:proofErr w:type="spellStart"/>
            <w:r w:rsidRPr="00BA2095">
              <w:rPr>
                <w:rFonts w:eastAsiaTheme="minorEastAsia" w:cstheme="minorHAnsi"/>
                <w:color w:val="222222"/>
                <w:szCs w:val="20"/>
              </w:rPr>
              <w:t>Keymolen</w:t>
            </w:r>
            <w:proofErr w:type="spellEnd"/>
            <w:r w:rsidRPr="00BA2095">
              <w:rPr>
                <w:rFonts w:eastAsiaTheme="minorEastAsia" w:cstheme="minorHAnsi"/>
                <w:color w:val="222222"/>
                <w:szCs w:val="20"/>
              </w:rPr>
              <w:t xml:space="preserve"> K. A focused 35-minute whole body MRI screening protocol for patients with von Hippel-Lindau disease. Hereditary cancer in clinical practice. 2019 Dec;17(1):1-6.</w:t>
            </w:r>
          </w:p>
        </w:tc>
        <w:tc>
          <w:tcPr>
            <w:tcW w:w="5529" w:type="dxa"/>
          </w:tcPr>
          <w:p w14:paraId="1EB5C88A" w14:textId="483D69B7" w:rsidR="13711DB9" w:rsidRPr="00BA2095" w:rsidRDefault="13711DB9" w:rsidP="1D8889F0">
            <w:pPr>
              <w:rPr>
                <w:rFonts w:cstheme="minorHAnsi"/>
                <w:color w:val="333333"/>
                <w:szCs w:val="20"/>
              </w:rPr>
            </w:pPr>
            <w:r w:rsidRPr="00BA2095">
              <w:rPr>
                <w:rFonts w:cstheme="minorHAnsi"/>
                <w:color w:val="333333"/>
                <w:szCs w:val="20"/>
              </w:rPr>
              <w:t>Annua</w:t>
            </w:r>
            <w:r w:rsidR="4F5FCD4D" w:rsidRPr="00BA2095">
              <w:rPr>
                <w:rFonts w:cstheme="minorHAnsi"/>
                <w:color w:val="333333"/>
                <w:szCs w:val="20"/>
              </w:rPr>
              <w:t>l</w:t>
            </w:r>
            <w:r w:rsidR="69A6C450" w:rsidRPr="00BA2095">
              <w:rPr>
                <w:rFonts w:cstheme="minorHAnsi"/>
                <w:color w:val="333333"/>
                <w:szCs w:val="20"/>
              </w:rPr>
              <w:t xml:space="preserve"> or biennial</w:t>
            </w:r>
            <w:r w:rsidRPr="00BA2095">
              <w:rPr>
                <w:rFonts w:cstheme="minorHAnsi"/>
                <w:color w:val="333333"/>
                <w:szCs w:val="20"/>
              </w:rPr>
              <w:t xml:space="preserve"> MRI screening </w:t>
            </w:r>
            <w:r w:rsidR="45CD0844" w:rsidRPr="00BA2095">
              <w:rPr>
                <w:rFonts w:cstheme="minorHAnsi"/>
                <w:color w:val="333333"/>
                <w:szCs w:val="20"/>
              </w:rPr>
              <w:t>is recommended in VHL patients</w:t>
            </w:r>
            <w:r w:rsidR="785D1F70" w:rsidRPr="00BA2095">
              <w:rPr>
                <w:rFonts w:cstheme="minorHAnsi"/>
                <w:color w:val="333333"/>
                <w:szCs w:val="20"/>
              </w:rPr>
              <w:t xml:space="preserve">, but rather than </w:t>
            </w:r>
            <w:r w:rsidR="00DE3207" w:rsidRPr="00BA2095">
              <w:rPr>
                <w:rFonts w:cstheme="minorHAnsi"/>
                <w:color w:val="333333"/>
                <w:szCs w:val="20"/>
              </w:rPr>
              <w:t>separate</w:t>
            </w:r>
            <w:r w:rsidR="785D1F70" w:rsidRPr="00BA2095">
              <w:rPr>
                <w:rFonts w:cstheme="minorHAnsi"/>
                <w:color w:val="333333"/>
                <w:szCs w:val="20"/>
              </w:rPr>
              <w:t xml:space="preserve"> abdominal, brain and spine studies, these may be combined in a </w:t>
            </w:r>
            <w:proofErr w:type="gramStart"/>
            <w:r w:rsidR="785D1F70" w:rsidRPr="00BA2095">
              <w:rPr>
                <w:rFonts w:cstheme="minorHAnsi"/>
                <w:color w:val="333333"/>
                <w:szCs w:val="20"/>
              </w:rPr>
              <w:t>35 minute</w:t>
            </w:r>
            <w:proofErr w:type="gramEnd"/>
            <w:r w:rsidR="785D1F70" w:rsidRPr="00BA2095">
              <w:rPr>
                <w:rFonts w:cstheme="minorHAnsi"/>
                <w:color w:val="333333"/>
                <w:szCs w:val="20"/>
              </w:rPr>
              <w:t xml:space="preserve"> whole body </w:t>
            </w:r>
            <w:r w:rsidR="65DBDD5E" w:rsidRPr="00BA2095">
              <w:rPr>
                <w:rFonts w:cstheme="minorHAnsi"/>
                <w:color w:val="333333"/>
                <w:szCs w:val="20"/>
              </w:rPr>
              <w:t>MRI study</w:t>
            </w:r>
          </w:p>
        </w:tc>
        <w:tc>
          <w:tcPr>
            <w:tcW w:w="2409" w:type="dxa"/>
          </w:tcPr>
          <w:p w14:paraId="77D01EF1" w14:textId="5AF6B514" w:rsidR="65DBDD5E" w:rsidRDefault="65DBDD5E" w:rsidP="1D8889F0">
            <w:pPr>
              <w:rPr>
                <w:noProof/>
                <w:szCs w:val="20"/>
              </w:rPr>
            </w:pPr>
            <w:r w:rsidRPr="1D8889F0">
              <w:rPr>
                <w:noProof/>
                <w:szCs w:val="20"/>
              </w:rPr>
              <w:t>https://hccpjournal.biomedcentral.com/articles/10.1186/s13053-019-0121-9</w:t>
            </w:r>
          </w:p>
        </w:tc>
        <w:tc>
          <w:tcPr>
            <w:tcW w:w="1479" w:type="dxa"/>
          </w:tcPr>
          <w:p w14:paraId="0A97D288" w14:textId="2C3E9E0C" w:rsidR="65DBDD5E" w:rsidRDefault="65DBDD5E" w:rsidP="1D8889F0">
            <w:pPr>
              <w:rPr>
                <w:noProof/>
                <w:szCs w:val="20"/>
              </w:rPr>
            </w:pPr>
            <w:r w:rsidRPr="1D8889F0">
              <w:rPr>
                <w:noProof/>
                <w:szCs w:val="20"/>
              </w:rPr>
              <w:t>29 July 2019</w:t>
            </w:r>
          </w:p>
        </w:tc>
      </w:tr>
      <w:tr w:rsidR="1D8889F0" w14:paraId="202B9BD8" w14:textId="77777777" w:rsidTr="00D6440D">
        <w:trPr>
          <w:cantSplit/>
        </w:trPr>
        <w:tc>
          <w:tcPr>
            <w:tcW w:w="555" w:type="dxa"/>
          </w:tcPr>
          <w:p w14:paraId="0A62F968" w14:textId="13E1A6AE" w:rsidR="146B48E3" w:rsidRDefault="146B48E3" w:rsidP="1D8889F0">
            <w:pPr>
              <w:rPr>
                <w:szCs w:val="20"/>
              </w:rPr>
            </w:pPr>
            <w:r w:rsidRPr="1D8889F0">
              <w:rPr>
                <w:szCs w:val="20"/>
              </w:rPr>
              <w:lastRenderedPageBreak/>
              <w:t>12</w:t>
            </w:r>
          </w:p>
        </w:tc>
        <w:tc>
          <w:tcPr>
            <w:tcW w:w="1425" w:type="dxa"/>
          </w:tcPr>
          <w:p w14:paraId="73B11D23" w14:textId="53328FEC" w:rsidR="47AF797E" w:rsidRDefault="47AF797E" w:rsidP="1D8889F0">
            <w:pPr>
              <w:rPr>
                <w:b/>
                <w:bCs/>
                <w:szCs w:val="20"/>
              </w:rPr>
            </w:pPr>
            <w:r w:rsidRPr="1D8889F0">
              <w:rPr>
                <w:b/>
                <w:bCs/>
                <w:szCs w:val="20"/>
              </w:rPr>
              <w:t>Review VHL</w:t>
            </w:r>
          </w:p>
        </w:tc>
        <w:tc>
          <w:tcPr>
            <w:tcW w:w="2551" w:type="dxa"/>
          </w:tcPr>
          <w:p w14:paraId="75C0289C" w14:textId="2ED849AA" w:rsidR="47AF797E" w:rsidRPr="00BA2095" w:rsidRDefault="47AF797E" w:rsidP="1D8889F0">
            <w:pPr>
              <w:rPr>
                <w:rFonts w:eastAsiaTheme="minorEastAsia" w:cstheme="minorHAnsi"/>
                <w:noProof/>
                <w:color w:val="222222"/>
                <w:szCs w:val="20"/>
              </w:rPr>
            </w:pPr>
            <w:r w:rsidRPr="00BA2095">
              <w:rPr>
                <w:rFonts w:eastAsiaTheme="minorEastAsia" w:cstheme="minorHAnsi"/>
                <w:noProof/>
                <w:color w:val="222222"/>
                <w:szCs w:val="20"/>
              </w:rPr>
              <w:t>Varshney N, Kebede AA, Owusu-Dapaah H, Lather J, Kaushik M, Bhullar JS. A review of Von Hippel-Lindau syndrome. Journal of kidney cancer and VHL. 2017;4(3):20.</w:t>
            </w:r>
          </w:p>
        </w:tc>
        <w:tc>
          <w:tcPr>
            <w:tcW w:w="5529" w:type="dxa"/>
          </w:tcPr>
          <w:p w14:paraId="02A91E36" w14:textId="7B567733" w:rsidR="18A83611" w:rsidRPr="00BA2095" w:rsidRDefault="18A83611" w:rsidP="1D8889F0">
            <w:pPr>
              <w:rPr>
                <w:rFonts w:eastAsia="Times New Roman" w:cstheme="minorHAnsi"/>
                <w:color w:val="000000" w:themeColor="text1"/>
                <w:szCs w:val="20"/>
              </w:rPr>
            </w:pPr>
            <w:r w:rsidRPr="00BA2095">
              <w:rPr>
                <w:rFonts w:eastAsia="Times New Roman" w:cstheme="minorHAnsi"/>
                <w:color w:val="000000" w:themeColor="text1"/>
                <w:szCs w:val="20"/>
              </w:rPr>
              <w:t xml:space="preserve">Age &gt;16 </w:t>
            </w:r>
            <w:proofErr w:type="spellStart"/>
            <w:r w:rsidRPr="00BA2095">
              <w:rPr>
                <w:rFonts w:eastAsia="Times New Roman" w:cstheme="minorHAnsi"/>
                <w:color w:val="000000" w:themeColor="text1"/>
                <w:szCs w:val="20"/>
              </w:rPr>
              <w:t>yrs</w:t>
            </w:r>
            <w:proofErr w:type="spellEnd"/>
            <w:r w:rsidRPr="00BA2095">
              <w:rPr>
                <w:rFonts w:eastAsia="Times New Roman" w:cstheme="minorHAnsi"/>
                <w:color w:val="000000" w:themeColor="text1"/>
                <w:szCs w:val="20"/>
              </w:rPr>
              <w:t xml:space="preserve"> - </w:t>
            </w:r>
            <w:r w:rsidR="1DE62F83" w:rsidRPr="00BA2095">
              <w:rPr>
                <w:rFonts w:eastAsia="Times New Roman" w:cstheme="minorHAnsi"/>
                <w:color w:val="000000" w:themeColor="text1"/>
                <w:szCs w:val="20"/>
              </w:rPr>
              <w:t xml:space="preserve">Ultrasound and MRI scan of the abdomen with and without contrast to assess kidneys, pancreas, and adrenals </w:t>
            </w:r>
            <w:r w:rsidR="77FAA8A9" w:rsidRPr="00BA2095">
              <w:rPr>
                <w:rFonts w:eastAsia="Times New Roman" w:cstheme="minorHAnsi"/>
                <w:color w:val="000000" w:themeColor="text1"/>
                <w:szCs w:val="20"/>
              </w:rPr>
              <w:t xml:space="preserve">is recommended </w:t>
            </w:r>
            <w:r w:rsidR="1DE62F83" w:rsidRPr="00BA2095">
              <w:rPr>
                <w:rFonts w:eastAsia="Times New Roman" w:cstheme="minorHAnsi"/>
                <w:color w:val="000000" w:themeColor="text1"/>
                <w:szCs w:val="20"/>
              </w:rPr>
              <w:t>at least every other year</w:t>
            </w:r>
            <w:r w:rsidR="38088AB1" w:rsidRPr="00BA2095">
              <w:rPr>
                <w:rFonts w:eastAsia="Times New Roman" w:cstheme="minorHAnsi"/>
                <w:color w:val="000000" w:themeColor="text1"/>
                <w:szCs w:val="20"/>
              </w:rPr>
              <w:t xml:space="preserve">. Renal cancers </w:t>
            </w:r>
            <w:proofErr w:type="spellStart"/>
            <w:r w:rsidR="38088AB1" w:rsidRPr="00BA2095">
              <w:rPr>
                <w:rFonts w:eastAsia="Times New Roman" w:cstheme="minorHAnsi"/>
                <w:color w:val="000000" w:themeColor="text1"/>
                <w:szCs w:val="20"/>
              </w:rPr>
              <w:t>preset</w:t>
            </w:r>
            <w:proofErr w:type="spellEnd"/>
            <w:r w:rsidR="38088AB1" w:rsidRPr="00BA2095">
              <w:rPr>
                <w:rFonts w:eastAsia="Times New Roman" w:cstheme="minorHAnsi"/>
                <w:color w:val="000000" w:themeColor="text1"/>
                <w:szCs w:val="20"/>
              </w:rPr>
              <w:t xml:space="preserve"> at average age 39 (16-67) and occur in 30-70% of patients.</w:t>
            </w:r>
          </w:p>
          <w:p w14:paraId="14ECF0C2" w14:textId="15E08861" w:rsidR="1D8889F0" w:rsidRPr="00BA2095" w:rsidRDefault="1D8889F0" w:rsidP="1D8889F0">
            <w:pPr>
              <w:rPr>
                <w:rFonts w:cstheme="minorHAnsi"/>
                <w:color w:val="333333"/>
                <w:szCs w:val="20"/>
              </w:rPr>
            </w:pPr>
          </w:p>
        </w:tc>
        <w:tc>
          <w:tcPr>
            <w:tcW w:w="2409" w:type="dxa"/>
          </w:tcPr>
          <w:p w14:paraId="06D12C83" w14:textId="415D52EC" w:rsidR="57CA1D06" w:rsidRDefault="57CA1D06" w:rsidP="1D8889F0">
            <w:pPr>
              <w:rPr>
                <w:rFonts w:eastAsiaTheme="minorEastAsia"/>
                <w:noProof/>
                <w:color w:val="333333"/>
                <w:sz w:val="18"/>
                <w:szCs w:val="18"/>
              </w:rPr>
            </w:pPr>
            <w:r w:rsidRPr="1D8889F0">
              <w:rPr>
                <w:rFonts w:eastAsiaTheme="minorEastAsia"/>
                <w:noProof/>
                <w:color w:val="333333"/>
                <w:sz w:val="18"/>
                <w:szCs w:val="18"/>
              </w:rPr>
              <w:t>https://rq2fy6yp4u.scholar.serialssolutions.com/?sid=google&amp;auinit=N&amp;aulast=Varshney&amp;atitle=A+review+of+Von+Hippel-Lindau+syndrome&amp;id=pmid:28785532</w:t>
            </w:r>
          </w:p>
        </w:tc>
        <w:tc>
          <w:tcPr>
            <w:tcW w:w="1479" w:type="dxa"/>
          </w:tcPr>
          <w:p w14:paraId="45A86A49" w14:textId="35B18343" w:rsidR="57CA1D06" w:rsidRDefault="57CA1D06" w:rsidP="1D8889F0">
            <w:pPr>
              <w:rPr>
                <w:noProof/>
                <w:szCs w:val="20"/>
              </w:rPr>
            </w:pPr>
            <w:r w:rsidRPr="1D8889F0">
              <w:rPr>
                <w:noProof/>
                <w:szCs w:val="20"/>
              </w:rPr>
              <w:t>2 Aug 2017</w:t>
            </w:r>
          </w:p>
        </w:tc>
      </w:tr>
    </w:tbl>
    <w:p w14:paraId="7B1CC691" w14:textId="77777777" w:rsidR="00D6440D" w:rsidRDefault="00D6440D" w:rsidP="00D6440D">
      <w:pPr>
        <w:pStyle w:val="Heading2"/>
        <w:numPr>
          <w:ilvl w:val="0"/>
          <w:numId w:val="0"/>
        </w:numPr>
        <w:ind w:left="360"/>
      </w:pPr>
    </w:p>
    <w:p w14:paraId="6F80D8EB" w14:textId="62DAB348" w:rsidR="004C49EF" w:rsidRDefault="00643755" w:rsidP="00643755">
      <w:pPr>
        <w:pStyle w:val="Heading2"/>
      </w:pPr>
      <w:r>
        <w:t xml:space="preserve">Identify </w:t>
      </w:r>
      <w:r w:rsidRPr="279866A2">
        <w:rPr>
          <w:u w:val="single"/>
        </w:rPr>
        <w:t>yet-to-be-published</w:t>
      </w:r>
      <w:r>
        <w:t xml:space="preserve"> research that may have results available </w:t>
      </w:r>
      <w:proofErr w:type="gramStart"/>
      <w:r>
        <w:t>in the near future</w:t>
      </w:r>
      <w:proofErr w:type="gramEnd"/>
      <w:r>
        <w:t xml:space="preserve"> (that could be relevant to your application). Do not attach full text articles; this is just a summary</w:t>
      </w:r>
      <w:r w:rsidR="004C49EF" w:rsidRPr="279866A2">
        <w:rPr>
          <w:i/>
          <w:iCs/>
        </w:rPr>
        <w:t>.</w:t>
      </w:r>
    </w:p>
    <w:p w14:paraId="72CE9368" w14:textId="73478416" w:rsidR="004C49EF" w:rsidRPr="00E82F54" w:rsidRDefault="00D6440D" w:rsidP="004C49EF">
      <w:pPr>
        <w:spacing w:after="0"/>
        <w:ind w:left="426"/>
        <w:rPr>
          <w:i/>
          <w:szCs w:val="20"/>
        </w:rPr>
      </w:pPr>
      <w:r>
        <w:rPr>
          <w:i/>
          <w:szCs w:val="20"/>
        </w:rPr>
        <w:t>None identified</w:t>
      </w:r>
    </w:p>
    <w:p w14:paraId="2946DB82"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3BB7A63B"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385A2B8C" w14:textId="1556CF39" w:rsidR="00E82F54" w:rsidRDefault="00E82F54" w:rsidP="00282B37">
      <w:pPr>
        <w:pStyle w:val="Heading2"/>
      </w:pPr>
      <w:r>
        <w:t>List</w:t>
      </w:r>
      <w:r w:rsidR="00282B37">
        <w:t xml:space="preserve"> all appropriate professional bodies/organisations representing the health professionals who provide the service. For </w:t>
      </w:r>
      <w:r w:rsidR="00282B37" w:rsidRPr="279866A2">
        <w:rPr>
          <w:u w:val="single"/>
        </w:rPr>
        <w:t>MBS-related applications</w:t>
      </w:r>
      <w:r w:rsidR="00282B37">
        <w:t xml:space="preserve"> ONLY, please attach a brief ‘Statement of Clinical Relevance’ from the most relevant college/society.</w:t>
      </w:r>
    </w:p>
    <w:p w14:paraId="3E5888C9" w14:textId="27A8E6EA" w:rsidR="00A11B6C" w:rsidRPr="00D6440D" w:rsidRDefault="00A11B6C" w:rsidP="00D6440D">
      <w:pPr>
        <w:ind w:left="426"/>
        <w:rPr>
          <w:rFonts w:ascii="Calibri" w:hAnsi="Calibri" w:cs="Calibri"/>
        </w:rPr>
      </w:pPr>
      <w:r w:rsidRPr="5C5AE3A5">
        <w:rPr>
          <w:rFonts w:ascii="Calibri" w:hAnsi="Calibri" w:cs="Calibri"/>
        </w:rPr>
        <w:t xml:space="preserve">Australian and New Zealand Society of Nephrology </w:t>
      </w:r>
    </w:p>
    <w:p w14:paraId="704295F2" w14:textId="77777777" w:rsidR="00EA173C" w:rsidRPr="00154B00" w:rsidRDefault="00EA173C" w:rsidP="00530204">
      <w:pPr>
        <w:pStyle w:val="Heading2"/>
      </w:pPr>
      <w:r>
        <w:t>List any professional bodies / organisations that may be impacted by this medical service</w:t>
      </w:r>
      <w:r w:rsidR="00F93784">
        <w:t xml:space="preserve"> (i.e. those who provide the comparator service)</w:t>
      </w:r>
      <w:r w:rsidR="00197D29">
        <w:t>:</w:t>
      </w:r>
    </w:p>
    <w:p w14:paraId="00131611" w14:textId="49DBC2BB" w:rsidR="7FFB69C1" w:rsidRDefault="7FFB69C1" w:rsidP="5C5AE3A5">
      <w:pPr>
        <w:ind w:left="426"/>
        <w:rPr>
          <w:rFonts w:ascii="Calibri" w:hAnsi="Calibri" w:cs="Calibri"/>
          <w:szCs w:val="20"/>
        </w:rPr>
      </w:pPr>
      <w:r w:rsidRPr="5C5AE3A5">
        <w:rPr>
          <w:rFonts w:ascii="Calibri" w:hAnsi="Calibri" w:cs="Calibri"/>
        </w:rPr>
        <w:t>H</w:t>
      </w:r>
      <w:r w:rsidR="00A11B6C">
        <w:rPr>
          <w:rFonts w:ascii="Calibri" w:hAnsi="Calibri" w:cs="Calibri"/>
        </w:rPr>
        <w:t>uman Genetics Society of Australasia</w:t>
      </w:r>
    </w:p>
    <w:p w14:paraId="4739D886" w14:textId="340BF2BC" w:rsidR="7FFB69C1" w:rsidRDefault="7FFB69C1" w:rsidP="5C5AE3A5">
      <w:pPr>
        <w:ind w:left="426"/>
        <w:rPr>
          <w:rFonts w:ascii="Calibri" w:hAnsi="Calibri" w:cs="Calibri"/>
        </w:rPr>
      </w:pPr>
      <w:r w:rsidRPr="5C5AE3A5">
        <w:rPr>
          <w:rFonts w:ascii="Calibri" w:hAnsi="Calibri" w:cs="Calibri"/>
        </w:rPr>
        <w:t>Royal Australasian College of Physicians</w:t>
      </w:r>
    </w:p>
    <w:p w14:paraId="40D0FA6E" w14:textId="24ABB6AA" w:rsidR="7FFB69C1" w:rsidRDefault="7FFB69C1" w:rsidP="5C5AE3A5">
      <w:pPr>
        <w:ind w:left="426"/>
        <w:rPr>
          <w:rFonts w:ascii="Calibri" w:hAnsi="Calibri" w:cs="Calibri"/>
          <w:szCs w:val="20"/>
        </w:rPr>
      </w:pPr>
      <w:r w:rsidRPr="5C5AE3A5">
        <w:rPr>
          <w:rFonts w:ascii="Calibri" w:hAnsi="Calibri" w:cs="Calibri"/>
          <w:szCs w:val="20"/>
        </w:rPr>
        <w:t xml:space="preserve">Urological society of Australia and </w:t>
      </w:r>
      <w:r w:rsidR="2E53B545" w:rsidRPr="5C5AE3A5">
        <w:rPr>
          <w:rFonts w:ascii="Calibri" w:hAnsi="Calibri" w:cs="Calibri"/>
          <w:szCs w:val="20"/>
        </w:rPr>
        <w:t>N</w:t>
      </w:r>
      <w:r w:rsidRPr="5C5AE3A5">
        <w:rPr>
          <w:rFonts w:ascii="Calibri" w:hAnsi="Calibri" w:cs="Calibri"/>
          <w:szCs w:val="20"/>
        </w:rPr>
        <w:t>ew</w:t>
      </w:r>
      <w:r w:rsidR="1E362255" w:rsidRPr="5C5AE3A5">
        <w:rPr>
          <w:rFonts w:ascii="Calibri" w:hAnsi="Calibri" w:cs="Calibri"/>
          <w:szCs w:val="20"/>
        </w:rPr>
        <w:t xml:space="preserve"> </w:t>
      </w:r>
      <w:r w:rsidRPr="5C5AE3A5">
        <w:rPr>
          <w:rFonts w:ascii="Calibri" w:hAnsi="Calibri" w:cs="Calibri"/>
          <w:szCs w:val="20"/>
        </w:rPr>
        <w:t>Zealand</w:t>
      </w:r>
    </w:p>
    <w:p w14:paraId="3D7CD578" w14:textId="19A3455E" w:rsidR="5C5AE3A5" w:rsidRPr="00D6440D" w:rsidRDefault="00A11B6C" w:rsidP="00D6440D">
      <w:pPr>
        <w:ind w:left="426"/>
        <w:rPr>
          <w:rFonts w:ascii="Calibri" w:hAnsi="Calibri" w:cs="Calibri"/>
        </w:rPr>
      </w:pPr>
      <w:r w:rsidRPr="5C5AE3A5">
        <w:rPr>
          <w:rFonts w:ascii="Calibri" w:hAnsi="Calibri" w:cs="Calibri"/>
        </w:rPr>
        <w:t>Royal Australian and New Zealand College of Radiologists</w:t>
      </w:r>
    </w:p>
    <w:p w14:paraId="708CA968" w14:textId="77777777" w:rsidR="00E82F54" w:rsidRPr="00154B00" w:rsidRDefault="00E82F54" w:rsidP="00A75D46">
      <w:pPr>
        <w:pStyle w:val="Heading2"/>
      </w:pPr>
      <w:r>
        <w:t>List</w:t>
      </w:r>
      <w:r w:rsidR="00A75D46">
        <w:t xml:space="preserve"> the consumer organisations relevant to the proposed medical service (noting there is </w:t>
      </w:r>
      <w:r w:rsidR="00A75D46" w:rsidRPr="279866A2">
        <w:rPr>
          <w:u w:val="single"/>
        </w:rPr>
        <w:t>NO NEED</w:t>
      </w:r>
      <w:r w:rsidR="00A75D46">
        <w:t xml:space="preserve"> to attach a support letter at the ‘Application Lodgement’ stage of the MSAC process)</w:t>
      </w:r>
      <w:r w:rsidR="00197D29">
        <w:t>:</w:t>
      </w:r>
    </w:p>
    <w:p w14:paraId="58615B34" w14:textId="3DC62F37" w:rsidR="009E6E9E" w:rsidRPr="008D653B" w:rsidRDefault="34297CFD" w:rsidP="00A727B6">
      <w:pPr>
        <w:ind w:left="426"/>
      </w:pPr>
      <w:r w:rsidRPr="008D653B">
        <w:t>T</w:t>
      </w:r>
      <w:r w:rsidR="009E6E9E" w:rsidRPr="008D653B">
        <w:t>ub</w:t>
      </w:r>
      <w:r w:rsidR="002E5E52" w:rsidRPr="008D653B">
        <w:t xml:space="preserve">erous Sclerosis </w:t>
      </w:r>
      <w:r w:rsidRPr="008D653B">
        <w:t>Australia</w:t>
      </w:r>
    </w:p>
    <w:p w14:paraId="43A52A2D" w14:textId="5EA76F30" w:rsidR="00E82F54" w:rsidRPr="008D653B" w:rsidRDefault="34297CFD" w:rsidP="00A727B6">
      <w:pPr>
        <w:ind w:left="426"/>
      </w:pPr>
      <w:r w:rsidRPr="008D653B">
        <w:t>Rare Voices Australia</w:t>
      </w:r>
    </w:p>
    <w:p w14:paraId="7CC1B9DB" w14:textId="47E749E7" w:rsidR="7256CC96" w:rsidRPr="008D653B" w:rsidRDefault="7256CC96" w:rsidP="5C5AE3A5">
      <w:pPr>
        <w:ind w:left="426"/>
        <w:rPr>
          <w:szCs w:val="20"/>
        </w:rPr>
      </w:pPr>
      <w:r w:rsidRPr="008D653B">
        <w:rPr>
          <w:szCs w:val="20"/>
        </w:rPr>
        <w:t>Kidney Health Australia</w:t>
      </w:r>
    </w:p>
    <w:p w14:paraId="23E8D14F" w14:textId="549B92D7" w:rsidR="433C7A28" w:rsidRPr="008D653B" w:rsidRDefault="433C7A28" w:rsidP="5C5AE3A5">
      <w:pPr>
        <w:ind w:left="426"/>
        <w:rPr>
          <w:szCs w:val="20"/>
        </w:rPr>
      </w:pPr>
      <w:r w:rsidRPr="008D653B">
        <w:rPr>
          <w:szCs w:val="20"/>
        </w:rPr>
        <w:t>Rare Cancers Australia</w:t>
      </w:r>
    </w:p>
    <w:p w14:paraId="5426D1A8" w14:textId="77777777" w:rsidR="003433D1" w:rsidRDefault="003433D1" w:rsidP="00530204">
      <w:pPr>
        <w:pStyle w:val="Heading2"/>
      </w:pPr>
      <w:r>
        <w:t xml:space="preserve">List the relevant sponsor(s) and / or manufacturer(s) who produce </w:t>
      </w:r>
      <w:r w:rsidRPr="279866A2">
        <w:rPr>
          <w:u w:val="single"/>
        </w:rPr>
        <w:t>similar</w:t>
      </w:r>
      <w:r>
        <w:t xml:space="preserve"> products relevant </w:t>
      </w:r>
      <w:r w:rsidR="00197D29">
        <w:t>to the proposed medical service:</w:t>
      </w:r>
    </w:p>
    <w:p w14:paraId="07257A3A" w14:textId="0FAEF4A9" w:rsidR="00EE6450" w:rsidRPr="008D653B" w:rsidRDefault="00494DE3" w:rsidP="00D6440D">
      <w:pPr>
        <w:ind w:firstLine="360"/>
      </w:pPr>
      <w:r w:rsidRPr="008D653B">
        <w:t>N/A</w:t>
      </w:r>
    </w:p>
    <w:p w14:paraId="5997CC1D" w14:textId="2B5D7B34" w:rsidR="00A96329" w:rsidRPr="00D6440D" w:rsidRDefault="00BA72E3" w:rsidP="00A96329">
      <w:pPr>
        <w:numPr>
          <w:ilvl w:val="0"/>
          <w:numId w:val="2"/>
        </w:numPr>
        <w:rPr>
          <w:b/>
          <w:bCs/>
        </w:rPr>
      </w:pPr>
      <w:r w:rsidRPr="279866A2">
        <w:rPr>
          <w:b/>
          <w:bCs/>
        </w:rPr>
        <w:t>Nominate two experts that can be contacted about the proposed medical service, and current clinical management of the condition:</w:t>
      </w:r>
    </w:p>
    <w:p w14:paraId="4D14C5DF" w14:textId="7A425123" w:rsidR="00987ABE" w:rsidRPr="00FD38AC" w:rsidRDefault="00987ABE" w:rsidP="00987ABE">
      <w:pPr>
        <w:ind w:left="426"/>
        <w:rPr>
          <w:b/>
          <w:bCs/>
        </w:rPr>
      </w:pPr>
      <w:r w:rsidRPr="279866A2">
        <w:t>Name of expert 1</w:t>
      </w:r>
      <w:r w:rsidRPr="00B473FB">
        <w:t xml:space="preserve">: </w:t>
      </w:r>
      <w:r w:rsidR="00FD38AC" w:rsidRPr="005A7C8F">
        <w:rPr>
          <w:b/>
          <w:bCs/>
          <w:highlight w:val="lightGray"/>
        </w:rPr>
        <w:t>REDACTED</w:t>
      </w:r>
    </w:p>
    <w:p w14:paraId="1A31AD18" w14:textId="14BF3AD5" w:rsidR="00987ABE" w:rsidRPr="00987ABE" w:rsidRDefault="00987ABE" w:rsidP="00987ABE">
      <w:pPr>
        <w:ind w:left="426"/>
      </w:pPr>
      <w:r w:rsidRPr="47804BB2">
        <w:t xml:space="preserve">Telephone </w:t>
      </w:r>
      <w:proofErr w:type="gramStart"/>
      <w:r w:rsidRPr="47804BB2">
        <w:t>number(</w:t>
      </w:r>
      <w:proofErr w:type="gramEnd"/>
      <w:r w:rsidRPr="47804BB2">
        <w:t>s</w:t>
      </w:r>
      <w:r w:rsidR="005A7C8F" w:rsidRPr="005A7C8F">
        <w:rPr>
          <w:b/>
          <w:bCs/>
          <w:highlight w:val="lightGray"/>
        </w:rPr>
        <w:t xml:space="preserve"> REDACTED</w:t>
      </w:r>
      <w:r w:rsidR="005A7C8F">
        <w:t xml:space="preserve"> </w:t>
      </w:r>
      <w:r>
        <w:fldChar w:fldCharType="begin">
          <w:ffData>
            <w:name w:val=""/>
            <w:enabled/>
            <w:calcOnExit w:val="0"/>
            <w:textInput>
              <w:default w:val="Insert phone number/s here"/>
            </w:textInput>
          </w:ffData>
        </w:fldChar>
      </w:r>
      <w:r>
        <w:instrText xml:space="preserve"> FORMTEXT </w:instrText>
      </w:r>
      <w:r w:rsidR="000F1E2E">
        <w:fldChar w:fldCharType="separate"/>
      </w:r>
      <w:r>
        <w:fldChar w:fldCharType="end"/>
      </w:r>
    </w:p>
    <w:p w14:paraId="39AE8D30" w14:textId="77777777" w:rsidR="005A7C8F" w:rsidRDefault="00987ABE" w:rsidP="00B473FB">
      <w:pPr>
        <w:ind w:left="426"/>
        <w:rPr>
          <w:szCs w:val="20"/>
        </w:rPr>
      </w:pPr>
      <w:r>
        <w:rPr>
          <w:szCs w:val="20"/>
        </w:rPr>
        <w:t xml:space="preserve">Email address: </w:t>
      </w:r>
      <w:r w:rsidR="005A7C8F" w:rsidRPr="005A7C8F">
        <w:rPr>
          <w:b/>
          <w:bCs/>
          <w:highlight w:val="lightGray"/>
        </w:rPr>
        <w:t>REDACTED</w:t>
      </w:r>
      <w:r w:rsidR="005A7C8F">
        <w:rPr>
          <w:szCs w:val="20"/>
        </w:rPr>
        <w:t xml:space="preserve"> </w:t>
      </w:r>
    </w:p>
    <w:p w14:paraId="110FFD37" w14:textId="430F12C5" w:rsidR="00987ABE" w:rsidRDefault="00987ABE" w:rsidP="00D6440D">
      <w:pPr>
        <w:ind w:left="426"/>
        <w:rPr>
          <w:b/>
          <w:bCs/>
        </w:rPr>
      </w:pPr>
      <w:r>
        <w:rPr>
          <w:szCs w:val="20"/>
        </w:rPr>
        <w:t xml:space="preserve">Justification of expertise: </w:t>
      </w:r>
      <w:r w:rsidR="005A7C8F" w:rsidRPr="005A7C8F">
        <w:rPr>
          <w:b/>
          <w:bCs/>
          <w:highlight w:val="lightGray"/>
        </w:rPr>
        <w:t>REDACTED</w:t>
      </w:r>
    </w:p>
    <w:p w14:paraId="344FDB78" w14:textId="77777777" w:rsidR="00D6440D" w:rsidRPr="00987ABE" w:rsidRDefault="00D6440D" w:rsidP="00D6440D">
      <w:pPr>
        <w:ind w:left="426"/>
        <w:rPr>
          <w:szCs w:val="20"/>
        </w:rPr>
      </w:pPr>
    </w:p>
    <w:p w14:paraId="51598BBA" w14:textId="6F2E3072" w:rsidR="00987ABE" w:rsidRPr="00987ABE" w:rsidRDefault="00987ABE" w:rsidP="00987ABE">
      <w:pPr>
        <w:ind w:left="426"/>
        <w:rPr>
          <w:szCs w:val="20"/>
        </w:rPr>
      </w:pPr>
      <w:r>
        <w:rPr>
          <w:szCs w:val="20"/>
        </w:rPr>
        <w:t>Name of expert 2:</w:t>
      </w:r>
      <w:r w:rsidR="005A7C8F" w:rsidRPr="005A7C8F">
        <w:rPr>
          <w:b/>
          <w:bCs/>
          <w:highlight w:val="lightGray"/>
        </w:rPr>
        <w:t xml:space="preserve"> REDACTED</w:t>
      </w:r>
    </w:p>
    <w:p w14:paraId="5687CC40" w14:textId="4ADCAE75" w:rsidR="00987ABE" w:rsidRPr="005A7C8F" w:rsidRDefault="00987ABE" w:rsidP="005A7C8F">
      <w:pPr>
        <w:ind w:left="426"/>
        <w:rPr>
          <w:szCs w:val="20"/>
        </w:rPr>
      </w:pPr>
      <w:r w:rsidRPr="60E256D2">
        <w:t xml:space="preserve">Telephone number(s): </w:t>
      </w:r>
      <w:r w:rsidR="005A7C8F" w:rsidRPr="005A7C8F">
        <w:rPr>
          <w:b/>
          <w:bCs/>
          <w:highlight w:val="lightGray"/>
        </w:rPr>
        <w:t>REDACTED</w:t>
      </w:r>
    </w:p>
    <w:p w14:paraId="6817BB7E" w14:textId="3B174BE1" w:rsidR="00987ABE" w:rsidRPr="00987ABE" w:rsidRDefault="00987ABE" w:rsidP="005A7C8F">
      <w:pPr>
        <w:ind w:left="426"/>
        <w:rPr>
          <w:szCs w:val="20"/>
        </w:rPr>
      </w:pPr>
      <w:r>
        <w:rPr>
          <w:szCs w:val="20"/>
        </w:rPr>
        <w:t xml:space="preserve">Email address: </w:t>
      </w:r>
      <w:r w:rsidR="005A7C8F" w:rsidRPr="005A7C8F">
        <w:rPr>
          <w:b/>
          <w:bCs/>
          <w:highlight w:val="lightGray"/>
        </w:rPr>
        <w:t>REDACTED</w:t>
      </w:r>
    </w:p>
    <w:p w14:paraId="6B699379" w14:textId="5C0E0A8C" w:rsidR="00987ABE" w:rsidRPr="00D6440D" w:rsidRDefault="00987ABE" w:rsidP="00D6440D">
      <w:pPr>
        <w:pStyle w:val="Heading4"/>
        <w:shd w:val="clear" w:color="auto" w:fill="FFFFFF"/>
        <w:spacing w:before="0"/>
        <w:ind w:firstLine="426"/>
        <w:rPr>
          <w:rFonts w:asciiTheme="minorHAnsi" w:hAnsiTheme="minorHAnsi" w:cstheme="minorHAnsi"/>
          <w:i w:val="0"/>
          <w:iCs w:val="0"/>
          <w:color w:val="auto"/>
          <w:szCs w:val="20"/>
        </w:rPr>
      </w:pPr>
      <w:r w:rsidRPr="00EF364F">
        <w:rPr>
          <w:rFonts w:asciiTheme="minorHAnsi" w:hAnsiTheme="minorHAnsi" w:cstheme="minorHAnsi"/>
          <w:i w:val="0"/>
          <w:iCs w:val="0"/>
          <w:color w:val="auto"/>
          <w:szCs w:val="20"/>
        </w:rPr>
        <w:t xml:space="preserve">Justification of expertise: </w:t>
      </w:r>
      <w:r w:rsidR="00EF364F" w:rsidRPr="00EF364F">
        <w:rPr>
          <w:rFonts w:asciiTheme="minorHAnsi" w:hAnsiTheme="minorHAnsi" w:cstheme="minorHAnsi"/>
          <w:i w:val="0"/>
          <w:iCs w:val="0"/>
          <w:color w:val="auto"/>
          <w:szCs w:val="20"/>
        </w:rPr>
        <w:t xml:space="preserve"> </w:t>
      </w:r>
      <w:r w:rsidR="00D6440D" w:rsidRPr="00D6440D">
        <w:rPr>
          <w:rFonts w:asciiTheme="minorHAnsi" w:hAnsiTheme="minorHAnsi" w:cstheme="minorHAnsi"/>
          <w:b/>
          <w:bCs/>
          <w:i w:val="0"/>
          <w:iCs w:val="0"/>
          <w:color w:val="auto"/>
          <w:highlight w:val="lightGray"/>
        </w:rPr>
        <w:t>REDACTED</w:t>
      </w:r>
    </w:p>
    <w:p w14:paraId="3FE9F23F" w14:textId="77777777" w:rsidR="003433D1" w:rsidRDefault="003433D1">
      <w:pPr>
        <w:rPr>
          <w:b/>
          <w:sz w:val="32"/>
          <w:szCs w:val="32"/>
        </w:rPr>
      </w:pPr>
      <w:r>
        <w:rPr>
          <w:b/>
          <w:sz w:val="32"/>
          <w:szCs w:val="32"/>
        </w:rPr>
        <w:br w:type="page"/>
      </w:r>
    </w:p>
    <w:p w14:paraId="1BC2C88C"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24E2C270" w14:textId="77777777" w:rsidR="0021185D" w:rsidRPr="005C3AE7" w:rsidRDefault="005C3AE7" w:rsidP="00D6440D">
      <w:pPr>
        <w:pStyle w:val="Subtitle"/>
        <w:ind w:left="0"/>
      </w:pPr>
      <w:r w:rsidRPr="005C3AE7">
        <w:t xml:space="preserve">PART 6a – </w:t>
      </w:r>
      <w:r w:rsidR="0021185D" w:rsidRPr="005C3AE7">
        <w:t>INFORMATION ABOUT THE PROPOSED POPULATION</w:t>
      </w:r>
    </w:p>
    <w:p w14:paraId="35EB280E" w14:textId="77777777" w:rsidR="0021185D" w:rsidRPr="00A96329" w:rsidRDefault="0021185D" w:rsidP="005C3AE7">
      <w:pPr>
        <w:pStyle w:val="Heading2"/>
      </w:pPr>
      <w:r>
        <w:t>Define the medical condition, including providing information</w:t>
      </w:r>
      <w:r w:rsidR="00DF0C51">
        <w:t xml:space="preserve"> on the natural history of the </w:t>
      </w:r>
      <w:r>
        <w:t>condition</w:t>
      </w:r>
      <w:r w:rsidR="0018630F">
        <w:t xml:space="preserve"> and a </w:t>
      </w:r>
      <w:proofErr w:type="gramStart"/>
      <w:r w:rsidR="0018630F">
        <w:t>high level</w:t>
      </w:r>
      <w:proofErr w:type="gramEnd"/>
      <w:r w:rsidR="009C03FB">
        <w:t xml:space="preserve"> summary of associated </w:t>
      </w:r>
      <w:r w:rsidR="0018630F">
        <w:t>burden of disea</w:t>
      </w:r>
      <w:r w:rsidR="009C03FB">
        <w:t>se</w:t>
      </w:r>
      <w:r w:rsidR="0054594B">
        <w:t xml:space="preserve"> </w:t>
      </w:r>
      <w:r w:rsidR="00282B37">
        <w:t>(</w:t>
      </w:r>
      <w:r w:rsidR="0054594B">
        <w:t>in terms of both morbidity and mortality</w:t>
      </w:r>
      <w:r w:rsidR="00282B37">
        <w:t>)</w:t>
      </w:r>
      <w:r w:rsidR="00197D29">
        <w:t>:</w:t>
      </w:r>
    </w:p>
    <w:p w14:paraId="4E53B32D" w14:textId="0B96AC52" w:rsidR="005F2C18" w:rsidRPr="00C63209" w:rsidRDefault="005F2C18" w:rsidP="00D6440D">
      <w:pPr>
        <w:autoSpaceDE w:val="0"/>
        <w:autoSpaceDN w:val="0"/>
        <w:spacing w:after="200" w:line="276" w:lineRule="auto"/>
        <w:ind w:left="360"/>
        <w:rPr>
          <w:rFonts w:ascii="Calibri" w:hAnsi="Calibri" w:cs="Calibri"/>
          <w:lang w:val="en"/>
        </w:rPr>
      </w:pPr>
      <w:r w:rsidRPr="00C63209">
        <w:rPr>
          <w:rFonts w:ascii="Calibri" w:hAnsi="Calibri" w:cs="Calibri"/>
          <w:b/>
          <w:bCs/>
          <w:lang w:val="en"/>
        </w:rPr>
        <w:t>Tuberous Sclerosis Complex (TSC)</w:t>
      </w:r>
      <w:r w:rsidRPr="00C63209">
        <w:rPr>
          <w:rFonts w:ascii="Calibri" w:hAnsi="Calibri" w:cs="Calibri"/>
          <w:lang w:val="en"/>
        </w:rPr>
        <w:t xml:space="preserve"> is a multisystem hereditary disorder with an incidence of approximately 1:6000 live births. It is characterized by the growth of benign </w:t>
      </w:r>
      <w:proofErr w:type="spellStart"/>
      <w:r w:rsidRPr="00C63209">
        <w:rPr>
          <w:rFonts w:ascii="Calibri" w:hAnsi="Calibri" w:cs="Calibri"/>
          <w:lang w:val="en"/>
        </w:rPr>
        <w:t>tumours</w:t>
      </w:r>
      <w:proofErr w:type="spellEnd"/>
      <w:r w:rsidRPr="00C63209">
        <w:rPr>
          <w:rFonts w:ascii="Calibri" w:hAnsi="Calibri" w:cs="Calibri"/>
          <w:lang w:val="en"/>
        </w:rPr>
        <w:t xml:space="preserve"> in multiple organs that occur as the result of a loss of function mutation in one to the two TSC genes leading to the over activity of mammalian target of rapamycin (mTOR) pathway. The key organs impacted include the brain, skin, kidneys, lungs, </w:t>
      </w:r>
      <w:proofErr w:type="gramStart"/>
      <w:r w:rsidRPr="00C63209">
        <w:rPr>
          <w:rFonts w:ascii="Calibri" w:hAnsi="Calibri" w:cs="Calibri"/>
          <w:lang w:val="en"/>
        </w:rPr>
        <w:t>heart</w:t>
      </w:r>
      <w:proofErr w:type="gramEnd"/>
      <w:r w:rsidRPr="00C63209">
        <w:rPr>
          <w:rFonts w:ascii="Calibri" w:hAnsi="Calibri" w:cs="Calibri"/>
          <w:lang w:val="en"/>
        </w:rPr>
        <w:t xml:space="preserve"> and eyes, resulting in clinical manifestations including seizures, neuropsychiatric conditions, spontaneous </w:t>
      </w:r>
      <w:proofErr w:type="spellStart"/>
      <w:r w:rsidRPr="00C63209">
        <w:rPr>
          <w:rFonts w:ascii="Calibri" w:hAnsi="Calibri" w:cs="Calibri"/>
          <w:lang w:val="en"/>
        </w:rPr>
        <w:t>haemorrhage</w:t>
      </w:r>
      <w:proofErr w:type="spellEnd"/>
      <w:r w:rsidRPr="00C63209">
        <w:rPr>
          <w:rFonts w:ascii="Calibri" w:hAnsi="Calibri" w:cs="Calibri"/>
          <w:lang w:val="en"/>
        </w:rPr>
        <w:t xml:space="preserve"> from the kidneys, cardiac arrhythmias and lung disease. </w:t>
      </w:r>
    </w:p>
    <w:p w14:paraId="7C0DA507" w14:textId="77777777" w:rsidR="005F2C18" w:rsidRDefault="005F2C18" w:rsidP="00D6440D">
      <w:pPr>
        <w:autoSpaceDE w:val="0"/>
        <w:autoSpaceDN w:val="0"/>
        <w:spacing w:after="200" w:line="276" w:lineRule="auto"/>
        <w:ind w:left="360"/>
        <w:rPr>
          <w:rFonts w:ascii="Calibri" w:hAnsi="Calibri" w:cs="Calibri"/>
          <w:lang w:val="en"/>
        </w:rPr>
      </w:pPr>
      <w:r w:rsidRPr="16BBA587">
        <w:rPr>
          <w:rFonts w:ascii="Calibri" w:hAnsi="Calibri" w:cs="Calibri"/>
          <w:lang w:val="en"/>
        </w:rPr>
        <w:t xml:space="preserve">Approximately 70% of patients with TSC develop </w:t>
      </w:r>
      <w:proofErr w:type="spellStart"/>
      <w:r w:rsidRPr="16BBA587">
        <w:rPr>
          <w:rFonts w:ascii="Calibri" w:hAnsi="Calibri" w:cs="Calibri"/>
          <w:lang w:val="en"/>
        </w:rPr>
        <w:t>angiomyolipomas</w:t>
      </w:r>
      <w:proofErr w:type="spellEnd"/>
      <w:r w:rsidRPr="16BBA587">
        <w:rPr>
          <w:rFonts w:ascii="Calibri" w:hAnsi="Calibri" w:cs="Calibri"/>
          <w:lang w:val="en"/>
        </w:rPr>
        <w:t xml:space="preserve"> (AML) of the kidneys. With 21-40% of all people with TSC experiencing bleeding from AMLs or chronic kidney disease. It has been demonstrated that treatment of patients with large AMLs at increased risk of bleeding with the mTOR inhibitor </w:t>
      </w:r>
      <w:proofErr w:type="spellStart"/>
      <w:r w:rsidRPr="16BBA587">
        <w:rPr>
          <w:rFonts w:ascii="Calibri" w:hAnsi="Calibri" w:cs="Calibri"/>
          <w:lang w:val="en"/>
        </w:rPr>
        <w:t>everolimus</w:t>
      </w:r>
      <w:proofErr w:type="spellEnd"/>
      <w:r w:rsidRPr="16BBA587">
        <w:rPr>
          <w:rFonts w:ascii="Calibri" w:hAnsi="Calibri" w:cs="Calibri"/>
          <w:lang w:val="en"/>
        </w:rPr>
        <w:t xml:space="preserve"> is effective at reducing the size of AMLs and preventing bleeding complications. </w:t>
      </w:r>
      <w:proofErr w:type="spellStart"/>
      <w:r w:rsidRPr="16BBA587">
        <w:rPr>
          <w:rFonts w:ascii="Calibri" w:hAnsi="Calibri" w:cs="Calibri"/>
          <w:lang w:val="en"/>
        </w:rPr>
        <w:t>Everolimus</w:t>
      </w:r>
      <w:proofErr w:type="spellEnd"/>
      <w:r w:rsidRPr="16BBA587">
        <w:rPr>
          <w:rFonts w:ascii="Calibri" w:hAnsi="Calibri" w:cs="Calibri"/>
          <w:lang w:val="en"/>
        </w:rPr>
        <w:t xml:space="preserve"> is available on the PBS in Australia for the treatment of visceral </w:t>
      </w:r>
      <w:proofErr w:type="spellStart"/>
      <w:r w:rsidRPr="16BBA587">
        <w:rPr>
          <w:rFonts w:ascii="Calibri" w:hAnsi="Calibri" w:cs="Calibri"/>
          <w:lang w:val="en"/>
        </w:rPr>
        <w:t>tumours</w:t>
      </w:r>
      <w:proofErr w:type="spellEnd"/>
      <w:r w:rsidRPr="16BBA587">
        <w:rPr>
          <w:rFonts w:ascii="Calibri" w:hAnsi="Calibri" w:cs="Calibri"/>
          <w:lang w:val="en"/>
        </w:rPr>
        <w:t xml:space="preserve"> associated with TSC. </w:t>
      </w:r>
    </w:p>
    <w:p w14:paraId="06205361" w14:textId="1309484A" w:rsidR="00B10068" w:rsidRDefault="00B10068" w:rsidP="00D6440D">
      <w:pPr>
        <w:spacing w:before="0" w:after="0"/>
        <w:ind w:left="360"/>
        <w:rPr>
          <w:rFonts w:eastAsia="Times New Roman" w:cstheme="minorHAnsi"/>
          <w:szCs w:val="20"/>
          <w:lang w:eastAsia="en-AU"/>
        </w:rPr>
      </w:pPr>
      <w:r>
        <w:rPr>
          <w:rFonts w:ascii="Calibri" w:hAnsi="Calibri" w:cs="Calibri"/>
          <w:szCs w:val="20"/>
          <w:lang w:val="en"/>
        </w:rPr>
        <w:t xml:space="preserve">According to Tuberous Sclerosis Australia </w:t>
      </w:r>
      <w:r w:rsidR="009441F6">
        <w:rPr>
          <w:rFonts w:ascii="Calibri" w:hAnsi="Calibri" w:cs="Calibri"/>
          <w:szCs w:val="20"/>
          <w:lang w:val="en"/>
        </w:rPr>
        <w:t>TSC h</w:t>
      </w:r>
      <w:r>
        <w:rPr>
          <w:rFonts w:ascii="Calibri" w:hAnsi="Calibri" w:cs="Calibri"/>
          <w:szCs w:val="20"/>
          <w:lang w:val="en"/>
        </w:rPr>
        <w:t xml:space="preserve">as </w:t>
      </w:r>
      <w:r w:rsidR="00A27466">
        <w:rPr>
          <w:rFonts w:eastAsia="Times New Roman" w:cstheme="minorHAnsi"/>
          <w:szCs w:val="20"/>
          <w:lang w:eastAsia="en-AU"/>
        </w:rPr>
        <w:t>an i</w:t>
      </w:r>
      <w:r>
        <w:rPr>
          <w:rFonts w:eastAsia="Times New Roman" w:cstheme="minorHAnsi"/>
          <w:szCs w:val="20"/>
          <w:lang w:eastAsia="en-AU"/>
        </w:rPr>
        <w:t>ncidence 1:6,000</w:t>
      </w:r>
      <w:r w:rsidR="00A27466">
        <w:rPr>
          <w:rFonts w:eastAsia="Times New Roman" w:cstheme="minorHAnsi"/>
          <w:szCs w:val="20"/>
          <w:lang w:eastAsia="en-AU"/>
        </w:rPr>
        <w:t xml:space="preserve"> and p</w:t>
      </w:r>
      <w:r>
        <w:rPr>
          <w:rFonts w:eastAsia="Times New Roman" w:cstheme="minorHAnsi"/>
          <w:szCs w:val="20"/>
          <w:lang w:eastAsia="en-AU"/>
        </w:rPr>
        <w:t>revalence</w:t>
      </w:r>
      <w:r w:rsidR="00A27466">
        <w:rPr>
          <w:rFonts w:eastAsia="Times New Roman" w:cstheme="minorHAnsi"/>
          <w:szCs w:val="20"/>
          <w:lang w:eastAsia="en-AU"/>
        </w:rPr>
        <w:t xml:space="preserve"> of </w:t>
      </w:r>
      <w:r>
        <w:rPr>
          <w:rFonts w:eastAsia="Times New Roman" w:cstheme="minorHAnsi"/>
          <w:szCs w:val="20"/>
          <w:lang w:eastAsia="en-AU"/>
        </w:rPr>
        <w:t>8.8:100, 000</w:t>
      </w:r>
      <w:r w:rsidR="00A27466">
        <w:rPr>
          <w:rFonts w:eastAsia="Times New Roman" w:cstheme="minorHAnsi"/>
          <w:szCs w:val="20"/>
          <w:lang w:eastAsia="en-AU"/>
        </w:rPr>
        <w:t xml:space="preserve"> in Australia.</w:t>
      </w:r>
    </w:p>
    <w:p w14:paraId="7AEE6F49" w14:textId="77777777" w:rsidR="005D4250" w:rsidRPr="00C63209" w:rsidRDefault="31505257" w:rsidP="00D6440D">
      <w:pPr>
        <w:spacing w:after="200" w:line="276" w:lineRule="auto"/>
        <w:ind w:left="360"/>
        <w:rPr>
          <w:color w:val="FF0000"/>
        </w:rPr>
      </w:pPr>
      <w:r w:rsidRPr="00C63209">
        <w:rPr>
          <w:rFonts w:ascii="Calibri" w:hAnsi="Calibri" w:cs="Calibri"/>
          <w:b/>
          <w:bCs/>
          <w:szCs w:val="20"/>
          <w:lang w:val="en"/>
        </w:rPr>
        <w:t xml:space="preserve">Other rare syndromes with increased risk of renal </w:t>
      </w:r>
      <w:r w:rsidR="4F47AA21" w:rsidRPr="00C63209">
        <w:rPr>
          <w:rFonts w:ascii="Calibri" w:hAnsi="Calibri" w:cs="Calibri"/>
          <w:b/>
          <w:bCs/>
          <w:szCs w:val="20"/>
          <w:lang w:val="en"/>
        </w:rPr>
        <w:t>tumors</w:t>
      </w:r>
      <w:r w:rsidRPr="00C63209">
        <w:rPr>
          <w:rFonts w:ascii="Calibri" w:hAnsi="Calibri" w:cs="Calibri"/>
          <w:szCs w:val="20"/>
          <w:lang w:val="en"/>
        </w:rPr>
        <w:t xml:space="preserve"> </w:t>
      </w:r>
    </w:p>
    <w:p w14:paraId="1FE26955" w14:textId="78947E00" w:rsidR="00592364" w:rsidRDefault="005D4250" w:rsidP="00D6440D">
      <w:pPr>
        <w:spacing w:after="200" w:line="276" w:lineRule="auto"/>
        <w:ind w:left="360"/>
        <w:rPr>
          <w:color w:val="333333"/>
          <w:shd w:val="clear" w:color="auto" w:fill="FFFFFF"/>
        </w:rPr>
      </w:pPr>
      <w:r w:rsidRPr="00C63209">
        <w:rPr>
          <w:rFonts w:cstheme="minorHAnsi"/>
          <w:szCs w:val="20"/>
          <w:lang w:val="en"/>
        </w:rPr>
        <w:t xml:space="preserve">These may include but are not limited to </w:t>
      </w:r>
      <w:r w:rsidR="31505257" w:rsidRPr="00C63209">
        <w:rPr>
          <w:rFonts w:cstheme="minorHAnsi"/>
          <w:szCs w:val="20"/>
          <w:lang w:val="en"/>
        </w:rPr>
        <w:t>example Von Hippel</w:t>
      </w:r>
      <w:r w:rsidR="1CEBBF96" w:rsidRPr="00C63209">
        <w:rPr>
          <w:rFonts w:cstheme="minorHAnsi"/>
          <w:szCs w:val="20"/>
          <w:lang w:val="en"/>
        </w:rPr>
        <w:t xml:space="preserve">-Lindau disease, </w:t>
      </w:r>
      <w:proofErr w:type="spellStart"/>
      <w:r w:rsidR="1CEBBF96" w:rsidRPr="00C63209">
        <w:rPr>
          <w:rFonts w:cstheme="minorHAnsi"/>
          <w:szCs w:val="20"/>
          <w:lang w:val="en"/>
        </w:rPr>
        <w:t>Birt</w:t>
      </w:r>
      <w:proofErr w:type="spellEnd"/>
      <w:r w:rsidR="1CEBBF96" w:rsidRPr="00C63209">
        <w:rPr>
          <w:rFonts w:cstheme="minorHAnsi"/>
          <w:szCs w:val="20"/>
          <w:lang w:val="en"/>
        </w:rPr>
        <w:t xml:space="preserve">-Hogg –Dube </w:t>
      </w:r>
      <w:r w:rsidR="44591441" w:rsidRPr="00C63209">
        <w:rPr>
          <w:rFonts w:cstheme="minorHAnsi"/>
          <w:szCs w:val="20"/>
          <w:lang w:val="en"/>
        </w:rPr>
        <w:t>syndrome</w:t>
      </w:r>
      <w:r w:rsidR="1CEBBF96" w:rsidRPr="00C63209">
        <w:rPr>
          <w:rFonts w:cstheme="minorHAnsi"/>
          <w:szCs w:val="20"/>
          <w:lang w:val="en"/>
        </w:rPr>
        <w:t xml:space="preserve">, hereditary </w:t>
      </w:r>
      <w:proofErr w:type="spellStart"/>
      <w:r w:rsidR="1CEBBF96" w:rsidRPr="00C63209">
        <w:rPr>
          <w:rFonts w:cstheme="minorHAnsi"/>
          <w:szCs w:val="20"/>
          <w:lang w:val="en"/>
        </w:rPr>
        <w:t>lei</w:t>
      </w:r>
      <w:r w:rsidR="12C003BE" w:rsidRPr="00C63209">
        <w:rPr>
          <w:rFonts w:cstheme="minorHAnsi"/>
          <w:szCs w:val="20"/>
          <w:lang w:val="en"/>
        </w:rPr>
        <w:t>myomatosis</w:t>
      </w:r>
      <w:proofErr w:type="spellEnd"/>
      <w:r w:rsidR="10DE209C" w:rsidRPr="00C63209">
        <w:rPr>
          <w:rFonts w:cstheme="minorHAnsi"/>
          <w:szCs w:val="20"/>
          <w:lang w:val="en"/>
        </w:rPr>
        <w:t xml:space="preserve"> </w:t>
      </w:r>
      <w:r w:rsidR="390CA83F" w:rsidRPr="00C63209">
        <w:rPr>
          <w:rFonts w:cstheme="minorHAnsi"/>
          <w:szCs w:val="20"/>
          <w:lang w:val="en"/>
        </w:rPr>
        <w:t>and renal cell cancer (</w:t>
      </w:r>
      <w:r w:rsidR="10DE209C" w:rsidRPr="00C63209">
        <w:rPr>
          <w:rFonts w:cstheme="minorHAnsi"/>
          <w:szCs w:val="20"/>
        </w:rPr>
        <w:t>HLRCC</w:t>
      </w:r>
      <w:r w:rsidR="2C2F1E33" w:rsidRPr="00C63209">
        <w:rPr>
          <w:rFonts w:cstheme="minorHAnsi"/>
          <w:szCs w:val="20"/>
        </w:rPr>
        <w:t>)</w:t>
      </w:r>
      <w:r w:rsidR="10DE209C" w:rsidRPr="00C63209">
        <w:rPr>
          <w:rFonts w:cstheme="minorHAnsi"/>
          <w:szCs w:val="20"/>
        </w:rPr>
        <w:t>, Cowden syndrome, BAP1-associated cancer syndrome and paraganglioma.</w:t>
      </w:r>
      <w:r w:rsidR="00E42AD7" w:rsidRPr="00C63209">
        <w:rPr>
          <w:rFonts w:cstheme="minorHAnsi"/>
          <w:szCs w:val="20"/>
        </w:rPr>
        <w:t xml:space="preserve"> </w:t>
      </w:r>
      <w:r w:rsidR="00E42AD7" w:rsidRPr="00C63209">
        <w:rPr>
          <w:rFonts w:cstheme="minorHAnsi"/>
          <w:color w:val="FF0000"/>
          <w:szCs w:val="20"/>
        </w:rPr>
        <w:t>(</w:t>
      </w:r>
      <w:r w:rsidR="00580D20" w:rsidRPr="00C63209">
        <w:rPr>
          <w:rStyle w:val="Strong"/>
          <w:rFonts w:asciiTheme="minorHAnsi" w:hAnsiTheme="minorHAnsi" w:cstheme="minorHAnsi"/>
          <w:szCs w:val="20"/>
          <w:shd w:val="clear" w:color="auto" w:fill="FFFFFF"/>
        </w:rPr>
        <w:t>Von Hippel-Lindau (VHL) disease</w:t>
      </w:r>
      <w:r w:rsidR="00580D20" w:rsidRPr="00C63209">
        <w:rPr>
          <w:rFonts w:cstheme="minorHAnsi"/>
          <w:szCs w:val="20"/>
          <w:shd w:val="clear" w:color="auto" w:fill="FFFFFF"/>
        </w:rPr>
        <w:t> is an </w:t>
      </w:r>
      <w:r w:rsidR="00580D20" w:rsidRPr="00C63209">
        <w:rPr>
          <w:rFonts w:cstheme="minorHAnsi"/>
          <w:szCs w:val="20"/>
        </w:rPr>
        <w:t>inherited</w:t>
      </w:r>
      <w:r w:rsidR="00580D20" w:rsidRPr="00C63209">
        <w:rPr>
          <w:rFonts w:cstheme="minorHAnsi"/>
          <w:szCs w:val="20"/>
          <w:shd w:val="clear" w:color="auto" w:fill="FFFFFF"/>
        </w:rPr>
        <w:t xml:space="preserve"> disorder </w:t>
      </w:r>
      <w:r w:rsidR="52F20045" w:rsidRPr="00C63209">
        <w:rPr>
          <w:rFonts w:cstheme="minorHAnsi"/>
          <w:szCs w:val="20"/>
          <w:shd w:val="clear" w:color="auto" w:fill="FFFFFF"/>
        </w:rPr>
        <w:t xml:space="preserve">with an approximate incidence of 1 in 36,000 live births. It is </w:t>
      </w:r>
      <w:r w:rsidR="00580D20" w:rsidRPr="00C63209">
        <w:rPr>
          <w:rFonts w:cstheme="minorHAnsi"/>
          <w:szCs w:val="20"/>
          <w:shd w:val="clear" w:color="auto" w:fill="FFFFFF"/>
        </w:rPr>
        <w:t>characterized by the abnormal growth of both benign and cancerous </w:t>
      </w:r>
      <w:r w:rsidR="00580D20" w:rsidRPr="00C63209">
        <w:rPr>
          <w:rFonts w:cstheme="minorHAnsi"/>
          <w:szCs w:val="20"/>
        </w:rPr>
        <w:t>tumo</w:t>
      </w:r>
      <w:r w:rsidR="00DA2BB5" w:rsidRPr="00C63209">
        <w:rPr>
          <w:rFonts w:cstheme="minorHAnsi"/>
          <w:szCs w:val="20"/>
        </w:rPr>
        <w:t>u</w:t>
      </w:r>
      <w:r w:rsidR="00580D20" w:rsidRPr="00C63209">
        <w:rPr>
          <w:rFonts w:cstheme="minorHAnsi"/>
          <w:szCs w:val="20"/>
        </w:rPr>
        <w:t>rs</w:t>
      </w:r>
      <w:r w:rsidR="00580D20" w:rsidRPr="00C63209">
        <w:rPr>
          <w:rFonts w:cstheme="minorHAnsi"/>
          <w:szCs w:val="20"/>
          <w:shd w:val="clear" w:color="auto" w:fill="FFFFFF"/>
        </w:rPr>
        <w:t> and cysts in many parts of the body. Tumo</w:t>
      </w:r>
      <w:r w:rsidR="00DA2BB5" w:rsidRPr="00C63209">
        <w:rPr>
          <w:rFonts w:cstheme="minorHAnsi"/>
          <w:szCs w:val="20"/>
          <w:shd w:val="clear" w:color="auto" w:fill="FFFFFF"/>
        </w:rPr>
        <w:t>u</w:t>
      </w:r>
      <w:r w:rsidR="00580D20" w:rsidRPr="00C63209">
        <w:rPr>
          <w:rFonts w:cstheme="minorHAnsi"/>
          <w:szCs w:val="20"/>
          <w:shd w:val="clear" w:color="auto" w:fill="FFFFFF"/>
        </w:rPr>
        <w:t>rs usually first appear in young adulthood.  </w:t>
      </w:r>
      <w:r w:rsidR="201913F6" w:rsidRPr="00C63209">
        <w:rPr>
          <w:rFonts w:eastAsia="Times New Roman" w:cstheme="minorHAnsi"/>
          <w:color w:val="000000" w:themeColor="text1"/>
          <w:szCs w:val="20"/>
        </w:rPr>
        <w:t xml:space="preserve"> Common manifestations include hemangioblastomas of the brain, spinal cord, and retina; pheochromocytoma and paraganglioma; renal cell carcinoma; pancreatic cysts and neuroendocrine tumo</w:t>
      </w:r>
      <w:r w:rsidR="185F1AD8" w:rsidRPr="00C63209">
        <w:rPr>
          <w:rFonts w:eastAsia="Times New Roman" w:cstheme="minorHAnsi"/>
          <w:color w:val="000000" w:themeColor="text1"/>
          <w:szCs w:val="20"/>
        </w:rPr>
        <w:t>u</w:t>
      </w:r>
      <w:r w:rsidR="201913F6" w:rsidRPr="00C63209">
        <w:rPr>
          <w:rFonts w:eastAsia="Times New Roman" w:cstheme="minorHAnsi"/>
          <w:color w:val="000000" w:themeColor="text1"/>
          <w:szCs w:val="20"/>
        </w:rPr>
        <w:t>rs; and endolymphatic sac tumours.</w:t>
      </w:r>
      <w:r w:rsidR="48900AA4" w:rsidRPr="00C63209">
        <w:rPr>
          <w:rFonts w:cstheme="minorHAnsi"/>
          <w:szCs w:val="20"/>
        </w:rPr>
        <w:t xml:space="preserve"> Abdominal MRI is recommended at least every other year</w:t>
      </w:r>
      <w:r w:rsidR="00407816" w:rsidRPr="00C63209">
        <w:rPr>
          <w:rFonts w:cstheme="minorHAnsi"/>
          <w:color w:val="333333"/>
          <w:szCs w:val="20"/>
        </w:rPr>
        <w:t>.</w:t>
      </w:r>
      <w:r w:rsidR="40C6A15D" w:rsidRPr="00C63209">
        <w:rPr>
          <w:rFonts w:cstheme="minorHAnsi"/>
          <w:color w:val="333333"/>
          <w:szCs w:val="20"/>
        </w:rPr>
        <w:t xml:space="preserve"> REF Varshney et al, 2017</w:t>
      </w:r>
      <w:r w:rsidR="00DF02B7" w:rsidRPr="00C63209">
        <w:rPr>
          <w:rFonts w:cstheme="minorHAnsi"/>
          <w:color w:val="333333"/>
          <w:szCs w:val="20"/>
        </w:rPr>
        <w:t xml:space="preserve">. </w:t>
      </w:r>
      <w:proofErr w:type="spellStart"/>
      <w:r w:rsidR="00657323" w:rsidRPr="00C63209">
        <w:rPr>
          <w:b/>
          <w:bCs/>
          <w:color w:val="333333"/>
          <w:szCs w:val="20"/>
        </w:rPr>
        <w:t>Birt</w:t>
      </w:r>
      <w:proofErr w:type="spellEnd"/>
      <w:r w:rsidR="00657323" w:rsidRPr="00C63209">
        <w:rPr>
          <w:b/>
          <w:bCs/>
          <w:color w:val="333333"/>
          <w:szCs w:val="20"/>
        </w:rPr>
        <w:t>-Hogg-</w:t>
      </w:r>
      <w:proofErr w:type="spellStart"/>
      <w:r w:rsidR="00657323" w:rsidRPr="00C63209">
        <w:rPr>
          <w:b/>
          <w:bCs/>
          <w:color w:val="333333"/>
          <w:szCs w:val="20"/>
        </w:rPr>
        <w:t>Dubé</w:t>
      </w:r>
      <w:proofErr w:type="spellEnd"/>
      <w:r w:rsidR="00657323" w:rsidRPr="00C63209">
        <w:rPr>
          <w:b/>
          <w:bCs/>
          <w:color w:val="333333"/>
          <w:szCs w:val="20"/>
        </w:rPr>
        <w:t xml:space="preserve"> (BHD) syndrome </w:t>
      </w:r>
      <w:r w:rsidR="00657323" w:rsidRPr="00C63209">
        <w:rPr>
          <w:color w:val="333333"/>
          <w:szCs w:val="20"/>
        </w:rPr>
        <w:t>is a rare complex genetic skin disorder (</w:t>
      </w:r>
      <w:proofErr w:type="spellStart"/>
      <w:r w:rsidR="00657323" w:rsidRPr="00C63209">
        <w:rPr>
          <w:color w:val="333333"/>
          <w:szCs w:val="20"/>
        </w:rPr>
        <w:t>genodermatosis</w:t>
      </w:r>
      <w:proofErr w:type="spellEnd"/>
      <w:r w:rsidR="00657323" w:rsidRPr="00C63209">
        <w:rPr>
          <w:color w:val="333333"/>
          <w:szCs w:val="20"/>
        </w:rPr>
        <w:t xml:space="preserve">) characterized by the development of skin papules generally located on the head, </w:t>
      </w:r>
      <w:proofErr w:type="gramStart"/>
      <w:r w:rsidR="00657323" w:rsidRPr="00C63209">
        <w:rPr>
          <w:color w:val="333333"/>
          <w:szCs w:val="20"/>
        </w:rPr>
        <w:t>face</w:t>
      </w:r>
      <w:proofErr w:type="gramEnd"/>
      <w:r w:rsidR="00657323" w:rsidRPr="00C63209">
        <w:rPr>
          <w:color w:val="333333"/>
          <w:szCs w:val="20"/>
        </w:rPr>
        <w:t xml:space="preserve"> and upper torso. These benign (noncancerous) tumo</w:t>
      </w:r>
      <w:r w:rsidR="454E7F36" w:rsidRPr="00C63209">
        <w:rPr>
          <w:color w:val="333333"/>
          <w:szCs w:val="20"/>
        </w:rPr>
        <w:t>u</w:t>
      </w:r>
      <w:r w:rsidR="00657323" w:rsidRPr="00C63209">
        <w:rPr>
          <w:color w:val="333333"/>
          <w:szCs w:val="20"/>
        </w:rPr>
        <w:t>rs (hamartomas) of the hair follicle are called fibrofolliculomas. BHD syndrome also predisposes individuals to the development of benign cysts in the lungs, repeated episodes of a collapsed lung (pneumothorax), and increased risk for developing kidney neoplasia</w:t>
      </w:r>
      <w:bookmarkStart w:id="2" w:name="symptoms"/>
      <w:bookmarkEnd w:id="2"/>
      <w:r w:rsidR="006E2A96" w:rsidRPr="00C63209">
        <w:rPr>
          <w:color w:val="333333"/>
          <w:szCs w:val="20"/>
        </w:rPr>
        <w:t xml:space="preserve">. </w:t>
      </w:r>
      <w:r w:rsidR="006232A6" w:rsidRPr="00C63209">
        <w:rPr>
          <w:rStyle w:val="Strong"/>
          <w:rFonts w:asciiTheme="minorHAnsi" w:hAnsiTheme="minorHAnsi" w:cstheme="minorBidi"/>
          <w:color w:val="333333"/>
          <w:szCs w:val="20"/>
          <w:shd w:val="clear" w:color="auto" w:fill="FFFFFF"/>
        </w:rPr>
        <w:t xml:space="preserve">Hereditary </w:t>
      </w:r>
      <w:proofErr w:type="spellStart"/>
      <w:r w:rsidR="006232A6" w:rsidRPr="00C63209">
        <w:rPr>
          <w:rStyle w:val="Strong"/>
          <w:rFonts w:asciiTheme="minorHAnsi" w:hAnsiTheme="minorHAnsi" w:cstheme="minorBidi"/>
          <w:color w:val="333333"/>
          <w:szCs w:val="20"/>
          <w:shd w:val="clear" w:color="auto" w:fill="FFFFFF"/>
        </w:rPr>
        <w:t>leiomyomatosis</w:t>
      </w:r>
      <w:proofErr w:type="spellEnd"/>
      <w:r w:rsidR="006232A6" w:rsidRPr="00C63209">
        <w:rPr>
          <w:rStyle w:val="Strong"/>
          <w:rFonts w:asciiTheme="minorHAnsi" w:hAnsiTheme="minorHAnsi" w:cstheme="minorBidi"/>
          <w:color w:val="333333"/>
          <w:szCs w:val="20"/>
          <w:shd w:val="clear" w:color="auto" w:fill="FFFFFF"/>
        </w:rPr>
        <w:t xml:space="preserve"> and renal cell cancer (HLRCC)</w:t>
      </w:r>
      <w:r w:rsidR="006232A6" w:rsidRPr="00C63209">
        <w:rPr>
          <w:color w:val="333333"/>
          <w:szCs w:val="20"/>
          <w:shd w:val="clear" w:color="auto" w:fill="FFFFFF"/>
        </w:rPr>
        <w:t> is a condition that causes </w:t>
      </w:r>
      <w:r w:rsidR="006232A6" w:rsidRPr="00C63209">
        <w:rPr>
          <w:szCs w:val="20"/>
        </w:rPr>
        <w:t>benign tumo</w:t>
      </w:r>
      <w:r w:rsidR="12D42088" w:rsidRPr="00C63209">
        <w:rPr>
          <w:szCs w:val="20"/>
        </w:rPr>
        <w:t>u</w:t>
      </w:r>
      <w:r w:rsidR="006232A6" w:rsidRPr="00C63209">
        <w:rPr>
          <w:szCs w:val="20"/>
        </w:rPr>
        <w:t>rs</w:t>
      </w:r>
      <w:r w:rsidR="006232A6" w:rsidRPr="00C63209">
        <w:rPr>
          <w:color w:val="333333"/>
          <w:szCs w:val="20"/>
          <w:shd w:val="clear" w:color="auto" w:fill="FFFFFF"/>
        </w:rPr>
        <w:t> of smooth muscle </w:t>
      </w:r>
      <w:r w:rsidR="006232A6" w:rsidRPr="00C63209">
        <w:rPr>
          <w:szCs w:val="20"/>
        </w:rPr>
        <w:t>tissue</w:t>
      </w:r>
      <w:r w:rsidR="006232A6" w:rsidRPr="00C63209">
        <w:rPr>
          <w:color w:val="333333"/>
          <w:szCs w:val="20"/>
          <w:shd w:val="clear" w:color="auto" w:fill="FFFFFF"/>
        </w:rPr>
        <w:t> in the skin (cutaneous leiomyomas) and in the uterus in females (uterine leiomyomas, or fibroids). The condition also increases the risk of kidney cancer.</w:t>
      </w:r>
      <w:r w:rsidR="00274762" w:rsidRPr="00C63209">
        <w:rPr>
          <w:color w:val="333333"/>
          <w:szCs w:val="20"/>
          <w:shd w:val="clear" w:color="auto" w:fill="FFFFFF"/>
        </w:rPr>
        <w:t xml:space="preserve"> </w:t>
      </w:r>
      <w:r w:rsidR="006232A6" w:rsidRPr="00C63209">
        <w:rPr>
          <w:color w:val="333333"/>
          <w:szCs w:val="20"/>
          <w:shd w:val="clear" w:color="auto" w:fill="FFFFFF"/>
        </w:rPr>
        <w:t>About 10% to 16% of people with HLRCC develop renal cell cancer; symptoms of this cancer may include lower back pain, blood in the urine, and/or a mass in the kidney that can be felt by a physician. Some people have no symptoms until the cancer is advanced. HLRCC is caused by </w:t>
      </w:r>
      <w:r w:rsidR="006232A6" w:rsidRPr="00C63209">
        <w:rPr>
          <w:szCs w:val="20"/>
        </w:rPr>
        <w:t>mutations</w:t>
      </w:r>
      <w:r w:rsidR="006232A6" w:rsidRPr="00C63209">
        <w:rPr>
          <w:color w:val="333333"/>
          <w:szCs w:val="20"/>
          <w:shd w:val="clear" w:color="auto" w:fill="FFFFFF"/>
        </w:rPr>
        <w:t> in the </w:t>
      </w:r>
      <w:hyperlink r:id="rId17" w:tgtFrame="_blank" w:history="1">
        <w:r w:rsidR="006232A6" w:rsidRPr="00C63209">
          <w:rPr>
            <w:rStyle w:val="Hyperlink"/>
            <w:i/>
            <w:iCs/>
            <w:color w:val="337AB7"/>
            <w:szCs w:val="20"/>
          </w:rPr>
          <w:t>FH</w:t>
        </w:r>
      </w:hyperlink>
      <w:r w:rsidR="006232A6" w:rsidRPr="00C63209">
        <w:rPr>
          <w:color w:val="333333"/>
          <w:szCs w:val="20"/>
          <w:shd w:val="clear" w:color="auto" w:fill="FFFFFF"/>
        </w:rPr>
        <w:t> </w:t>
      </w:r>
      <w:r w:rsidR="006232A6" w:rsidRPr="00C63209">
        <w:rPr>
          <w:szCs w:val="20"/>
        </w:rPr>
        <w:t>gene</w:t>
      </w:r>
      <w:r w:rsidR="006232A6" w:rsidRPr="00C63209">
        <w:rPr>
          <w:color w:val="333333"/>
          <w:szCs w:val="20"/>
          <w:shd w:val="clear" w:color="auto" w:fill="FFFFFF"/>
        </w:rPr>
        <w:t> and is </w:t>
      </w:r>
      <w:r w:rsidR="006232A6" w:rsidRPr="00C63209">
        <w:rPr>
          <w:szCs w:val="20"/>
        </w:rPr>
        <w:t>inherited</w:t>
      </w:r>
      <w:r w:rsidR="006232A6" w:rsidRPr="00C63209">
        <w:rPr>
          <w:color w:val="333333"/>
          <w:szCs w:val="20"/>
          <w:shd w:val="clear" w:color="auto" w:fill="FFFFFF"/>
        </w:rPr>
        <w:t> in an </w:t>
      </w:r>
      <w:r w:rsidR="006232A6" w:rsidRPr="00C63209">
        <w:rPr>
          <w:szCs w:val="20"/>
        </w:rPr>
        <w:t>autosomal dominant</w:t>
      </w:r>
      <w:r w:rsidR="006232A6" w:rsidRPr="00C63209">
        <w:rPr>
          <w:color w:val="333333"/>
          <w:szCs w:val="20"/>
          <w:shd w:val="clear" w:color="auto" w:fill="FFFFFF"/>
        </w:rPr>
        <w:t> manner</w:t>
      </w:r>
      <w:r w:rsidR="006232A6" w:rsidRPr="00C63209">
        <w:rPr>
          <w:rFonts w:ascii="Roboto" w:hAnsi="Roboto"/>
          <w:color w:val="333333"/>
          <w:shd w:val="clear" w:color="auto" w:fill="FFFFFF"/>
        </w:rPr>
        <w:t>.</w:t>
      </w:r>
      <w:r w:rsidR="00FB5FD5" w:rsidRPr="00C63209">
        <w:rPr>
          <w:rFonts w:ascii="Roboto" w:hAnsi="Roboto"/>
          <w:color w:val="333333"/>
          <w:shd w:val="clear" w:color="auto" w:fill="FFFFFF"/>
        </w:rPr>
        <w:t xml:space="preserve"> </w:t>
      </w:r>
      <w:r w:rsidR="00C862FA" w:rsidRPr="00C63209">
        <w:rPr>
          <w:b/>
          <w:bCs/>
          <w:color w:val="333333"/>
          <w:szCs w:val="20"/>
          <w:shd w:val="clear" w:color="auto" w:fill="FFFFFF"/>
        </w:rPr>
        <w:t>PTEN hamartoma tumo</w:t>
      </w:r>
      <w:r w:rsidR="5795BE9E" w:rsidRPr="00C63209">
        <w:rPr>
          <w:b/>
          <w:bCs/>
          <w:color w:val="333333"/>
          <w:szCs w:val="20"/>
          <w:shd w:val="clear" w:color="auto" w:fill="FFFFFF"/>
        </w:rPr>
        <w:t>u</w:t>
      </w:r>
      <w:r w:rsidR="00C862FA" w:rsidRPr="00C63209">
        <w:rPr>
          <w:b/>
          <w:bCs/>
          <w:color w:val="333333"/>
          <w:szCs w:val="20"/>
          <w:shd w:val="clear" w:color="auto" w:fill="FFFFFF"/>
        </w:rPr>
        <w:t>r syndrome (PHTS</w:t>
      </w:r>
      <w:r w:rsidR="3B1A9897" w:rsidRPr="00C63209">
        <w:rPr>
          <w:b/>
          <w:bCs/>
          <w:color w:val="333333"/>
          <w:szCs w:val="20"/>
          <w:shd w:val="clear" w:color="auto" w:fill="FFFFFF"/>
        </w:rPr>
        <w:t>, Cowden syndrome</w:t>
      </w:r>
      <w:r w:rsidR="00C862FA" w:rsidRPr="00C63209">
        <w:rPr>
          <w:b/>
          <w:bCs/>
          <w:color w:val="333333"/>
          <w:szCs w:val="20"/>
          <w:shd w:val="clear" w:color="auto" w:fill="FFFFFF"/>
        </w:rPr>
        <w:t>)</w:t>
      </w:r>
      <w:r w:rsidR="00C862FA" w:rsidRPr="00C63209">
        <w:rPr>
          <w:color w:val="333333"/>
          <w:szCs w:val="20"/>
          <w:shd w:val="clear" w:color="auto" w:fill="FFFFFF"/>
        </w:rPr>
        <w:t xml:space="preserve"> is a spectrum of disorders caused by mutations of the </w:t>
      </w:r>
      <w:r w:rsidR="00C862FA" w:rsidRPr="00C63209">
        <w:rPr>
          <w:rStyle w:val="Emphasis"/>
          <w:color w:val="333333"/>
          <w:szCs w:val="20"/>
          <w:shd w:val="clear" w:color="auto" w:fill="FFFFFF"/>
        </w:rPr>
        <w:t>PTEN</w:t>
      </w:r>
      <w:r w:rsidR="00C862FA" w:rsidRPr="00C63209">
        <w:rPr>
          <w:color w:val="333333"/>
          <w:szCs w:val="20"/>
          <w:shd w:val="clear" w:color="auto" w:fill="FFFFFF"/>
        </w:rPr>
        <w:t> tumo</w:t>
      </w:r>
      <w:r w:rsidR="255E4A75" w:rsidRPr="00C63209">
        <w:rPr>
          <w:color w:val="333333"/>
          <w:szCs w:val="20"/>
          <w:shd w:val="clear" w:color="auto" w:fill="FFFFFF"/>
        </w:rPr>
        <w:t>u</w:t>
      </w:r>
      <w:r w:rsidR="00C862FA" w:rsidRPr="00C63209">
        <w:rPr>
          <w:color w:val="333333"/>
          <w:szCs w:val="20"/>
          <w:shd w:val="clear" w:color="auto" w:fill="FFFFFF"/>
        </w:rPr>
        <w:t>r suppressor gene in egg or sperm cells (germline). These disorders are characterized by multiple hamartomas that can affect various areas of the body. Hamartoma is a general term for benign tumo</w:t>
      </w:r>
      <w:r w:rsidR="4C44C399" w:rsidRPr="00C63209">
        <w:rPr>
          <w:color w:val="333333"/>
          <w:szCs w:val="20"/>
          <w:shd w:val="clear" w:color="auto" w:fill="FFFFFF"/>
        </w:rPr>
        <w:t>u</w:t>
      </w:r>
      <w:r w:rsidR="00C862FA" w:rsidRPr="00C63209">
        <w:rPr>
          <w:color w:val="333333"/>
          <w:szCs w:val="20"/>
          <w:shd w:val="clear" w:color="auto" w:fill="FFFFFF"/>
        </w:rPr>
        <w:t xml:space="preserve">r-like malformation composed of mature cells and tissue </w:t>
      </w:r>
      <w:r w:rsidR="00C862FA" w:rsidRPr="00C63209">
        <w:rPr>
          <w:color w:val="333333"/>
          <w:szCs w:val="20"/>
          <w:shd w:val="clear" w:color="auto" w:fill="FFFFFF"/>
        </w:rPr>
        <w:lastRenderedPageBreak/>
        <w:t>normally found in the affected area that have grown in a disorganized manner. Individuals with a variety of clinical diagnoses who ultimately have been found to carry a germline </w:t>
      </w:r>
      <w:r w:rsidR="00C862FA" w:rsidRPr="00C63209">
        <w:rPr>
          <w:rStyle w:val="Emphasis"/>
          <w:color w:val="333333"/>
          <w:szCs w:val="20"/>
          <w:shd w:val="clear" w:color="auto" w:fill="FFFFFF"/>
        </w:rPr>
        <w:t>PTEN</w:t>
      </w:r>
      <w:r w:rsidR="00C862FA" w:rsidRPr="00C63209">
        <w:rPr>
          <w:color w:val="333333"/>
          <w:szCs w:val="20"/>
          <w:shd w:val="clear" w:color="auto" w:fill="FFFFFF"/>
        </w:rPr>
        <w:t> mutation as the underlying cause are said to have PHTS</w:t>
      </w:r>
      <w:r w:rsidR="3E962B08" w:rsidRPr="00C63209">
        <w:rPr>
          <w:color w:val="333333"/>
          <w:szCs w:val="20"/>
          <w:shd w:val="clear" w:color="auto" w:fill="FFFFFF"/>
        </w:rPr>
        <w:t>.</w:t>
      </w:r>
      <w:r w:rsidR="36E36248" w:rsidRPr="00C63209">
        <w:rPr>
          <w:color w:val="333333"/>
          <w:szCs w:val="20"/>
          <w:shd w:val="clear" w:color="auto" w:fill="FFFFFF"/>
        </w:rPr>
        <w:t xml:space="preserve"> </w:t>
      </w:r>
      <w:r w:rsidR="36E36248" w:rsidRPr="00C63209">
        <w:rPr>
          <w:i/>
          <w:iCs/>
          <w:color w:val="333333"/>
          <w:szCs w:val="20"/>
          <w:shd w:val="clear" w:color="auto" w:fill="FFFFFF"/>
        </w:rPr>
        <w:t xml:space="preserve">PTEN </w:t>
      </w:r>
      <w:r w:rsidR="36E36248" w:rsidRPr="00C63209">
        <w:rPr>
          <w:color w:val="333333"/>
          <w:szCs w:val="20"/>
          <w:shd w:val="clear" w:color="auto" w:fill="FFFFFF"/>
        </w:rPr>
        <w:t xml:space="preserve">can activate mTOR, and mTOR inhibitors are </w:t>
      </w:r>
      <w:r w:rsidR="4FE4203E" w:rsidRPr="00C63209">
        <w:rPr>
          <w:color w:val="333333"/>
          <w:szCs w:val="20"/>
          <w:shd w:val="clear" w:color="auto" w:fill="FFFFFF"/>
        </w:rPr>
        <w:t>used if renal cancer develops. Renal cancer is less common than breast cancer</w:t>
      </w:r>
      <w:r w:rsidR="12DCC19A" w:rsidRPr="00C63209">
        <w:rPr>
          <w:color w:val="333333"/>
          <w:szCs w:val="20"/>
          <w:shd w:val="clear" w:color="auto" w:fill="FFFFFF"/>
        </w:rPr>
        <w:t xml:space="preserve"> (lifetime risk up to 50%</w:t>
      </w:r>
      <w:proofErr w:type="gramStart"/>
      <w:r w:rsidR="12DCC19A" w:rsidRPr="00C63209">
        <w:rPr>
          <w:color w:val="333333"/>
          <w:szCs w:val="20"/>
          <w:shd w:val="clear" w:color="auto" w:fill="FFFFFF"/>
        </w:rPr>
        <w:t>)</w:t>
      </w:r>
      <w:r w:rsidR="4BA64B45" w:rsidRPr="00C63209">
        <w:rPr>
          <w:color w:val="333333"/>
          <w:szCs w:val="20"/>
          <w:shd w:val="clear" w:color="auto" w:fill="FFFFFF"/>
        </w:rPr>
        <w:t>,</w:t>
      </w:r>
      <w:r w:rsidR="0DE27C38" w:rsidRPr="00C63209">
        <w:rPr>
          <w:color w:val="333333"/>
          <w:szCs w:val="20"/>
          <w:shd w:val="clear" w:color="auto" w:fill="FFFFFF"/>
        </w:rPr>
        <w:t xml:space="preserve"> </w:t>
      </w:r>
      <w:r w:rsidR="4BA64B45" w:rsidRPr="00C63209">
        <w:rPr>
          <w:color w:val="333333"/>
          <w:szCs w:val="20"/>
          <w:shd w:val="clear" w:color="auto" w:fill="FFFFFF"/>
        </w:rPr>
        <w:t xml:space="preserve"> but</w:t>
      </w:r>
      <w:proofErr w:type="gramEnd"/>
      <w:r w:rsidR="4BA64B45" w:rsidRPr="00C63209">
        <w:rPr>
          <w:color w:val="333333"/>
          <w:szCs w:val="20"/>
          <w:shd w:val="clear" w:color="auto" w:fill="FFFFFF"/>
        </w:rPr>
        <w:t xml:space="preserve"> is reported in approximately 16.5% of patients</w:t>
      </w:r>
      <w:r w:rsidR="7B5929E0" w:rsidRPr="00C63209">
        <w:rPr>
          <w:color w:val="333333"/>
          <w:szCs w:val="20"/>
          <w:shd w:val="clear" w:color="auto" w:fill="FFFFFF"/>
        </w:rPr>
        <w:t>, most commonly in patients with macrocephaly and skin manifestations. The optimal fre</w:t>
      </w:r>
      <w:r w:rsidR="510BADC3" w:rsidRPr="00C63209">
        <w:rPr>
          <w:color w:val="333333"/>
          <w:szCs w:val="20"/>
          <w:shd w:val="clear" w:color="auto" w:fill="FFFFFF"/>
        </w:rPr>
        <w:t>quency of s</w:t>
      </w:r>
      <w:r w:rsidR="7B5929E0" w:rsidRPr="00C63209">
        <w:rPr>
          <w:color w:val="333333"/>
          <w:szCs w:val="20"/>
          <w:shd w:val="clear" w:color="auto" w:fill="FFFFFF"/>
        </w:rPr>
        <w:t xml:space="preserve">creening MRI </w:t>
      </w:r>
      <w:r w:rsidR="54377BB0" w:rsidRPr="00C63209">
        <w:rPr>
          <w:color w:val="333333"/>
          <w:szCs w:val="20"/>
          <w:shd w:val="clear" w:color="auto" w:fill="FFFFFF"/>
        </w:rPr>
        <w:t xml:space="preserve">is not clear, but it would seem reasonable to recommend every 2 years in macrocephalic patients </w:t>
      </w:r>
      <w:r w:rsidR="1FA2BE04" w:rsidRPr="00C63209">
        <w:rPr>
          <w:color w:val="333333"/>
          <w:szCs w:val="20"/>
          <w:shd w:val="clear" w:color="auto" w:fill="FFFFFF"/>
        </w:rPr>
        <w:t xml:space="preserve">with associated skin lesions </w:t>
      </w:r>
      <w:r w:rsidR="5437DC68" w:rsidRPr="00C63209">
        <w:rPr>
          <w:color w:val="333333"/>
          <w:szCs w:val="20"/>
          <w:shd w:val="clear" w:color="auto" w:fill="FFFFFF"/>
        </w:rPr>
        <w:t>(</w:t>
      </w:r>
      <w:r w:rsidR="1FA2BE04" w:rsidRPr="00C63209">
        <w:rPr>
          <w:color w:val="333333"/>
          <w:szCs w:val="20"/>
          <w:shd w:val="clear" w:color="auto" w:fill="FFFFFF"/>
        </w:rPr>
        <w:t xml:space="preserve">facial </w:t>
      </w:r>
      <w:proofErr w:type="spellStart"/>
      <w:r w:rsidR="1FA2BE04" w:rsidRPr="00C63209">
        <w:rPr>
          <w:color w:val="333333"/>
          <w:szCs w:val="20"/>
          <w:shd w:val="clear" w:color="auto" w:fill="FFFFFF"/>
        </w:rPr>
        <w:t>trichelemmomas</w:t>
      </w:r>
      <w:proofErr w:type="spellEnd"/>
      <w:r w:rsidR="1FA2BE04" w:rsidRPr="00C63209">
        <w:rPr>
          <w:color w:val="333333"/>
          <w:szCs w:val="20"/>
          <w:shd w:val="clear" w:color="auto" w:fill="FFFFFF"/>
        </w:rPr>
        <w:t>, papillomatous papules</w:t>
      </w:r>
      <w:r w:rsidR="08DCBA49" w:rsidRPr="00C63209">
        <w:rPr>
          <w:color w:val="333333"/>
          <w:szCs w:val="20"/>
          <w:shd w:val="clear" w:color="auto" w:fill="FFFFFF"/>
        </w:rPr>
        <w:t xml:space="preserve"> and acral keratoses).</w:t>
      </w:r>
      <w:r w:rsidR="66E76D72" w:rsidRPr="00C63209">
        <w:rPr>
          <w:color w:val="333333"/>
          <w:szCs w:val="20"/>
          <w:shd w:val="clear" w:color="auto" w:fill="FFFFFF"/>
        </w:rPr>
        <w:t xml:space="preserve"> The age of onset of these lesions averages 22 </w:t>
      </w:r>
      <w:proofErr w:type="spellStart"/>
      <w:proofErr w:type="gramStart"/>
      <w:r w:rsidR="66E76D72" w:rsidRPr="00C63209">
        <w:rPr>
          <w:color w:val="333333"/>
          <w:szCs w:val="20"/>
          <w:shd w:val="clear" w:color="auto" w:fill="FFFFFF"/>
        </w:rPr>
        <w:t>years.</w:t>
      </w:r>
      <w:r w:rsidR="00592364" w:rsidRPr="00C63209">
        <w:rPr>
          <w:color w:val="333333"/>
          <w:shd w:val="clear" w:color="auto" w:fill="FFFFFF"/>
        </w:rPr>
        <w:t>The</w:t>
      </w:r>
      <w:proofErr w:type="spellEnd"/>
      <w:proofErr w:type="gramEnd"/>
      <w:r w:rsidR="00592364" w:rsidRPr="00C63209">
        <w:rPr>
          <w:color w:val="333333"/>
          <w:shd w:val="clear" w:color="auto" w:fill="FFFFFF"/>
        </w:rPr>
        <w:t xml:space="preserve"> primary findings in PHTS include</w:t>
      </w:r>
      <w:r w:rsidR="12845584" w:rsidRPr="00C63209">
        <w:rPr>
          <w:color w:val="333333"/>
          <w:shd w:val="clear" w:color="auto" w:fill="FFFFFF"/>
        </w:rPr>
        <w:t xml:space="preserve"> macrocephaly and</w:t>
      </w:r>
      <w:r w:rsidR="00592364" w:rsidRPr="00C63209">
        <w:rPr>
          <w:color w:val="333333"/>
          <w:shd w:val="clear" w:color="auto" w:fill="FFFFFF"/>
        </w:rPr>
        <w:t xml:space="preserve"> increased risk for certain types of cance</w:t>
      </w:r>
      <w:r w:rsidR="7A9313B6" w:rsidRPr="00C63209">
        <w:rPr>
          <w:color w:val="333333"/>
          <w:shd w:val="clear" w:color="auto" w:fill="FFFFFF"/>
        </w:rPr>
        <w:t xml:space="preserve">r. </w:t>
      </w:r>
      <w:r w:rsidR="58CF248E" w:rsidRPr="00C63209">
        <w:rPr>
          <w:color w:val="333333"/>
          <w:shd w:val="clear" w:color="auto" w:fill="FFFFFF"/>
        </w:rPr>
        <w:t>The syndrome predisposes to cancers of kidney, breast, thyroid and endometrium.</w:t>
      </w:r>
    </w:p>
    <w:p w14:paraId="73B2B335" w14:textId="5E3BA7A2" w:rsidR="00B940F7" w:rsidRDefault="00B940F7" w:rsidP="00D6440D">
      <w:pPr>
        <w:spacing w:before="0" w:after="0"/>
        <w:ind w:left="360"/>
        <w:rPr>
          <w:rFonts w:eastAsia="Times New Roman" w:cstheme="minorHAnsi"/>
          <w:szCs w:val="20"/>
          <w:lang w:eastAsia="en-AU"/>
        </w:rPr>
      </w:pPr>
      <w:r w:rsidRPr="00C45AB7">
        <w:rPr>
          <w:rFonts w:cstheme="minorHAnsi"/>
          <w:color w:val="333333"/>
          <w:szCs w:val="20"/>
          <w:shd w:val="clear" w:color="auto" w:fill="FFFFFF"/>
        </w:rPr>
        <w:t>The most common of the</w:t>
      </w:r>
      <w:r w:rsidR="00937C5C">
        <w:rPr>
          <w:rFonts w:cstheme="minorHAnsi"/>
          <w:color w:val="333333"/>
          <w:szCs w:val="20"/>
          <w:shd w:val="clear" w:color="auto" w:fill="FFFFFF"/>
        </w:rPr>
        <w:t xml:space="preserve"> related</w:t>
      </w:r>
      <w:r w:rsidRPr="00C45AB7">
        <w:rPr>
          <w:rFonts w:cstheme="minorHAnsi"/>
          <w:color w:val="333333"/>
          <w:szCs w:val="20"/>
          <w:shd w:val="clear" w:color="auto" w:fill="FFFFFF"/>
        </w:rPr>
        <w:t xml:space="preserve"> sy</w:t>
      </w:r>
      <w:r w:rsidR="00937C5C">
        <w:rPr>
          <w:rFonts w:cstheme="minorHAnsi"/>
          <w:color w:val="333333"/>
          <w:szCs w:val="20"/>
          <w:shd w:val="clear" w:color="auto" w:fill="FFFFFF"/>
        </w:rPr>
        <w:t>n</w:t>
      </w:r>
      <w:r w:rsidRPr="00C45AB7">
        <w:rPr>
          <w:rFonts w:cstheme="minorHAnsi"/>
          <w:color w:val="333333"/>
          <w:szCs w:val="20"/>
          <w:shd w:val="clear" w:color="auto" w:fill="FFFFFF"/>
        </w:rPr>
        <w:t xml:space="preserve">dromes is </w:t>
      </w:r>
      <w:r w:rsidR="006D7E07" w:rsidRPr="00C45AB7">
        <w:rPr>
          <w:rFonts w:cstheme="minorHAnsi"/>
          <w:color w:val="333333"/>
          <w:szCs w:val="20"/>
          <w:shd w:val="clear" w:color="auto" w:fill="FFFFFF"/>
        </w:rPr>
        <w:t xml:space="preserve">VHL disease with reported </w:t>
      </w:r>
      <w:r w:rsidR="006D7E07" w:rsidRPr="00C45AB7">
        <w:rPr>
          <w:rFonts w:eastAsia="Times New Roman" w:cstheme="minorHAnsi"/>
          <w:szCs w:val="20"/>
          <w:lang w:eastAsia="en-AU"/>
        </w:rPr>
        <w:t>incidence of 1:36,000 and prevalence 1</w:t>
      </w:r>
      <w:r w:rsidR="00937C5C">
        <w:rPr>
          <w:rFonts w:eastAsia="Times New Roman" w:cstheme="minorHAnsi"/>
          <w:szCs w:val="20"/>
          <w:lang w:eastAsia="en-AU"/>
        </w:rPr>
        <w:t>:</w:t>
      </w:r>
      <w:r w:rsidR="006D7E07" w:rsidRPr="00C45AB7">
        <w:rPr>
          <w:rFonts w:eastAsia="Times New Roman" w:cstheme="minorHAnsi"/>
          <w:szCs w:val="20"/>
          <w:lang w:eastAsia="en-AU"/>
        </w:rPr>
        <w:t>91,000 in Australia (</w:t>
      </w:r>
      <w:proofErr w:type="gramStart"/>
      <w:r w:rsidR="006D7E07" w:rsidRPr="00C45AB7">
        <w:rPr>
          <w:rFonts w:eastAsia="Times New Roman" w:cstheme="minorHAnsi"/>
          <w:szCs w:val="20"/>
          <w:lang w:eastAsia="en-AU"/>
        </w:rPr>
        <w:t>MSAC  App</w:t>
      </w:r>
      <w:proofErr w:type="gramEnd"/>
      <w:r w:rsidR="006D7E07" w:rsidRPr="00C45AB7">
        <w:rPr>
          <w:rFonts w:eastAsia="Times New Roman" w:cstheme="minorHAnsi"/>
          <w:szCs w:val="20"/>
          <w:lang w:eastAsia="en-AU"/>
        </w:rPr>
        <w:t xml:space="preserve"> 1153 Assessment Report 2011</w:t>
      </w:r>
      <w:r w:rsidR="00C45AB7" w:rsidRPr="00C45AB7">
        <w:rPr>
          <w:rFonts w:eastAsia="Times New Roman" w:cstheme="minorHAnsi"/>
          <w:szCs w:val="20"/>
          <w:lang w:eastAsia="en-AU"/>
        </w:rPr>
        <w:t>)</w:t>
      </w:r>
      <w:r w:rsidR="00937C5C">
        <w:rPr>
          <w:rFonts w:eastAsia="Times New Roman" w:cstheme="minorHAnsi"/>
          <w:szCs w:val="20"/>
          <w:lang w:eastAsia="en-AU"/>
        </w:rPr>
        <w:t>.all other conditions are significantly rarer.</w:t>
      </w:r>
    </w:p>
    <w:p w14:paraId="332C954F" w14:textId="77777777" w:rsidR="00937C5C" w:rsidRPr="00937C5C" w:rsidRDefault="00937C5C" w:rsidP="00D6440D">
      <w:pPr>
        <w:spacing w:before="0" w:after="0"/>
        <w:ind w:left="360"/>
        <w:rPr>
          <w:rFonts w:eastAsia="Times New Roman" w:cstheme="minorHAnsi"/>
          <w:szCs w:val="20"/>
          <w:lang w:eastAsia="en-AU"/>
        </w:rPr>
      </w:pPr>
    </w:p>
    <w:p w14:paraId="6F40D8E1" w14:textId="1B9C3458" w:rsidR="38E2F1E4" w:rsidRPr="00C45AB7" w:rsidRDefault="38E2F1E4" w:rsidP="00D6440D">
      <w:pPr>
        <w:spacing w:after="200" w:line="276" w:lineRule="auto"/>
        <w:ind w:left="360"/>
        <w:rPr>
          <w:rFonts w:eastAsia="Arial" w:cstheme="minorHAnsi"/>
          <w:color w:val="222222"/>
          <w:szCs w:val="20"/>
        </w:rPr>
      </w:pPr>
      <w:r w:rsidRPr="00C45AB7">
        <w:rPr>
          <w:rFonts w:cstheme="minorHAnsi"/>
          <w:color w:val="333333"/>
          <w:szCs w:val="20"/>
        </w:rPr>
        <w:t xml:space="preserve">REF </w:t>
      </w:r>
      <w:proofErr w:type="spellStart"/>
      <w:r w:rsidR="0ECC275A" w:rsidRPr="00C45AB7">
        <w:rPr>
          <w:rFonts w:eastAsia="Arial" w:cstheme="minorHAnsi"/>
          <w:color w:val="222222"/>
          <w:szCs w:val="20"/>
        </w:rPr>
        <w:t>Mester</w:t>
      </w:r>
      <w:proofErr w:type="spellEnd"/>
      <w:r w:rsidR="0ECC275A" w:rsidRPr="00C45AB7">
        <w:rPr>
          <w:rFonts w:eastAsia="Arial" w:cstheme="minorHAnsi"/>
          <w:color w:val="222222"/>
          <w:szCs w:val="20"/>
        </w:rPr>
        <w:t xml:space="preserve"> J, </w:t>
      </w:r>
      <w:proofErr w:type="spellStart"/>
      <w:r w:rsidR="0ECC275A" w:rsidRPr="00C45AB7">
        <w:rPr>
          <w:rFonts w:eastAsia="Arial" w:cstheme="minorHAnsi"/>
          <w:color w:val="222222"/>
          <w:szCs w:val="20"/>
        </w:rPr>
        <w:t>Eng</w:t>
      </w:r>
      <w:proofErr w:type="spellEnd"/>
      <w:r w:rsidR="0ECC275A" w:rsidRPr="00C45AB7">
        <w:rPr>
          <w:rFonts w:eastAsia="Arial" w:cstheme="minorHAnsi"/>
          <w:color w:val="222222"/>
          <w:szCs w:val="20"/>
        </w:rPr>
        <w:t xml:space="preserve"> C. Cowden syndrome: Recognizing and managing a not‐so‐rare hereditary cancer syndrome. Journal of surgical oncology. 2015 Jan;111(1):125-30.</w:t>
      </w:r>
    </w:p>
    <w:p w14:paraId="66DC143C" w14:textId="576D3C75" w:rsidR="00580D20" w:rsidRPr="00D6440D" w:rsidRDefault="5F9C6B73" w:rsidP="00D6440D">
      <w:pPr>
        <w:spacing w:after="200" w:line="276" w:lineRule="auto"/>
        <w:ind w:left="360"/>
        <w:rPr>
          <w:rFonts w:eastAsia="Arial" w:cstheme="minorHAnsi"/>
          <w:color w:val="222222"/>
          <w:szCs w:val="20"/>
        </w:rPr>
      </w:pPr>
      <w:proofErr w:type="spellStart"/>
      <w:r w:rsidRPr="00C45AB7">
        <w:rPr>
          <w:rFonts w:eastAsia="Arial" w:cstheme="minorHAnsi"/>
          <w:color w:val="222222"/>
          <w:szCs w:val="20"/>
        </w:rPr>
        <w:t>Shuch</w:t>
      </w:r>
      <w:proofErr w:type="spellEnd"/>
      <w:r w:rsidRPr="00C45AB7">
        <w:rPr>
          <w:rFonts w:eastAsia="Arial" w:cstheme="minorHAnsi"/>
          <w:color w:val="222222"/>
          <w:szCs w:val="20"/>
        </w:rPr>
        <w:t xml:space="preserve"> B, Ricketts CJ, </w:t>
      </w:r>
      <w:proofErr w:type="spellStart"/>
      <w:r w:rsidRPr="00C45AB7">
        <w:rPr>
          <w:rFonts w:eastAsia="Arial" w:cstheme="minorHAnsi"/>
          <w:color w:val="222222"/>
          <w:szCs w:val="20"/>
        </w:rPr>
        <w:t>Vocke</w:t>
      </w:r>
      <w:proofErr w:type="spellEnd"/>
      <w:r w:rsidRPr="00C45AB7">
        <w:rPr>
          <w:rFonts w:eastAsia="Arial" w:cstheme="minorHAnsi"/>
          <w:color w:val="222222"/>
          <w:szCs w:val="20"/>
        </w:rPr>
        <w:t xml:space="preserve"> CD, Komiya T, </w:t>
      </w:r>
      <w:proofErr w:type="spellStart"/>
      <w:r w:rsidRPr="00C45AB7">
        <w:rPr>
          <w:rFonts w:eastAsia="Arial" w:cstheme="minorHAnsi"/>
          <w:color w:val="222222"/>
          <w:szCs w:val="20"/>
        </w:rPr>
        <w:t>Middelton</w:t>
      </w:r>
      <w:proofErr w:type="spellEnd"/>
      <w:r w:rsidRPr="00C45AB7">
        <w:rPr>
          <w:rFonts w:eastAsia="Arial" w:cstheme="minorHAnsi"/>
          <w:color w:val="222222"/>
          <w:szCs w:val="20"/>
        </w:rPr>
        <w:t xml:space="preserve"> LA, Kauffman EC, Merino MJ, </w:t>
      </w:r>
      <w:proofErr w:type="spellStart"/>
      <w:r w:rsidRPr="00C45AB7">
        <w:rPr>
          <w:rFonts w:eastAsia="Arial" w:cstheme="minorHAnsi"/>
          <w:color w:val="222222"/>
          <w:szCs w:val="20"/>
        </w:rPr>
        <w:t>Metwalli</w:t>
      </w:r>
      <w:proofErr w:type="spellEnd"/>
      <w:r w:rsidRPr="00C45AB7">
        <w:rPr>
          <w:rFonts w:eastAsia="Arial" w:cstheme="minorHAnsi"/>
          <w:color w:val="222222"/>
          <w:szCs w:val="20"/>
        </w:rPr>
        <w:t xml:space="preserve"> AR, Dennis P, Linehan WM. Germline PTEN mutation Cowden syndrome: an underappreciated form of hereditary kidney cancer. The Journal of urology. 2013 Dec;190(6):1990-8.</w:t>
      </w:r>
    </w:p>
    <w:p w14:paraId="1A4FD149" w14:textId="31320017" w:rsidR="00AA5FDA" w:rsidRPr="00154B00" w:rsidRDefault="00E95FE2" w:rsidP="00E95FE2">
      <w:pPr>
        <w:pStyle w:val="Heading2"/>
        <w:spacing w:before="0" w:after="200" w:line="276" w:lineRule="auto"/>
      </w:pPr>
      <w:r>
        <w:t>Specify the characteristics of patients with (or suspected of having) the medical condition, who would be eligible for the proposed medical service/technology (including details on how a patient would be investigated, managed and referred within the Australian health care system, in the lead up to being eligible for the service):</w:t>
      </w:r>
    </w:p>
    <w:p w14:paraId="5BE6A2D3" w14:textId="7AA0B9AE" w:rsidR="002A50FD" w:rsidRPr="00881F93" w:rsidRDefault="02A0A6AA" w:rsidP="00D6440D">
      <w:pPr>
        <w:ind w:left="360"/>
        <w:rPr>
          <w:rFonts w:ascii="Calibri" w:hAnsi="Calibri" w:cs="Calibri"/>
          <w:lang w:val="en"/>
        </w:rPr>
      </w:pPr>
      <w:r w:rsidRPr="5245AE3E">
        <w:rPr>
          <w:rFonts w:ascii="Calibri" w:hAnsi="Calibri" w:cs="Calibri"/>
          <w:b/>
          <w:bCs/>
          <w:lang w:val="en"/>
        </w:rPr>
        <w:t xml:space="preserve">Tuberous Sclerosis Complex (TSC): </w:t>
      </w:r>
    </w:p>
    <w:p w14:paraId="06EF1663" w14:textId="7D6F13B9" w:rsidR="002A50FD" w:rsidRPr="00881F93" w:rsidRDefault="02A0A6AA" w:rsidP="00D6440D">
      <w:pPr>
        <w:ind w:left="360"/>
        <w:rPr>
          <w:rFonts w:ascii="Calibri" w:hAnsi="Calibri" w:cs="Calibri"/>
          <w:szCs w:val="20"/>
          <w:lang w:val="en"/>
        </w:rPr>
      </w:pPr>
      <w:r w:rsidRPr="5245AE3E">
        <w:rPr>
          <w:rFonts w:ascii="Calibri" w:hAnsi="Calibri" w:cs="Calibri"/>
          <w:szCs w:val="20"/>
          <w:lang w:val="en"/>
        </w:rPr>
        <w:t xml:space="preserve">Tuberous sclerosis is </w:t>
      </w:r>
      <w:r w:rsidR="6028AE13" w:rsidRPr="5245AE3E">
        <w:rPr>
          <w:rFonts w:ascii="Calibri" w:hAnsi="Calibri" w:cs="Calibri"/>
          <w:szCs w:val="20"/>
          <w:lang w:val="en"/>
        </w:rPr>
        <w:t xml:space="preserve">diagnosed based on a clearly defined diagnostic criteria as outlined in the Updated International Tuberous Sclerosis Complex Diagnostic Criteria (2021). Individuals often present in early childhood with infantile spasms, </w:t>
      </w:r>
      <w:proofErr w:type="gramStart"/>
      <w:r w:rsidR="6028AE13" w:rsidRPr="5245AE3E">
        <w:rPr>
          <w:rFonts w:ascii="Calibri" w:hAnsi="Calibri" w:cs="Calibri"/>
          <w:szCs w:val="20"/>
          <w:lang w:val="en"/>
        </w:rPr>
        <w:t>seizures</w:t>
      </w:r>
      <w:proofErr w:type="gramEnd"/>
      <w:r w:rsidR="6028AE13" w:rsidRPr="5245AE3E">
        <w:rPr>
          <w:rFonts w:ascii="Calibri" w:hAnsi="Calibri" w:cs="Calibri"/>
          <w:szCs w:val="20"/>
          <w:lang w:val="en"/>
        </w:rPr>
        <w:t xml:space="preserve"> or developmental delay</w:t>
      </w:r>
      <w:r w:rsidR="6F9DD75E" w:rsidRPr="5245AE3E">
        <w:rPr>
          <w:rFonts w:ascii="Calibri" w:hAnsi="Calibri" w:cs="Calibri"/>
          <w:szCs w:val="20"/>
          <w:lang w:val="en"/>
        </w:rPr>
        <w:t xml:space="preserve">, but may also present in adulthood, typically with characteristic skin lesions, bleeding for renal lesions or other late onset organ specific manifestations. </w:t>
      </w:r>
      <w:r w:rsidR="750339DC" w:rsidRPr="5245AE3E">
        <w:rPr>
          <w:rFonts w:ascii="Calibri" w:hAnsi="Calibri" w:cs="Calibri"/>
          <w:szCs w:val="20"/>
          <w:lang w:val="en"/>
        </w:rPr>
        <w:t xml:space="preserve">Characteristic clinical features detected in primary care or characteristic imaging features on brain or abdominal imaging would typically results in </w:t>
      </w:r>
      <w:r w:rsidR="6B1A084B" w:rsidRPr="5245AE3E">
        <w:rPr>
          <w:rFonts w:ascii="Calibri" w:hAnsi="Calibri" w:cs="Calibri"/>
          <w:szCs w:val="20"/>
          <w:lang w:val="en"/>
        </w:rPr>
        <w:t>referral to specialist services (neurology, nephrology, dermatology, ophthalmology, genetics etc.)  depending on organ specific manifestations and which point a d</w:t>
      </w:r>
      <w:r w:rsidR="1ACDF654" w:rsidRPr="5245AE3E">
        <w:rPr>
          <w:rFonts w:ascii="Calibri" w:hAnsi="Calibri" w:cs="Calibri"/>
          <w:szCs w:val="20"/>
          <w:lang w:val="en"/>
        </w:rPr>
        <w:t xml:space="preserve">efinitive diagnosis can be made based on clinical criteria or genetic testing. </w:t>
      </w:r>
    </w:p>
    <w:p w14:paraId="1E3A4E5E" w14:textId="14B53CA8" w:rsidR="002A50FD" w:rsidRPr="00881F93" w:rsidRDefault="1ACDF654" w:rsidP="00D6440D">
      <w:pPr>
        <w:ind w:left="360"/>
        <w:rPr>
          <w:rFonts w:ascii="Calibri" w:hAnsi="Calibri" w:cs="Calibri"/>
          <w:szCs w:val="20"/>
          <w:lang w:val="en"/>
        </w:rPr>
      </w:pPr>
      <w:r w:rsidRPr="5245AE3E">
        <w:rPr>
          <w:rFonts w:ascii="Calibri" w:hAnsi="Calibri" w:cs="Calibri"/>
          <w:szCs w:val="20"/>
          <w:lang w:val="en"/>
        </w:rPr>
        <w:t>Patients would only become eligible for MBS funded abdominal MRI after a diagnosis of tuberous sclerosis is established base on the clearly defined diagnostic criteria. At this</w:t>
      </w:r>
      <w:r w:rsidR="2C7C5378" w:rsidRPr="5245AE3E">
        <w:rPr>
          <w:rFonts w:ascii="Calibri" w:hAnsi="Calibri" w:cs="Calibri"/>
          <w:szCs w:val="20"/>
          <w:lang w:val="en"/>
        </w:rPr>
        <w:t xml:space="preserve"> point patients would undergo a baseline abdominal MRI in line with international consensus guidelines. </w:t>
      </w:r>
    </w:p>
    <w:p w14:paraId="3C5EC596" w14:textId="476CDA88" w:rsidR="002A50FD" w:rsidRPr="00881F93" w:rsidRDefault="2C7C5378" w:rsidP="00D6440D">
      <w:pPr>
        <w:spacing w:before="240" w:after="240" w:line="276" w:lineRule="auto"/>
        <w:ind w:left="357"/>
        <w:rPr>
          <w:rFonts w:ascii="Calibri" w:hAnsi="Calibri" w:cs="Calibri"/>
          <w:lang w:val="en"/>
        </w:rPr>
      </w:pPr>
      <w:r w:rsidRPr="5245AE3E">
        <w:rPr>
          <w:rFonts w:ascii="Calibri" w:hAnsi="Calibri" w:cs="Calibri"/>
          <w:b/>
          <w:bCs/>
          <w:lang w:val="en"/>
        </w:rPr>
        <w:t>Other rare syndromes with increased risk of renal tumors</w:t>
      </w:r>
      <w:r w:rsidR="2D767EA2" w:rsidRPr="5245AE3E">
        <w:rPr>
          <w:rFonts w:ascii="Calibri" w:hAnsi="Calibri" w:cs="Calibri"/>
          <w:b/>
          <w:bCs/>
          <w:lang w:val="en"/>
        </w:rPr>
        <w:t>:</w:t>
      </w:r>
    </w:p>
    <w:p w14:paraId="3D7253FC" w14:textId="07E4BEF1" w:rsidR="002A50FD" w:rsidRPr="00881F93" w:rsidRDefault="2C7C5378" w:rsidP="00D6440D">
      <w:pPr>
        <w:ind w:left="360"/>
        <w:rPr>
          <w:rFonts w:ascii="Calibri" w:hAnsi="Calibri" w:cs="Calibri"/>
          <w:szCs w:val="20"/>
          <w:lang w:val="en"/>
        </w:rPr>
      </w:pPr>
      <w:r w:rsidRPr="5245AE3E">
        <w:rPr>
          <w:rFonts w:ascii="Calibri" w:hAnsi="Calibri" w:cs="Calibri"/>
          <w:szCs w:val="20"/>
          <w:lang w:val="en"/>
        </w:rPr>
        <w:t xml:space="preserve">The presentation of other rare syndromes associated with the risk of renal </w:t>
      </w:r>
      <w:proofErr w:type="spellStart"/>
      <w:r w:rsidRPr="5245AE3E">
        <w:rPr>
          <w:rFonts w:ascii="Calibri" w:hAnsi="Calibri" w:cs="Calibri"/>
          <w:szCs w:val="20"/>
          <w:lang w:val="en"/>
        </w:rPr>
        <w:t>tumours</w:t>
      </w:r>
      <w:proofErr w:type="spellEnd"/>
      <w:r w:rsidRPr="5245AE3E">
        <w:rPr>
          <w:rFonts w:ascii="Calibri" w:hAnsi="Calibri" w:cs="Calibri"/>
          <w:szCs w:val="20"/>
          <w:lang w:val="en"/>
        </w:rPr>
        <w:t xml:space="preserve"> will vary across specific conditions. Initial presentation may be based on</w:t>
      </w:r>
      <w:r w:rsidR="7187CF0D" w:rsidRPr="5245AE3E">
        <w:rPr>
          <w:rFonts w:ascii="Calibri" w:hAnsi="Calibri" w:cs="Calibri"/>
          <w:szCs w:val="20"/>
          <w:lang w:val="en"/>
        </w:rPr>
        <w:t xml:space="preserve"> cutaneous features, symptoms associated with visceral </w:t>
      </w:r>
      <w:proofErr w:type="spellStart"/>
      <w:r w:rsidR="7187CF0D" w:rsidRPr="5245AE3E">
        <w:rPr>
          <w:rFonts w:ascii="Calibri" w:hAnsi="Calibri" w:cs="Calibri"/>
          <w:szCs w:val="20"/>
          <w:lang w:val="en"/>
        </w:rPr>
        <w:t>tumours</w:t>
      </w:r>
      <w:proofErr w:type="spellEnd"/>
      <w:r w:rsidR="7187CF0D" w:rsidRPr="5245AE3E">
        <w:rPr>
          <w:rFonts w:ascii="Calibri" w:hAnsi="Calibri" w:cs="Calibri"/>
          <w:szCs w:val="20"/>
          <w:lang w:val="en"/>
        </w:rPr>
        <w:t xml:space="preserve"> or incidental detection of </w:t>
      </w:r>
      <w:proofErr w:type="spellStart"/>
      <w:r w:rsidR="7187CF0D" w:rsidRPr="5245AE3E">
        <w:rPr>
          <w:rFonts w:ascii="Calibri" w:hAnsi="Calibri" w:cs="Calibri"/>
          <w:szCs w:val="20"/>
          <w:lang w:val="en"/>
        </w:rPr>
        <w:t>tumours</w:t>
      </w:r>
      <w:proofErr w:type="spellEnd"/>
      <w:r w:rsidR="7187CF0D" w:rsidRPr="5245AE3E">
        <w:rPr>
          <w:rFonts w:ascii="Calibri" w:hAnsi="Calibri" w:cs="Calibri"/>
          <w:szCs w:val="20"/>
          <w:lang w:val="en"/>
        </w:rPr>
        <w:t xml:space="preserve"> on investigations performed for other purposes. Following detection of </w:t>
      </w:r>
      <w:proofErr w:type="spellStart"/>
      <w:r w:rsidR="7187CF0D" w:rsidRPr="5245AE3E">
        <w:rPr>
          <w:rFonts w:ascii="Calibri" w:hAnsi="Calibri" w:cs="Calibri"/>
          <w:szCs w:val="20"/>
          <w:lang w:val="en"/>
        </w:rPr>
        <w:t>tumours</w:t>
      </w:r>
      <w:proofErr w:type="spellEnd"/>
      <w:r w:rsidR="42581327" w:rsidRPr="5245AE3E">
        <w:rPr>
          <w:rFonts w:ascii="Calibri" w:hAnsi="Calibri" w:cs="Calibri"/>
          <w:szCs w:val="20"/>
          <w:lang w:val="en"/>
        </w:rPr>
        <w:t xml:space="preserve">, patients are likely to be referred to specialist surgical or oncological services and atypical features such as multiple </w:t>
      </w:r>
      <w:proofErr w:type="spellStart"/>
      <w:r w:rsidR="42581327" w:rsidRPr="5245AE3E">
        <w:rPr>
          <w:rFonts w:ascii="Calibri" w:hAnsi="Calibri" w:cs="Calibri"/>
          <w:szCs w:val="20"/>
          <w:lang w:val="en"/>
        </w:rPr>
        <w:t>tumours</w:t>
      </w:r>
      <w:proofErr w:type="spellEnd"/>
      <w:r w:rsidR="42581327" w:rsidRPr="5245AE3E">
        <w:rPr>
          <w:rFonts w:ascii="Calibri" w:hAnsi="Calibri" w:cs="Calibri"/>
          <w:szCs w:val="20"/>
          <w:lang w:val="en"/>
        </w:rPr>
        <w:t xml:space="preserve"> or specific histo</w:t>
      </w:r>
      <w:r w:rsidR="686B030C" w:rsidRPr="5245AE3E">
        <w:rPr>
          <w:rFonts w:ascii="Calibri" w:hAnsi="Calibri" w:cs="Calibri"/>
          <w:szCs w:val="20"/>
          <w:lang w:val="en"/>
        </w:rPr>
        <w:t xml:space="preserve">pathological findings may result in referral to a geneticist. </w:t>
      </w:r>
    </w:p>
    <w:p w14:paraId="6B204FDB" w14:textId="699FCEDF" w:rsidR="002A50FD" w:rsidRPr="00881F93" w:rsidRDefault="686B030C" w:rsidP="00D6440D">
      <w:pPr>
        <w:ind w:left="360"/>
        <w:rPr>
          <w:rFonts w:ascii="Calibri" w:hAnsi="Calibri" w:cs="Calibri"/>
          <w:szCs w:val="20"/>
          <w:lang w:val="en"/>
        </w:rPr>
      </w:pPr>
      <w:r w:rsidRPr="5245AE3E">
        <w:rPr>
          <w:rFonts w:ascii="Calibri" w:hAnsi="Calibri" w:cs="Calibri"/>
          <w:szCs w:val="20"/>
          <w:lang w:val="en"/>
        </w:rPr>
        <w:t>Patients would only become eligible for MBS funded abdominal MRI after a diagnosis is establishment based either o</w:t>
      </w:r>
      <w:r w:rsidR="00552B80">
        <w:rPr>
          <w:rFonts w:ascii="Calibri" w:hAnsi="Calibri" w:cs="Calibri"/>
          <w:szCs w:val="20"/>
          <w:lang w:val="en"/>
        </w:rPr>
        <w:t>n</w:t>
      </w:r>
      <w:r w:rsidRPr="5245AE3E">
        <w:rPr>
          <w:rFonts w:ascii="Calibri" w:hAnsi="Calibri" w:cs="Calibri"/>
          <w:szCs w:val="20"/>
          <w:lang w:val="en"/>
        </w:rPr>
        <w:t xml:space="preserve"> clinical criteria or </w:t>
      </w:r>
      <w:proofErr w:type="gramStart"/>
      <w:r w:rsidRPr="5245AE3E">
        <w:rPr>
          <w:rFonts w:ascii="Calibri" w:hAnsi="Calibri" w:cs="Calibri"/>
          <w:szCs w:val="20"/>
          <w:lang w:val="en"/>
        </w:rPr>
        <w:t>as a result of</w:t>
      </w:r>
      <w:proofErr w:type="gramEnd"/>
      <w:r w:rsidRPr="5245AE3E">
        <w:rPr>
          <w:rFonts w:ascii="Calibri" w:hAnsi="Calibri" w:cs="Calibri"/>
          <w:szCs w:val="20"/>
          <w:lang w:val="en"/>
        </w:rPr>
        <w:t xml:space="preserve"> genetic testing</w:t>
      </w:r>
      <w:r w:rsidR="44902D95" w:rsidRPr="5245AE3E">
        <w:rPr>
          <w:rFonts w:ascii="Calibri" w:hAnsi="Calibri" w:cs="Calibri"/>
          <w:szCs w:val="20"/>
          <w:lang w:val="en"/>
        </w:rPr>
        <w:t xml:space="preserve">. </w:t>
      </w:r>
      <w:r w:rsidRPr="5245AE3E">
        <w:rPr>
          <w:rFonts w:ascii="Calibri" w:hAnsi="Calibri" w:cs="Calibri"/>
          <w:szCs w:val="20"/>
          <w:lang w:val="en"/>
        </w:rPr>
        <w:t xml:space="preserve"> </w:t>
      </w:r>
    </w:p>
    <w:p w14:paraId="652B571A" w14:textId="619B5CFB" w:rsidR="002A50FD" w:rsidRPr="00881F93" w:rsidRDefault="002A50FD" w:rsidP="5245AE3E">
      <w:pPr>
        <w:rPr>
          <w:rFonts w:ascii="Calibri" w:hAnsi="Calibri" w:cs="Calibri"/>
          <w:szCs w:val="20"/>
          <w:lang w:val="en"/>
        </w:rPr>
      </w:pPr>
    </w:p>
    <w:p w14:paraId="667EC699" w14:textId="5B794690" w:rsidR="002A50FD" w:rsidRPr="00881F93" w:rsidRDefault="005C3AE7" w:rsidP="5245AE3E">
      <w:pPr>
        <w:pStyle w:val="Subtitle"/>
        <w:ind w:left="0"/>
        <w:rPr>
          <w:rFonts w:ascii="Calibri" w:hAnsi="Calibri" w:cs="Calibri"/>
          <w:b w:val="0"/>
          <w:u w:val="none"/>
          <w:lang w:val="en"/>
        </w:rPr>
      </w:pPr>
      <w:r>
        <w:lastRenderedPageBreak/>
        <w:t xml:space="preserve">PART 6b – </w:t>
      </w:r>
      <w:r w:rsidR="002A50FD" w:rsidRPr="00881F93">
        <w:t>INFORMATION ABOUT THE INTERVENTION</w:t>
      </w:r>
    </w:p>
    <w:p w14:paraId="04D6F90C" w14:textId="77777777" w:rsidR="002A50FD" w:rsidRPr="00154B00" w:rsidRDefault="002A6753" w:rsidP="00530204">
      <w:pPr>
        <w:pStyle w:val="Heading2"/>
      </w:pPr>
      <w:r>
        <w:t xml:space="preserve">Describe the </w:t>
      </w:r>
      <w:r w:rsidR="00DF6D37">
        <w:t>key components and</w:t>
      </w:r>
      <w:r w:rsidR="00B771AD">
        <w:t xml:space="preserve"> clinical</w:t>
      </w:r>
      <w:r w:rsidR="00DF6D37">
        <w:t xml:space="preserve"> steps involved in delivering </w:t>
      </w:r>
      <w:r w:rsidR="00C05A45">
        <w:t xml:space="preserve">the </w:t>
      </w:r>
      <w:r w:rsidR="00197D29">
        <w:t>proposed medical service</w:t>
      </w:r>
      <w:r w:rsidR="0008323F">
        <w:t>/technology</w:t>
      </w:r>
      <w:r w:rsidR="00197D29">
        <w:t>:</w:t>
      </w:r>
    </w:p>
    <w:p w14:paraId="0542F8D2" w14:textId="3744B5B2" w:rsidR="5FD2692D" w:rsidRDefault="5FD2692D" w:rsidP="00D6440D">
      <w:pPr>
        <w:ind w:left="360"/>
        <w:rPr>
          <w:szCs w:val="20"/>
        </w:rPr>
      </w:pPr>
      <w:r w:rsidRPr="5245AE3E">
        <w:rPr>
          <w:szCs w:val="20"/>
        </w:rPr>
        <w:t>Following the establishment of a diagnosis of tuberous sclerosis complex or an inherited condition associated with increased risk of renal tumours</w:t>
      </w:r>
      <w:r w:rsidR="30A2AD47" w:rsidRPr="5245AE3E">
        <w:rPr>
          <w:szCs w:val="20"/>
        </w:rPr>
        <w:t xml:space="preserve"> the patient would be reviewed by a clinician with expertise in managing patients with this condition</w:t>
      </w:r>
      <w:r w:rsidR="75AE28DC" w:rsidRPr="5245AE3E">
        <w:rPr>
          <w:szCs w:val="20"/>
        </w:rPr>
        <w:t xml:space="preserve">. Baseline history and clinical examination will be performed. A baseline </w:t>
      </w:r>
      <w:r w:rsidR="001D3F72">
        <w:rPr>
          <w:szCs w:val="20"/>
        </w:rPr>
        <w:t>(</w:t>
      </w:r>
      <w:r w:rsidR="75AE28DC" w:rsidRPr="5245AE3E">
        <w:rPr>
          <w:szCs w:val="20"/>
        </w:rPr>
        <w:t>screening</w:t>
      </w:r>
      <w:r w:rsidR="001D3F72">
        <w:rPr>
          <w:szCs w:val="20"/>
        </w:rPr>
        <w:t>)</w:t>
      </w:r>
      <w:r w:rsidR="75AE28DC" w:rsidRPr="5245AE3E">
        <w:rPr>
          <w:szCs w:val="20"/>
        </w:rPr>
        <w:t xml:space="preserve"> abdominal MRI would be ordered by treating physician. The MRI would </w:t>
      </w:r>
      <w:r w:rsidR="3A357250" w:rsidRPr="5245AE3E">
        <w:rPr>
          <w:szCs w:val="20"/>
        </w:rPr>
        <w:t>then be performed by a clinical radiology service and reported by a radiologist. I</w:t>
      </w:r>
      <w:r w:rsidR="4F8CFFDD" w:rsidRPr="5245AE3E">
        <w:rPr>
          <w:szCs w:val="20"/>
        </w:rPr>
        <w:t>n some circumstances where a patient may be unable to tolerate MRI scanning without sedation</w:t>
      </w:r>
      <w:r w:rsidR="004155D7">
        <w:rPr>
          <w:szCs w:val="20"/>
        </w:rPr>
        <w:t xml:space="preserve">, </w:t>
      </w:r>
      <w:r w:rsidR="4F8CFFDD" w:rsidRPr="5245AE3E">
        <w:rPr>
          <w:szCs w:val="20"/>
        </w:rPr>
        <w:t xml:space="preserve">they may be referred to a hospital service where MRI would be performed as an inpatient with appropriate </w:t>
      </w:r>
      <w:r w:rsidR="3118A64F" w:rsidRPr="5245AE3E">
        <w:rPr>
          <w:szCs w:val="20"/>
        </w:rPr>
        <w:t xml:space="preserve">sedation or anaesthesia. </w:t>
      </w:r>
      <w:r w:rsidR="3A357250" w:rsidRPr="5245AE3E">
        <w:rPr>
          <w:szCs w:val="20"/>
        </w:rPr>
        <w:t xml:space="preserve"> </w:t>
      </w:r>
      <w:r w:rsidR="75AE28DC" w:rsidRPr="5245AE3E">
        <w:rPr>
          <w:szCs w:val="20"/>
        </w:rPr>
        <w:t xml:space="preserve"> </w:t>
      </w:r>
    </w:p>
    <w:p w14:paraId="7AF3BCE2" w14:textId="77777777" w:rsidR="002A6753" w:rsidRPr="00154B00" w:rsidRDefault="002A6753" w:rsidP="00530204">
      <w:pPr>
        <w:pStyle w:val="Heading2"/>
      </w:pPr>
      <w:r>
        <w:t>Does the proposed medical service include a registered trademark</w:t>
      </w:r>
      <w:r w:rsidR="00707D4D">
        <w:t xml:space="preserve"> component</w:t>
      </w:r>
      <w:r>
        <w:t xml:space="preserve"> with characteristics that distinguishes it from other similar health </w:t>
      </w:r>
      <w:r w:rsidR="00707D4D">
        <w:t>components</w:t>
      </w:r>
      <w:r>
        <w:t>?</w:t>
      </w:r>
    </w:p>
    <w:p w14:paraId="4F9CE711" w14:textId="449682F1" w:rsidR="002A6753" w:rsidRPr="00154B00" w:rsidRDefault="00A855A7" w:rsidP="00E357B9">
      <w:pPr>
        <w:ind w:left="426"/>
        <w:rPr>
          <w:szCs w:val="20"/>
        </w:rPr>
      </w:pPr>
      <w:r>
        <w:t>N/A</w:t>
      </w:r>
    </w:p>
    <w:p w14:paraId="06B230FD" w14:textId="77777777" w:rsidR="00C22AD8" w:rsidRDefault="00C22AD8" w:rsidP="00530204">
      <w:pPr>
        <w:pStyle w:val="Heading2"/>
      </w:pPr>
      <w:r>
        <w:t>If the proposed medical service has a prosthesis or device component to it, does it involve a new approach towards managing a particular sub-group of the population with the specific medical condition?</w:t>
      </w:r>
    </w:p>
    <w:p w14:paraId="1ED1EF68" w14:textId="556121BC" w:rsidR="005F3B3C" w:rsidRPr="005F3B3C" w:rsidRDefault="005F3B3C" w:rsidP="00D6440D">
      <w:pPr>
        <w:ind w:firstLine="360"/>
      </w:pPr>
      <w:r>
        <w:t>N/A</w:t>
      </w:r>
    </w:p>
    <w:p w14:paraId="74AA6E96" w14:textId="77777777" w:rsidR="006B1B49" w:rsidRPr="00E357B9" w:rsidRDefault="006B1B49" w:rsidP="00530204">
      <w:pPr>
        <w:pStyle w:val="Heading2"/>
      </w:pPr>
      <w:r>
        <w:t xml:space="preserve">If applicable, are there any limitations on the </w:t>
      </w:r>
      <w:r w:rsidR="00DF0C51">
        <w:t xml:space="preserve">provision </w:t>
      </w:r>
      <w:r>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t xml:space="preserve">dosage, quantity, </w:t>
      </w:r>
      <w:proofErr w:type="gramStart"/>
      <w:r w:rsidR="00DF0C51">
        <w:t>duration</w:t>
      </w:r>
      <w:proofErr w:type="gramEnd"/>
      <w:r w:rsidR="00DF0C51">
        <w:t xml:space="preserve"> or frequency</w:t>
      </w:r>
      <w:r w:rsidR="00D30BDC">
        <w:t>)</w:t>
      </w:r>
      <w:r w:rsidR="00093F22">
        <w:t>?</w:t>
      </w:r>
    </w:p>
    <w:p w14:paraId="308DF125" w14:textId="457B9466" w:rsidR="005F3B3C" w:rsidRDefault="651BCD00" w:rsidP="4AC5FA4E">
      <w:pPr>
        <w:ind w:left="426"/>
        <w:rPr>
          <w:b/>
          <w:bCs/>
        </w:rPr>
      </w:pPr>
      <w:r>
        <w:t>The provision of abdominal MRI services including machine eligibility and reporting/accreditation will be subject to rules in the Diagnostic Imaging Services Table (DIST) of the MBS</w:t>
      </w:r>
      <w:r w:rsidR="37573992">
        <w:t>.</w:t>
      </w:r>
    </w:p>
    <w:p w14:paraId="79F9C59A" w14:textId="5DA5D63B" w:rsidR="00CC09D7" w:rsidRPr="00D6440D" w:rsidRDefault="52A4FB9A" w:rsidP="00D6440D">
      <w:pPr>
        <w:ind w:left="360"/>
        <w:rPr>
          <w:rFonts w:ascii="Calibri" w:eastAsia="Calibri" w:hAnsi="Calibri" w:cs="Calibri"/>
          <w:color w:val="000000" w:themeColor="text1"/>
          <w:szCs w:val="20"/>
          <w:highlight w:val="green"/>
        </w:rPr>
      </w:pPr>
      <w:r w:rsidRPr="00C45AB7">
        <w:rPr>
          <w:rFonts w:ascii="Calibri" w:eastAsia="Calibri" w:hAnsi="Calibri" w:cs="Calibri"/>
          <w:color w:val="000000" w:themeColor="text1"/>
          <w:szCs w:val="20"/>
        </w:rPr>
        <w:t xml:space="preserve">Current legislative requirements stipulate that Medicare-eligible MRI items must be reported on by a trained and credentialed specialist in diagnostic radiology. The specialist radiologist must be able to satisfy the Chief Executive Medicare that they are a participant in the RANZCR Quality and Accreditation Program (Health Insurance Regulation 2013 – 2.5.4 – Eligible </w:t>
      </w:r>
      <w:r w:rsidRPr="00A11B6C">
        <w:rPr>
          <w:rFonts w:ascii="Calibri" w:eastAsia="Calibri" w:hAnsi="Calibri" w:cs="Calibri"/>
          <w:color w:val="000000" w:themeColor="text1"/>
          <w:szCs w:val="20"/>
        </w:rPr>
        <w:t>Providers) (Australian Government 2013).  These legislative requirements will also apply to the proposed MRI item</w:t>
      </w:r>
      <w:r w:rsidRPr="00205FAB">
        <w:rPr>
          <w:rFonts w:ascii="Calibri" w:eastAsia="Calibri" w:hAnsi="Calibri" w:cs="Calibri"/>
          <w:color w:val="000000" w:themeColor="text1"/>
          <w:szCs w:val="20"/>
        </w:rPr>
        <w:t>.</w:t>
      </w:r>
    </w:p>
    <w:p w14:paraId="68EB8A8C" w14:textId="77777777" w:rsidR="00791C8D" w:rsidRPr="00154B00" w:rsidRDefault="2118B5AF" w:rsidP="00530204">
      <w:pPr>
        <w:pStyle w:val="Heading2"/>
      </w:pPr>
      <w:r>
        <w:t xml:space="preserve">If applicable, identify any healthcare resources </w:t>
      </w:r>
      <w:r w:rsidR="0819DF2B">
        <w:t xml:space="preserve">or other medical services </w:t>
      </w:r>
      <w:r>
        <w:t xml:space="preserve">that would need to be delivered </w:t>
      </w:r>
      <w:r w:rsidRPr="4AC5FA4E">
        <w:rPr>
          <w:u w:val="single"/>
        </w:rPr>
        <w:t>at the same time</w:t>
      </w:r>
      <w:r>
        <w:t xml:space="preserve"> </w:t>
      </w:r>
      <w:r w:rsidR="0AA9D9EA">
        <w:t>as the proposed medical service:</w:t>
      </w:r>
    </w:p>
    <w:p w14:paraId="20D44D72" w14:textId="7A13A6C6" w:rsidR="3C6EEF79" w:rsidRPr="00C45AB7" w:rsidRDefault="009143D3" w:rsidP="4AC5FA4E">
      <w:pPr>
        <w:ind w:left="426"/>
      </w:pPr>
      <w:r>
        <w:t>For s</w:t>
      </w:r>
      <w:r w:rsidR="00C45AB7">
        <w:t xml:space="preserve">ome paediatric patients </w:t>
      </w:r>
      <w:r>
        <w:t xml:space="preserve">and patients with neurological issues </w:t>
      </w:r>
      <w:r w:rsidR="00366DB0">
        <w:t>it is most appropriate that MRI be done under sedation.  In these cases, where additional MRI scanning is required, for example brain MRI</w:t>
      </w:r>
      <w:r w:rsidR="009F2DDF">
        <w:t>, these services would be delivered at the same time.</w:t>
      </w:r>
    </w:p>
    <w:p w14:paraId="2F361C33" w14:textId="77777777" w:rsidR="00B17E26" w:rsidRPr="00154B00" w:rsidRDefault="00B17E26" w:rsidP="00530204">
      <w:pPr>
        <w:pStyle w:val="Heading2"/>
      </w:pPr>
      <w:r>
        <w:t>If applicable, advise which health profession</w:t>
      </w:r>
      <w:r w:rsidR="00E4321E">
        <w:t xml:space="preserve">als </w:t>
      </w:r>
      <w:r>
        <w:t>will</w:t>
      </w:r>
      <w:r w:rsidR="00E4321E">
        <w:t xml:space="preserve"> </w:t>
      </w:r>
      <w:r w:rsidR="007D2358">
        <w:t xml:space="preserve">primarily deliver the </w:t>
      </w:r>
      <w:r w:rsidR="00E4321E">
        <w:t xml:space="preserve">proposed </w:t>
      </w:r>
      <w:r w:rsidR="00AE1188">
        <w:t>service:</w:t>
      </w:r>
    </w:p>
    <w:p w14:paraId="1131AAF8" w14:textId="73213B7B" w:rsidR="00B17E26" w:rsidRPr="009F2DDF" w:rsidRDefault="000206EA" w:rsidP="26490F5F">
      <w:pPr>
        <w:ind w:left="426"/>
      </w:pPr>
      <w:r w:rsidRPr="009F2DDF">
        <w:t>Radiologist</w:t>
      </w:r>
      <w:r w:rsidR="29BCBB5B" w:rsidRPr="009F2DDF">
        <w:t xml:space="preserve"> or radiographer</w:t>
      </w:r>
      <w:r w:rsidR="04D66A7F" w:rsidRPr="009F2DDF">
        <w:t xml:space="preserve">. MRI trained personnel are defined within the Australian and New Zealand College of Radiology </w:t>
      </w:r>
      <w:r w:rsidR="43709AF4" w:rsidRPr="009F2DDF">
        <w:t xml:space="preserve">Safety Guidelines </w:t>
      </w:r>
      <w:r w:rsidR="39235575" w:rsidRPr="009F2DDF">
        <w:t>(https://www.ranzcr.com/ Downloads/MRI%20Safety%20Guidelines%20V2.pdf)</w:t>
      </w:r>
    </w:p>
    <w:p w14:paraId="730565DC" w14:textId="77777777" w:rsidR="00B17E26" w:rsidRPr="00154B00" w:rsidRDefault="00B17E26" w:rsidP="00530204">
      <w:pPr>
        <w:pStyle w:val="Heading2"/>
      </w:pPr>
      <w:r>
        <w:t>If applicable, advise whether the proposed medical service could be delegated or referred to another professional for delive</w:t>
      </w:r>
      <w:r w:rsidR="00AE1188">
        <w:t>ry:</w:t>
      </w:r>
    </w:p>
    <w:p w14:paraId="3CEC63D1" w14:textId="36747D12" w:rsidR="00B17E26" w:rsidRPr="00154B00" w:rsidRDefault="003349A9" w:rsidP="00884E69">
      <w:pPr>
        <w:ind w:left="426"/>
        <w:rPr>
          <w:szCs w:val="20"/>
        </w:rPr>
      </w:pPr>
      <w:r>
        <w:t>N/A</w:t>
      </w:r>
    </w:p>
    <w:p w14:paraId="469DB629" w14:textId="77777777" w:rsidR="00EA0E25" w:rsidRPr="00154B00" w:rsidRDefault="00EA0E25" w:rsidP="00530204">
      <w:pPr>
        <w:pStyle w:val="Heading2"/>
      </w:pPr>
      <w:r>
        <w:t xml:space="preserve">If applicable, specify any proposed limitations on who might deliver the proposed medical service, or who </w:t>
      </w:r>
      <w:r w:rsidR="00AE1188">
        <w:t>might provide a referral for it:</w:t>
      </w:r>
    </w:p>
    <w:p w14:paraId="1F0311C0" w14:textId="16460279" w:rsidR="00EA0E25" w:rsidRPr="00154B00" w:rsidRDefault="00A8241C" w:rsidP="00BC424B">
      <w:pPr>
        <w:ind w:left="426"/>
        <w:rPr>
          <w:szCs w:val="20"/>
        </w:rPr>
      </w:pPr>
      <w:r w:rsidRPr="009F2DDF">
        <w:t>Nephrologists, metabolic specialists,</w:t>
      </w:r>
      <w:r w:rsidR="005C50BF" w:rsidRPr="009F2DDF">
        <w:t xml:space="preserve"> general physician, clinical geneticist</w:t>
      </w:r>
    </w:p>
    <w:p w14:paraId="3BEF92BD" w14:textId="77777777" w:rsidR="00EA0E25" w:rsidRPr="00154B00" w:rsidRDefault="00EA0E25" w:rsidP="00530204">
      <w:pPr>
        <w:pStyle w:val="Heading2"/>
      </w:pPr>
      <w:r>
        <w:t xml:space="preserve">If applicable, advise what type of training </w:t>
      </w:r>
      <w:r w:rsidR="009C03FB">
        <w:t xml:space="preserve">or qualifications </w:t>
      </w:r>
      <w:r>
        <w:t xml:space="preserve">would be required to perform the </w:t>
      </w:r>
      <w:r w:rsidR="007522E3">
        <w:t xml:space="preserve">proposed </w:t>
      </w:r>
      <w:r>
        <w:t>service</w:t>
      </w:r>
      <w:r w:rsidR="003904AC">
        <w:t>,</w:t>
      </w:r>
      <w:r w:rsidR="00257FF2">
        <w:t xml:space="preserve"> as well as any accreditation requirements to suppor</w:t>
      </w:r>
      <w:r w:rsidR="009C03FB">
        <w:t xml:space="preserve">t </w:t>
      </w:r>
      <w:r w:rsidR="00257FF2">
        <w:t>service</w:t>
      </w:r>
      <w:r w:rsidR="009C03FB">
        <w:t xml:space="preserve"> delivery</w:t>
      </w:r>
      <w:r w:rsidR="00AE1188">
        <w:t>:</w:t>
      </w:r>
    </w:p>
    <w:p w14:paraId="217F99D2" w14:textId="4006476B" w:rsidR="00187188" w:rsidRPr="00187188" w:rsidRDefault="24A2813A" w:rsidP="00187188">
      <w:pPr>
        <w:ind w:left="360"/>
        <w:rPr>
          <w:rFonts w:eastAsia="Times New Roman" w:cs="Times New Roman"/>
        </w:rPr>
      </w:pPr>
      <w:r w:rsidRPr="009F2DDF">
        <w:rPr>
          <w:rFonts w:eastAsia="Times New Roman" w:cs="Times New Roman"/>
        </w:rPr>
        <w:t xml:space="preserve">Current legislative requirements stipulate that Medicare-eligible MRI items must be reported on by a trained and credentialed specialist in diagnostic radiology. The specialist radiologist must be able to satisfy the Chief Executive Medicare that they are a participant in the RANZCR Quality and Accreditation Program </w:t>
      </w:r>
      <w:r w:rsidRPr="009F2DDF">
        <w:rPr>
          <w:rFonts w:eastAsia="Times New Roman" w:cs="Times New Roman"/>
        </w:rPr>
        <w:lastRenderedPageBreak/>
        <w:t xml:space="preserve">(Health Insurance Regulation 2013 – 2.5.4 – Eligible Providers) (Australian Government 2013).  These legislative requirements will also apply to the proposed </w:t>
      </w:r>
      <w:r w:rsidR="72B40991" w:rsidRPr="009F2DDF">
        <w:rPr>
          <w:rFonts w:eastAsia="Times New Roman" w:cs="Times New Roman"/>
        </w:rPr>
        <w:t>abdominal</w:t>
      </w:r>
      <w:r w:rsidRPr="009F2DDF">
        <w:rPr>
          <w:rFonts w:eastAsia="Times New Roman" w:cs="Times New Roman"/>
        </w:rPr>
        <w:t xml:space="preserve"> MRI item.</w:t>
      </w:r>
      <w:r w:rsidRPr="4AC5FA4E">
        <w:rPr>
          <w:rFonts w:eastAsia="Times New Roman" w:cs="Times New Roman"/>
        </w:rPr>
        <w:t xml:space="preserve"> </w:t>
      </w:r>
    </w:p>
    <w:p w14:paraId="2BB3DC09" w14:textId="77777777" w:rsidR="005F3F07" w:rsidRDefault="005C3AE7" w:rsidP="00530204">
      <w:pPr>
        <w:pStyle w:val="Heading2"/>
      </w:pPr>
      <w:r>
        <w:t xml:space="preserve">(a) </w:t>
      </w:r>
      <w:r w:rsidR="005F3F07">
        <w:t>Indicate the proposed setting</w:t>
      </w:r>
      <w:r w:rsidR="00D30BDC">
        <w:t>(</w:t>
      </w:r>
      <w:r w:rsidR="005F3F07">
        <w:t>s</w:t>
      </w:r>
      <w:r w:rsidR="00D30BDC">
        <w:t>)</w:t>
      </w:r>
      <w:r w:rsidR="005F3F07">
        <w:t xml:space="preserve"> in which the proposed medical service will be delivered</w:t>
      </w:r>
      <w:r w:rsidR="00D30BDC">
        <w:t xml:space="preserve"> (select </w:t>
      </w:r>
      <w:r w:rsidR="0079354C" w:rsidRPr="279866A2">
        <w:rPr>
          <w:u w:val="single"/>
        </w:rPr>
        <w:t>ALL</w:t>
      </w:r>
      <w:r w:rsidR="0079354C">
        <w:t xml:space="preserve"> </w:t>
      </w:r>
      <w:r w:rsidR="00D30BDC">
        <w:t>relevant settings)</w:t>
      </w:r>
      <w:r w:rsidR="00AE1188">
        <w:t>:</w:t>
      </w:r>
    </w:p>
    <w:p w14:paraId="0375B36D" w14:textId="07A81933" w:rsidR="27F453D9" w:rsidRDefault="27F453D9" w:rsidP="00D6440D">
      <w:pPr>
        <w:ind w:left="360"/>
        <w:rPr>
          <w:szCs w:val="20"/>
        </w:rPr>
      </w:pPr>
      <w:r w:rsidRPr="5245AE3E">
        <w:rPr>
          <w:szCs w:val="20"/>
        </w:rPr>
        <w:t>Public radiology service</w:t>
      </w:r>
    </w:p>
    <w:p w14:paraId="5C52BF16" w14:textId="6F3B5BED" w:rsidR="27F453D9" w:rsidRDefault="27F453D9" w:rsidP="00D6440D">
      <w:pPr>
        <w:ind w:left="360"/>
        <w:rPr>
          <w:szCs w:val="20"/>
        </w:rPr>
      </w:pPr>
      <w:r w:rsidRPr="5245AE3E">
        <w:rPr>
          <w:szCs w:val="20"/>
        </w:rPr>
        <w:t>Private radiology service</w:t>
      </w:r>
    </w:p>
    <w:p w14:paraId="63E57C75" w14:textId="04CD90C8" w:rsidR="27F453D9" w:rsidRDefault="27F453D9" w:rsidP="00D6440D">
      <w:pPr>
        <w:ind w:left="360"/>
        <w:rPr>
          <w:szCs w:val="20"/>
        </w:rPr>
      </w:pPr>
      <w:r>
        <w:fldChar w:fldCharType="begin"/>
      </w:r>
      <w:r>
        <w:instrText>FORMCHECKBOX</w:instrText>
      </w:r>
      <w:r w:rsidR="000F1E2E">
        <w:fldChar w:fldCharType="separate"/>
      </w:r>
      <w:r>
        <w:fldChar w:fldCharType="end"/>
      </w:r>
      <w:r>
        <w:t>Inpatient public hospital (admitted patient)</w:t>
      </w:r>
    </w:p>
    <w:p w14:paraId="52BBEE74" w14:textId="3AFA56B8" w:rsidR="000A478F" w:rsidRPr="009F2DDF" w:rsidRDefault="000A478F" w:rsidP="00D6440D">
      <w:pPr>
        <w:spacing w:before="0" w:after="0"/>
        <w:ind w:left="360"/>
      </w:pPr>
      <w:r w:rsidRPr="009F2DDF">
        <w:t>Inpatient private hospital</w:t>
      </w:r>
      <w:r w:rsidR="0079354C" w:rsidRPr="009F2DDF">
        <w:t xml:space="preserve"> (admitted patient)</w:t>
      </w:r>
    </w:p>
    <w:p w14:paraId="565C4AA7" w14:textId="4BA25465" w:rsidR="000A478F" w:rsidRPr="009F2DDF" w:rsidRDefault="000A478F" w:rsidP="279866A2">
      <w:pPr>
        <w:spacing w:before="0" w:after="0"/>
        <w:ind w:left="426"/>
      </w:pPr>
    </w:p>
    <w:p w14:paraId="4758790C" w14:textId="2D8C713F" w:rsidR="003433D1" w:rsidRPr="009F2DDF" w:rsidRDefault="00E048ED" w:rsidP="5245AE3E">
      <w:pPr>
        <w:pStyle w:val="ListParagraph"/>
        <w:numPr>
          <w:ilvl w:val="0"/>
          <w:numId w:val="23"/>
        </w:numPr>
        <w:spacing w:before="0" w:after="0"/>
        <w:rPr>
          <w:rFonts w:eastAsiaTheme="minorEastAsia"/>
          <w:b/>
          <w:szCs w:val="20"/>
        </w:rPr>
      </w:pPr>
      <w:r w:rsidRPr="26490F5F">
        <w:rPr>
          <w:b/>
          <w:bCs/>
        </w:rPr>
        <w:t>Where the proposed medical service is provided in more than one setting, please describ</w:t>
      </w:r>
      <w:r w:rsidR="00AE1188" w:rsidRPr="26490F5F">
        <w:rPr>
          <w:b/>
          <w:bCs/>
        </w:rPr>
        <w:t>e the rationale related to each:</w:t>
      </w:r>
    </w:p>
    <w:p w14:paraId="4B29AC16" w14:textId="22AAC3A1" w:rsidR="39EE2DDF" w:rsidRDefault="39EE2DDF" w:rsidP="00D6440D">
      <w:pPr>
        <w:ind w:left="360"/>
      </w:pPr>
      <w:r>
        <w:t xml:space="preserve">MRI is available in the radiology departments of </w:t>
      </w:r>
      <w:r w:rsidR="59AFF0D8">
        <w:t xml:space="preserve">most </w:t>
      </w:r>
      <w:r>
        <w:t>hospitals</w:t>
      </w:r>
      <w:r w:rsidR="6DC7030A">
        <w:t xml:space="preserve"> including some day hospitals, and in some </w:t>
      </w:r>
      <w:r w:rsidR="3886C731">
        <w:t>clinics</w:t>
      </w:r>
      <w:r w:rsidR="4FBC0A8B">
        <w:t xml:space="preserve"> and imaging centres, </w:t>
      </w:r>
      <w:proofErr w:type="gramStart"/>
      <w:r w:rsidR="4FBC0A8B">
        <w:t>This</w:t>
      </w:r>
      <w:proofErr w:type="gramEnd"/>
      <w:r w:rsidR="4FBC0A8B">
        <w:t xml:space="preserve"> application relates to </w:t>
      </w:r>
      <w:r w:rsidR="5A9CF255">
        <w:t>t</w:t>
      </w:r>
      <w:r w:rsidR="4FBC0A8B">
        <w:t>he</w:t>
      </w:r>
      <w:r w:rsidR="191D6125">
        <w:t xml:space="preserve"> </w:t>
      </w:r>
      <w:r w:rsidR="4FBC0A8B">
        <w:t xml:space="preserve">provision of the MRI service in any </w:t>
      </w:r>
      <w:r w:rsidR="58668984">
        <w:t>of these pre-existing service centres.</w:t>
      </w:r>
    </w:p>
    <w:p w14:paraId="291DFD4A" w14:textId="77777777" w:rsidR="003E30FB" w:rsidRDefault="003E30FB" w:rsidP="00530204">
      <w:pPr>
        <w:pStyle w:val="Heading2"/>
      </w:pPr>
      <w:r>
        <w:t>Is the proposed medical service intended to be entirely rendered in Australia?</w:t>
      </w:r>
    </w:p>
    <w:p w14:paraId="5836DFAF" w14:textId="0167F5F8" w:rsidR="000A478F" w:rsidRPr="00A11B6C" w:rsidRDefault="002E4E49" w:rsidP="000A478F">
      <w:pPr>
        <w:spacing w:before="0" w:after="0"/>
        <w:ind w:left="426"/>
      </w:pPr>
      <w:r w:rsidRPr="00205FAB">
        <w:rPr>
          <w:szCs w:val="20"/>
        </w:rPr>
        <w:fldChar w:fldCharType="begin">
          <w:ffData>
            <w:name w:val=""/>
            <w:enabled/>
            <w:calcOnExit w:val="0"/>
            <w:checkBox>
              <w:sizeAuto/>
              <w:default w:val="1"/>
            </w:checkBox>
          </w:ffData>
        </w:fldChar>
      </w:r>
      <w:r w:rsidRPr="00A11B6C">
        <w:rPr>
          <w:szCs w:val="20"/>
        </w:rPr>
        <w:instrText xml:space="preserve"> FORMCHECKBOX </w:instrText>
      </w:r>
      <w:r w:rsidR="000F1E2E">
        <w:rPr>
          <w:szCs w:val="20"/>
        </w:rPr>
      </w:r>
      <w:r w:rsidR="000F1E2E">
        <w:rPr>
          <w:szCs w:val="20"/>
        </w:rPr>
        <w:fldChar w:fldCharType="separate"/>
      </w:r>
      <w:r w:rsidRPr="00205FAB">
        <w:rPr>
          <w:szCs w:val="20"/>
        </w:rPr>
        <w:fldChar w:fldCharType="end"/>
      </w:r>
      <w:r w:rsidR="000A478F" w:rsidRPr="00A11B6C">
        <w:t xml:space="preserve"> </w:t>
      </w:r>
      <w:r w:rsidR="000A478F" w:rsidRPr="00205FAB">
        <w:t>Yes</w:t>
      </w:r>
    </w:p>
    <w:p w14:paraId="1F72F646" w14:textId="7FE14D75" w:rsidR="000A478F" w:rsidRPr="00753C44" w:rsidRDefault="000A478F" w:rsidP="4AC5FA4E">
      <w:pPr>
        <w:spacing w:before="0" w:after="0"/>
        <w:ind w:left="426"/>
        <w:rPr>
          <w:b/>
          <w:bCs/>
          <w:i/>
          <w:iCs/>
          <w:u w:val="single"/>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F1E2E">
        <w:rPr>
          <w:szCs w:val="20"/>
        </w:rPr>
      </w:r>
      <w:r w:rsidR="000F1E2E">
        <w:rPr>
          <w:szCs w:val="20"/>
        </w:rPr>
        <w:fldChar w:fldCharType="separate"/>
      </w:r>
      <w:r w:rsidRPr="00753C44">
        <w:rPr>
          <w:szCs w:val="20"/>
        </w:rPr>
        <w:fldChar w:fldCharType="end"/>
      </w:r>
      <w:r w:rsidR="0BF45557" w:rsidRPr="4AC5FA4E">
        <w:t xml:space="preserve"> </w:t>
      </w:r>
    </w:p>
    <w:p w14:paraId="5D4FAF10" w14:textId="77777777" w:rsidR="00E60529" w:rsidRPr="00881F93" w:rsidRDefault="005C3AE7" w:rsidP="00D6440D">
      <w:pPr>
        <w:pStyle w:val="Subtitle"/>
        <w:ind w:left="0"/>
      </w:pPr>
      <w:r>
        <w:t xml:space="preserve">PART 6c – </w:t>
      </w:r>
      <w:r w:rsidR="00E60529" w:rsidRPr="00881F93">
        <w:t>INFORMATION ABOUT THE COMPARATOR</w:t>
      </w:r>
      <w:r w:rsidR="00A83EC6" w:rsidRPr="00881F93">
        <w:t>(S)</w:t>
      </w:r>
    </w:p>
    <w:p w14:paraId="6B1DC4A1" w14:textId="77777777" w:rsidR="00E60529" w:rsidRPr="00154B00" w:rsidRDefault="00A83EC6" w:rsidP="00530204">
      <w:pPr>
        <w:pStyle w:val="Heading2"/>
      </w:pPr>
      <w:r>
        <w:t>Nominate the appropriate comparator(s) for the proposed medical service</w:t>
      </w:r>
      <w:r w:rsidR="00BF6497">
        <w:t xml:space="preserve"> (</w:t>
      </w:r>
      <w:r w:rsidR="00757232">
        <w:t>i</w:t>
      </w:r>
      <w:r w:rsidR="00D30BDC">
        <w:t>.</w:t>
      </w:r>
      <w:r w:rsidR="000159B9">
        <w:t xml:space="preserve">e. how is the proposed population currently managed in </w:t>
      </w:r>
      <w:r w:rsidR="00707D4D">
        <w:t>the</w:t>
      </w:r>
      <w:r w:rsidR="000159B9">
        <w:t xml:space="preserve"> absence of the proposed medical service </w:t>
      </w:r>
      <w:r w:rsidR="00257FF2">
        <w:t xml:space="preserve">being available in the </w:t>
      </w:r>
      <w:r w:rsidR="00257FF2" w:rsidRPr="279866A2">
        <w:rPr>
          <w:u w:val="single"/>
        </w:rPr>
        <w:t>Australian health care system</w:t>
      </w:r>
      <w:r w:rsidR="00BF6497" w:rsidRPr="279866A2">
        <w:rPr>
          <w:u w:val="single"/>
        </w:rPr>
        <w:t>)</w:t>
      </w:r>
      <w:r w:rsidR="00BF6497">
        <w:t>. This includes</w:t>
      </w:r>
      <w:r w:rsidR="00757232">
        <w:t xml:space="preserve"> </w:t>
      </w:r>
      <w:r w:rsidR="00257FF2">
        <w:t>identify</w:t>
      </w:r>
      <w:r w:rsidR="00757232">
        <w:t>ing</w:t>
      </w:r>
      <w:r w:rsidR="00E4321E">
        <w:t xml:space="preserve"> health care resources that </w:t>
      </w:r>
      <w:r w:rsidR="00257FF2">
        <w:t xml:space="preserve">are </w:t>
      </w:r>
      <w:r w:rsidR="00E4321E">
        <w:t>need</w:t>
      </w:r>
      <w:r w:rsidR="00757232">
        <w:t>ed</w:t>
      </w:r>
      <w:r w:rsidR="00E4321E">
        <w:t xml:space="preserve"> to be delivered at </w:t>
      </w:r>
      <w:r w:rsidR="00257FF2">
        <w:t xml:space="preserve">the </w:t>
      </w:r>
      <w:r w:rsidR="00E4321E">
        <w:t xml:space="preserve">same time </w:t>
      </w:r>
      <w:r w:rsidR="00257FF2">
        <w:t>as the</w:t>
      </w:r>
      <w:r w:rsidR="00E4321E">
        <w:t xml:space="preserve"> </w:t>
      </w:r>
      <w:r w:rsidR="00257FF2">
        <w:t xml:space="preserve">comparator </w:t>
      </w:r>
      <w:r w:rsidR="00E4321E">
        <w:t>service</w:t>
      </w:r>
      <w:r w:rsidR="00257FF2">
        <w:t>)</w:t>
      </w:r>
      <w:r w:rsidR="00AE1188">
        <w:t>:</w:t>
      </w:r>
    </w:p>
    <w:p w14:paraId="0E1BB9D4" w14:textId="66703696" w:rsidR="00E60529" w:rsidRPr="008B335B" w:rsidRDefault="00F546D6" w:rsidP="001B29A1">
      <w:pPr>
        <w:ind w:left="426"/>
      </w:pPr>
      <w:r w:rsidRPr="008B335B">
        <w:t>Ultrasound</w:t>
      </w:r>
    </w:p>
    <w:p w14:paraId="4AE898CB" w14:textId="571EB318" w:rsidR="00F546D6" w:rsidRPr="008B335B" w:rsidRDefault="00F546D6" w:rsidP="001B29A1">
      <w:pPr>
        <w:ind w:left="426"/>
      </w:pPr>
      <w:r w:rsidRPr="008B335B">
        <w:t>CT</w:t>
      </w:r>
    </w:p>
    <w:p w14:paraId="00D5E2C7" w14:textId="2A9BD202" w:rsidR="00F546D6" w:rsidRPr="008B335B" w:rsidRDefault="00F546D6" w:rsidP="001B29A1">
      <w:pPr>
        <w:ind w:left="426"/>
      </w:pPr>
      <w:r w:rsidRPr="008B335B">
        <w:t>No imaging because patient can’t afford out of pocket costs</w:t>
      </w:r>
    </w:p>
    <w:p w14:paraId="0AE984C1" w14:textId="77777777" w:rsidR="00757232" w:rsidRDefault="00AF5D1E" w:rsidP="00530204">
      <w:pPr>
        <w:pStyle w:val="Heading2"/>
      </w:pPr>
      <w:r>
        <w:t xml:space="preserve">Does the medical service </w:t>
      </w:r>
      <w:r w:rsidR="003904AC">
        <w:t>(</w:t>
      </w:r>
      <w:r>
        <w:t>that has been nominated as the comparator</w:t>
      </w:r>
      <w:r w:rsidR="003904AC">
        <w:t>)</w:t>
      </w:r>
      <w:r w:rsidR="000159B9">
        <w:t xml:space="preserve"> </w:t>
      </w:r>
      <w:r>
        <w:t>have an existing MBS item number</w:t>
      </w:r>
      <w:r w:rsidR="00D30BDC">
        <w:t>(s)</w:t>
      </w:r>
      <w:r w:rsidR="00757232">
        <w:t>?</w:t>
      </w:r>
    </w:p>
    <w:p w14:paraId="61C0B3A5" w14:textId="7279CEC6" w:rsidR="006A1038" w:rsidRDefault="00F01E80"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0F1E2E">
        <w:rPr>
          <w:szCs w:val="20"/>
        </w:rPr>
      </w:r>
      <w:r w:rsidR="000F1E2E">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4BCBCE9A"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0F1E2E">
        <w:rPr>
          <w:szCs w:val="20"/>
        </w:rPr>
      </w:r>
      <w:r w:rsidR="000F1E2E">
        <w:rPr>
          <w:szCs w:val="20"/>
        </w:rPr>
        <w:fldChar w:fldCharType="separate"/>
      </w:r>
      <w:r w:rsidRPr="00753C44">
        <w:rPr>
          <w:szCs w:val="20"/>
        </w:rPr>
        <w:fldChar w:fldCharType="end"/>
      </w:r>
      <w:r>
        <w:rPr>
          <w:szCs w:val="20"/>
        </w:rPr>
        <w:t xml:space="preserve"> No  </w:t>
      </w:r>
    </w:p>
    <w:p w14:paraId="134AE938" w14:textId="689496D5" w:rsidR="000159B9" w:rsidRDefault="00F01E80" w:rsidP="001B29A1">
      <w:pPr>
        <w:ind w:left="426"/>
      </w:pPr>
      <w:r>
        <w:t>Abdominal Ultrasound 55036</w:t>
      </w:r>
    </w:p>
    <w:p w14:paraId="05DA4C7F" w14:textId="01657DF7" w:rsidR="00A67BDB" w:rsidRPr="00D6440D" w:rsidRDefault="00A67BDB" w:rsidP="00D6440D">
      <w:pPr>
        <w:ind w:left="426"/>
      </w:pPr>
      <w:r>
        <w:rPr>
          <w:rStyle w:val="normaltextrun"/>
          <w:rFonts w:ascii="Calibri" w:hAnsi="Calibri" w:cs="Calibri"/>
          <w:szCs w:val="20"/>
        </w:rPr>
        <w:t>Multiphase abdominal CT scan (MBS items 56401 or 56507</w:t>
      </w:r>
      <w:proofErr w:type="gramStart"/>
      <w:r>
        <w:rPr>
          <w:rStyle w:val="normaltextrun"/>
          <w:rFonts w:ascii="Arial" w:hAnsi="Arial" w:cs="Arial"/>
          <w:szCs w:val="20"/>
        </w:rPr>
        <w:t>);</w:t>
      </w:r>
      <w:proofErr w:type="gramEnd"/>
      <w:r>
        <w:rPr>
          <w:rStyle w:val="eop"/>
          <w:rFonts w:ascii="Arial" w:hAnsi="Arial" w:cs="Arial"/>
          <w:szCs w:val="20"/>
        </w:rPr>
        <w:t> </w:t>
      </w:r>
    </w:p>
    <w:p w14:paraId="24A9E60B" w14:textId="77777777" w:rsidR="00A83EC6" w:rsidRPr="00154B00" w:rsidRDefault="0008323F" w:rsidP="00530204">
      <w:pPr>
        <w:pStyle w:val="Heading2"/>
      </w:pPr>
      <w:r>
        <w:t xml:space="preserve"> </w:t>
      </w:r>
      <w:r w:rsidR="005C3AE7">
        <w:t xml:space="preserve">(a) </w:t>
      </w:r>
      <w:r w:rsidR="00CD7A7D">
        <w:t xml:space="preserve">Will </w:t>
      </w:r>
      <w:r w:rsidR="00A83EC6">
        <w:t>the proposed medical service</w:t>
      </w:r>
      <w:r w:rsidR="00095B45">
        <w:t>/technology</w:t>
      </w:r>
      <w:r w:rsidR="00A83EC6">
        <w:t xml:space="preserve"> be used in addition to, or instead of, the nominated comparator(s)</w:t>
      </w:r>
      <w:r w:rsidR="00D30BDC">
        <w:t>?</w:t>
      </w:r>
    </w:p>
    <w:p w14:paraId="1C4B5FA8" w14:textId="77777777" w:rsidR="001B29A1" w:rsidRDefault="001B29A1" w:rsidP="001B29A1">
      <w:pPr>
        <w:spacing w:before="0" w:after="0"/>
        <w:ind w:left="426"/>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0F1E2E">
        <w:rPr>
          <w:szCs w:val="20"/>
        </w:rPr>
      </w:r>
      <w:r w:rsidR="000F1E2E">
        <w:rPr>
          <w:szCs w:val="20"/>
        </w:rPr>
        <w:fldChar w:fldCharType="separate"/>
      </w:r>
      <w:r w:rsidRPr="00753C44">
        <w:rPr>
          <w:szCs w:val="20"/>
        </w:rPr>
        <w:fldChar w:fldCharType="end"/>
      </w:r>
      <w:r w:rsidR="11D6B999">
        <w:rPr>
          <w:szCs w:val="20"/>
        </w:rPr>
        <w:t xml:space="preserve"> </w:t>
      </w:r>
    </w:p>
    <w:p w14:paraId="2CA94BAD" w14:textId="31C98202" w:rsidR="001B29A1" w:rsidRDefault="00425460" w:rsidP="001B29A1">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0F1E2E">
        <w:rPr>
          <w:szCs w:val="20"/>
        </w:rPr>
      </w:r>
      <w:r w:rsidR="000F1E2E">
        <w:rPr>
          <w:szCs w:val="20"/>
        </w:rPr>
        <w:fldChar w:fldCharType="separate"/>
      </w:r>
      <w:r>
        <w:rPr>
          <w:szCs w:val="20"/>
        </w:rPr>
        <w:fldChar w:fldCharType="end"/>
      </w:r>
      <w:r w:rsidR="11D6B999">
        <w:rPr>
          <w:szCs w:val="20"/>
        </w:rPr>
        <w:t xml:space="preserve"> </w:t>
      </w:r>
      <w:r w:rsidR="0FCC28CE" w:rsidRPr="4AC5FA4E">
        <w:t xml:space="preserve">Instead of </w:t>
      </w:r>
    </w:p>
    <w:p w14:paraId="1B5A522F" w14:textId="77777777" w:rsidR="00E70D86" w:rsidRPr="00154B00" w:rsidRDefault="00095B45" w:rsidP="00C575B2">
      <w:pPr>
        <w:pStyle w:val="Heading2"/>
        <w:numPr>
          <w:ilvl w:val="0"/>
          <w:numId w:val="10"/>
        </w:numPr>
      </w:pPr>
      <w:r w:rsidRPr="00095B45">
        <w:t>If yes, please outline the extent to which the current service/comparator is expected to be substituted</w:t>
      </w:r>
    </w:p>
    <w:p w14:paraId="73C91EB3" w14:textId="5B28169E" w:rsidR="003433D1" w:rsidRPr="001B29A1" w:rsidRDefault="00DC42C4" w:rsidP="001B29A1">
      <w:pPr>
        <w:ind w:left="426"/>
        <w:rPr>
          <w:szCs w:val="20"/>
        </w:rPr>
      </w:pPr>
      <w:r>
        <w:t xml:space="preserve">The service will routinely </w:t>
      </w:r>
      <w:proofErr w:type="spellStart"/>
      <w:r>
        <w:t>used</w:t>
      </w:r>
      <w:proofErr w:type="spellEnd"/>
      <w:r>
        <w:t xml:space="preserve"> instead of comparator</w:t>
      </w:r>
      <w:r w:rsidR="005D735F">
        <w:t>s</w:t>
      </w:r>
      <w:r>
        <w:t xml:space="preserve"> in line with international guidelines that </w:t>
      </w:r>
      <w:r w:rsidR="00465A44">
        <w:t>MRI is clinically superior in diagnosis and management of the TSC and other rare genetic conditions with increased risk of kidney tumours.</w:t>
      </w:r>
    </w:p>
    <w:p w14:paraId="08CE6F91" w14:textId="77777777" w:rsidR="002053F2" w:rsidRPr="00154B00" w:rsidRDefault="002053F2" w:rsidP="00D10B47">
      <w:pPr>
        <w:pStyle w:val="ListParagraph"/>
        <w:ind w:left="360"/>
        <w:rPr>
          <w:b/>
          <w:szCs w:val="20"/>
        </w:rPr>
      </w:pPr>
    </w:p>
    <w:p w14:paraId="61CDCEAD" w14:textId="77777777" w:rsidR="001B29A1" w:rsidRDefault="001B29A1" w:rsidP="00881F93">
      <w:pPr>
        <w:rPr>
          <w:b/>
          <w:i/>
          <w:szCs w:val="20"/>
          <w:u w:val="single"/>
        </w:rPr>
      </w:pPr>
      <w:r>
        <w:rPr>
          <w:b/>
          <w:i/>
          <w:szCs w:val="20"/>
          <w:u w:val="single"/>
        </w:rPr>
        <w:br w:type="page"/>
      </w:r>
    </w:p>
    <w:p w14:paraId="13C4A299" w14:textId="77777777" w:rsidR="00DF0D47" w:rsidRPr="00881F93" w:rsidRDefault="00095B45" w:rsidP="00D6440D">
      <w:pPr>
        <w:pStyle w:val="Subtitle"/>
        <w:ind w:left="0"/>
      </w:pPr>
      <w:r w:rsidRPr="00095B45">
        <w:lastRenderedPageBreak/>
        <w:t xml:space="preserve">PART 6c </w:t>
      </w:r>
      <w:proofErr w:type="gramStart"/>
      <w:r w:rsidRPr="00095B45">
        <w:t>CONTINUED  –</w:t>
      </w:r>
      <w:proofErr w:type="gramEnd"/>
      <w:r w:rsidRPr="00095B45">
        <w:t xml:space="preserve"> INFORMATION ABOUT ALGORITHMS (CLINICAL MANAGEMENT PATHWAYS)</w:t>
      </w:r>
      <w:r w:rsidR="008D1A4B">
        <w:t>s</w:t>
      </w:r>
    </w:p>
    <w:p w14:paraId="15F97E2B" w14:textId="038E91E9" w:rsidR="00095B45" w:rsidRPr="00154B00" w:rsidRDefault="670E96F3" w:rsidP="00095B45">
      <w:pPr>
        <w:pStyle w:val="Heading2"/>
      </w:pPr>
      <w:r>
        <w:t xml:space="preserve">Define and summarise the CURRENT clinical management pathway (algorithm) that patients follow when they receive the COMPARATOR service (i.e. the landscape </w:t>
      </w:r>
      <w:r w:rsidRPr="0974DC26">
        <w:rPr>
          <w:u w:val="single"/>
        </w:rPr>
        <w:t>before</w:t>
      </w:r>
      <w:r>
        <w:t xml:space="preserve"> the proposed service is introduced). An easy-to-follow flowchart is preferred, depicting the current </w:t>
      </w:r>
      <w:r w:rsidRPr="0974DC26">
        <w:rPr>
          <w:u w:val="single"/>
        </w:rPr>
        <w:t>clinical management pathway</w:t>
      </w:r>
      <w:r>
        <w:t xml:space="preserve">), but dot-points would be acceptable. Please include health care resources used in the current landscape (e.g. pharmaceuticals, </w:t>
      </w:r>
      <w:proofErr w:type="gramStart"/>
      <w:r>
        <w:t>diagnostics</w:t>
      </w:r>
      <w:proofErr w:type="gramEnd"/>
      <w:r>
        <w:t xml:space="preserve"> and investigative services, </w:t>
      </w:r>
      <w:r w:rsidR="569B1477">
        <w:t>etc.</w:t>
      </w:r>
      <w:r>
        <w:t xml:space="preserve">). </w:t>
      </w:r>
    </w:p>
    <w:p w14:paraId="6BB9E253" w14:textId="75364C71" w:rsidR="00095B45" w:rsidRPr="00095B45" w:rsidRDefault="59C7B1EA" w:rsidP="0974DC26">
      <w:pPr>
        <w:pStyle w:val="ListParagraph"/>
        <w:ind w:left="360"/>
        <w:rPr>
          <w:szCs w:val="20"/>
        </w:rPr>
      </w:pPr>
      <w:r>
        <w:rPr>
          <w:noProof/>
          <w:lang w:val="en-US"/>
        </w:rPr>
        <w:drawing>
          <wp:inline distT="0" distB="0" distL="0" distR="0" wp14:anchorId="6241C578" wp14:editId="19506AE0">
            <wp:extent cx="4991102" cy="4497127"/>
            <wp:effectExtent l="0" t="0" r="0" b="0"/>
            <wp:docPr id="417205645" name="Picture 41720564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05645" name="Picture 417205645" descr="Picture"/>
                    <pic:cNvPicPr/>
                  </pic:nvPicPr>
                  <pic:blipFill>
                    <a:blip r:embed="rId18">
                      <a:extLst>
                        <a:ext uri="{28A0092B-C50C-407E-A947-70E740481C1C}">
                          <a14:useLocalDpi xmlns:a14="http://schemas.microsoft.com/office/drawing/2010/main" val="0"/>
                        </a:ext>
                      </a:extLst>
                    </a:blip>
                    <a:stretch>
                      <a:fillRect/>
                    </a:stretch>
                  </pic:blipFill>
                  <pic:spPr>
                    <a:xfrm>
                      <a:off x="0" y="0"/>
                      <a:ext cx="4991102" cy="4497127"/>
                    </a:xfrm>
                    <a:prstGeom prst="rect">
                      <a:avLst/>
                    </a:prstGeom>
                  </pic:spPr>
                </pic:pic>
              </a:graphicData>
            </a:graphic>
          </wp:inline>
        </w:drawing>
      </w:r>
    </w:p>
    <w:p w14:paraId="0E5C6543" w14:textId="77777777" w:rsidR="00095B45" w:rsidRDefault="00095B45" w:rsidP="00095B45">
      <w:pPr>
        <w:pStyle w:val="Heading2"/>
      </w:pPr>
      <w:r>
        <w:t xml:space="preserve">Define and summarise the PROPOSED clinical management pathway (algorithm) that patients would follow </w:t>
      </w:r>
      <w:r w:rsidRPr="279866A2">
        <w:rPr>
          <w:u w:val="single"/>
        </w:rPr>
        <w:t>after</w:t>
      </w:r>
      <w:r>
        <w:t xml:space="preserve"> the proposed service/technology is introduced, including variation in health care resources.</w:t>
      </w:r>
    </w:p>
    <w:p w14:paraId="23DE523C" w14:textId="0ABBAB50" w:rsidR="0047363C" w:rsidRPr="0047363C" w:rsidRDefault="0E8360E2" w:rsidP="0047363C">
      <w:pPr>
        <w:rPr>
          <w:szCs w:val="20"/>
        </w:rPr>
      </w:pPr>
      <w:r>
        <w:rPr>
          <w:noProof/>
          <w:lang w:val="en-US"/>
        </w:rPr>
        <w:lastRenderedPageBreak/>
        <w:drawing>
          <wp:inline distT="0" distB="0" distL="0" distR="0" wp14:anchorId="19ABB2FE" wp14:editId="0DFBCC35">
            <wp:extent cx="6057900" cy="3407569"/>
            <wp:effectExtent l="0" t="0" r="0" b="0"/>
            <wp:docPr id="615665274" name="Picture 61566527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65274" name="Picture 615665274" descr="Picture"/>
                    <pic:cNvPicPr/>
                  </pic:nvPicPr>
                  <pic:blipFill>
                    <a:blip r:embed="rId19">
                      <a:extLst>
                        <a:ext uri="{28A0092B-C50C-407E-A947-70E740481C1C}">
                          <a14:useLocalDpi xmlns:a14="http://schemas.microsoft.com/office/drawing/2010/main" val="0"/>
                        </a:ext>
                      </a:extLst>
                    </a:blip>
                    <a:stretch>
                      <a:fillRect/>
                    </a:stretch>
                  </pic:blipFill>
                  <pic:spPr>
                    <a:xfrm>
                      <a:off x="0" y="0"/>
                      <a:ext cx="6057900" cy="3407569"/>
                    </a:xfrm>
                    <a:prstGeom prst="rect">
                      <a:avLst/>
                    </a:prstGeom>
                  </pic:spPr>
                </pic:pic>
              </a:graphicData>
            </a:graphic>
          </wp:inline>
        </w:drawing>
      </w:r>
    </w:p>
    <w:p w14:paraId="45F16F7B" w14:textId="77777777" w:rsidR="00095B45" w:rsidRPr="00095B45" w:rsidRDefault="00095B45" w:rsidP="00D6440D">
      <w:pPr>
        <w:pStyle w:val="Subtitle"/>
        <w:ind w:left="0"/>
      </w:pPr>
      <w:r w:rsidRPr="00095B45">
        <w:t>PART 6d – INFORMATION ABOUT CLINICAL OUTCOMES</w:t>
      </w:r>
    </w:p>
    <w:p w14:paraId="2CB17FE8" w14:textId="77777777" w:rsidR="004E3CC7" w:rsidRPr="001B29A1" w:rsidRDefault="0070256F" w:rsidP="00530204">
      <w:pPr>
        <w:pStyle w:val="Heading2"/>
      </w:pPr>
      <w:r>
        <w:t>Summa</w:t>
      </w:r>
      <w:r w:rsidR="004E3CC7">
        <w:t>rise the clinical claims for the proposed medical service against the appropriate comparator(s), in terms of consequences for health outcomes</w:t>
      </w:r>
      <w:r w:rsidR="00CF5AD8">
        <w:t xml:space="preserve"> (</w:t>
      </w:r>
      <w:r w:rsidR="009F0C02">
        <w:t>comparative benefits and harms)</w:t>
      </w:r>
      <w:r w:rsidR="00AE1188">
        <w:t>:</w:t>
      </w:r>
    </w:p>
    <w:p w14:paraId="6ABCD831" w14:textId="0FD5BA10" w:rsidR="5245AE3E" w:rsidRPr="00D6440D" w:rsidRDefault="00D63381" w:rsidP="00D6440D">
      <w:pPr>
        <w:ind w:left="426"/>
      </w:pPr>
      <w:r>
        <w:t>The clinical utility of MRI of the abdomen for the identified population (patients with rare genetic conditions associated with increased risk of kidney tumours)</w:t>
      </w:r>
      <w:r w:rsidR="00B474DB">
        <w:t xml:space="preserve"> is based on International Treatment Guidelines that have considered evidence of </w:t>
      </w:r>
      <w:r w:rsidR="00FC31C4">
        <w:t xml:space="preserve">improved accuracy of abdominal MRI when compared with other diagnostic imaging mechanisms such as </w:t>
      </w:r>
      <w:r w:rsidR="00701409">
        <w:t>ultrasound and CT</w:t>
      </w:r>
      <w:r w:rsidR="77FCE6FC">
        <w:t>, and reduced exposure to repeated doses of ionizing radiation when compared to CT</w:t>
      </w:r>
      <w:r w:rsidR="00701409">
        <w:t>.</w:t>
      </w:r>
    </w:p>
    <w:p w14:paraId="6A33669D" w14:textId="154FC31E" w:rsidR="5245AE3E" w:rsidRDefault="7AC0AA5F" w:rsidP="00D6440D">
      <w:pPr>
        <w:ind w:left="426"/>
        <w:rPr>
          <w:szCs w:val="20"/>
        </w:rPr>
      </w:pPr>
      <w:r w:rsidRPr="5245AE3E">
        <w:rPr>
          <w:szCs w:val="20"/>
        </w:rPr>
        <w:t xml:space="preserve">In the case of tuberous sclerosis complex, serial screening with abdominal MRI allows for the early detection of renal </w:t>
      </w:r>
      <w:proofErr w:type="spellStart"/>
      <w:r w:rsidRPr="5245AE3E">
        <w:rPr>
          <w:szCs w:val="20"/>
        </w:rPr>
        <w:t>angiomyolipomas</w:t>
      </w:r>
      <w:proofErr w:type="spellEnd"/>
      <w:r w:rsidR="493BF3C0" w:rsidRPr="5245AE3E">
        <w:rPr>
          <w:szCs w:val="20"/>
        </w:rPr>
        <w:t xml:space="preserve"> (AMLs)</w:t>
      </w:r>
      <w:r w:rsidRPr="5245AE3E">
        <w:rPr>
          <w:szCs w:val="20"/>
        </w:rPr>
        <w:t xml:space="preserve"> and the acc</w:t>
      </w:r>
      <w:r w:rsidR="4C80A635" w:rsidRPr="5245AE3E">
        <w:rPr>
          <w:szCs w:val="20"/>
        </w:rPr>
        <w:t>urate assessment of growth over time.</w:t>
      </w:r>
      <w:r w:rsidR="371094D8" w:rsidRPr="5245AE3E">
        <w:rPr>
          <w:szCs w:val="20"/>
        </w:rPr>
        <w:t xml:space="preserve"> </w:t>
      </w:r>
      <w:r w:rsidR="690FF1EA" w:rsidRPr="5245AE3E">
        <w:rPr>
          <w:szCs w:val="20"/>
        </w:rPr>
        <w:t xml:space="preserve">It is recommended that AMLs larger than 3 cm in diameter be treated with an mTOR inhibitor (currently available on the PBS for this indication) to prevent catastrophic and </w:t>
      </w:r>
      <w:proofErr w:type="gramStart"/>
      <w:r w:rsidR="690FF1EA" w:rsidRPr="5245AE3E">
        <w:rPr>
          <w:szCs w:val="20"/>
        </w:rPr>
        <w:t>life th</w:t>
      </w:r>
      <w:r w:rsidR="2D973B5E" w:rsidRPr="5245AE3E">
        <w:rPr>
          <w:szCs w:val="20"/>
        </w:rPr>
        <w:t>reatening</w:t>
      </w:r>
      <w:proofErr w:type="gramEnd"/>
      <w:r w:rsidR="2D973B5E" w:rsidRPr="5245AE3E">
        <w:rPr>
          <w:szCs w:val="20"/>
        </w:rPr>
        <w:t xml:space="preserve"> spontaneous bleeding. The absence of screening will considerably increase the risk of sudden bleeding which may be fatal or require urgent intervention with renal a</w:t>
      </w:r>
      <w:r w:rsidR="6A02ECB6" w:rsidRPr="5245AE3E">
        <w:rPr>
          <w:szCs w:val="20"/>
        </w:rPr>
        <w:t xml:space="preserve">rtery embolization or nephrectomy that will result in the loss of renal tissue and chronic kidney impairment and/or kidney failure. Monitoring with an inferior modality such as ultrasound will increase the risk </w:t>
      </w:r>
      <w:r w:rsidR="3D0C64A9" w:rsidRPr="5245AE3E">
        <w:rPr>
          <w:szCs w:val="20"/>
        </w:rPr>
        <w:t xml:space="preserve">of inadequate treatment and monitoring with CT will increase exposure to ionizing radiation and associated risks of malignancy. </w:t>
      </w:r>
    </w:p>
    <w:p w14:paraId="3D65B01A" w14:textId="2FFD1E6E" w:rsidR="00701409" w:rsidRPr="00D6440D" w:rsidRDefault="3D0C64A9" w:rsidP="00D6440D">
      <w:pPr>
        <w:ind w:left="426"/>
        <w:rPr>
          <w:szCs w:val="20"/>
        </w:rPr>
      </w:pPr>
      <w:r w:rsidRPr="5245AE3E">
        <w:rPr>
          <w:szCs w:val="20"/>
        </w:rPr>
        <w:t>In the case of other inherited conditions at increased risk of renal tumours, early detection of malignant tumours through screening MRI will enable early diagnosis of tumours at a stage when curative surgical intervention</w:t>
      </w:r>
      <w:r w:rsidR="020276C7" w:rsidRPr="5245AE3E">
        <w:rPr>
          <w:szCs w:val="20"/>
        </w:rPr>
        <w:t xml:space="preserve"> is possible and without repeated exposure to ionizing radiation as would be the case with CT base screening programs. </w:t>
      </w:r>
      <w:r w:rsidR="6A02ECB6" w:rsidRPr="5245AE3E">
        <w:rPr>
          <w:szCs w:val="20"/>
        </w:rPr>
        <w:t xml:space="preserve"> </w:t>
      </w:r>
      <w:r w:rsidR="7C357BFC" w:rsidRPr="5245AE3E">
        <w:rPr>
          <w:szCs w:val="20"/>
        </w:rPr>
        <w:t xml:space="preserve"> </w:t>
      </w:r>
    </w:p>
    <w:p w14:paraId="6646DED8" w14:textId="77777777" w:rsidR="004E3CC7" w:rsidRDefault="0047363C" w:rsidP="00943A5E">
      <w:pPr>
        <w:pStyle w:val="Heading2"/>
      </w:pPr>
      <w:r>
        <w:t>Please state what the overall clinical claim is:</w:t>
      </w:r>
    </w:p>
    <w:p w14:paraId="2471FBA4" w14:textId="1C853535" w:rsidR="5245AE3E" w:rsidRPr="00D6440D" w:rsidRDefault="00701409" w:rsidP="00D6440D">
      <w:pPr>
        <w:ind w:left="426"/>
        <w:rPr>
          <w:noProof/>
        </w:rPr>
      </w:pPr>
      <w:r w:rsidRPr="5245AE3E">
        <w:rPr>
          <w:noProof/>
        </w:rPr>
        <w:t>Superiority</w:t>
      </w:r>
      <w:r w:rsidR="40BCC570" w:rsidRPr="5245AE3E">
        <w:rPr>
          <w:noProof/>
        </w:rPr>
        <w:t xml:space="preserve"> diagnostic test compared to existing funded imaging modalities with decreased adverse effects compared to CT. Overall benefit in </w:t>
      </w:r>
      <w:r w:rsidR="35515C1E" w:rsidRPr="5245AE3E">
        <w:rPr>
          <w:noProof/>
        </w:rPr>
        <w:t xml:space="preserve">mortality through reduction in catastrophic bleeding from AMLs and improved outcomes of malignant tumours through early diagnosis. </w:t>
      </w:r>
    </w:p>
    <w:p w14:paraId="24973654" w14:textId="77777777" w:rsidR="00D6440D" w:rsidRDefault="00D6440D">
      <w:pPr>
        <w:spacing w:before="0" w:after="200" w:line="276" w:lineRule="auto"/>
        <w:rPr>
          <w:b/>
          <w:szCs w:val="20"/>
        </w:rPr>
      </w:pPr>
      <w:r>
        <w:br w:type="page"/>
      </w:r>
    </w:p>
    <w:p w14:paraId="23C4948C" w14:textId="2D9E14F8" w:rsidR="00B25D20" w:rsidRDefault="00E6222F" w:rsidP="00943A5E">
      <w:pPr>
        <w:pStyle w:val="Heading2"/>
      </w:pPr>
      <w:r>
        <w:lastRenderedPageBreak/>
        <w:t xml:space="preserve">List the key health outcomes (major and minor – prioritising major key health outcomes first) that will need to be measured in assessing the clinical claim for the proposed </w:t>
      </w:r>
      <w:r w:rsidR="00CD6981">
        <w:t xml:space="preserve">medical </w:t>
      </w:r>
      <w:r w:rsidR="00C16877">
        <w:t>s</w:t>
      </w:r>
      <w:r w:rsidR="04DFA95C">
        <w:t>e</w:t>
      </w:r>
      <w:r>
        <w:t>rvice/technology (versus the comparator)</w:t>
      </w:r>
      <w:r w:rsidR="00CD6981">
        <w:t>:</w:t>
      </w:r>
    </w:p>
    <w:p w14:paraId="6EB72BFD" w14:textId="517546B6" w:rsidR="002131FB" w:rsidRDefault="002131FB" w:rsidP="00D6440D">
      <w:pPr>
        <w:pStyle w:val="paragraph"/>
        <w:spacing w:before="0" w:beforeAutospacing="0" w:after="0" w:afterAutospacing="0"/>
        <w:ind w:left="360"/>
        <w:textAlignment w:val="baseline"/>
        <w:rPr>
          <w:rStyle w:val="normaltextrun"/>
          <w:rFonts w:ascii="Calibri" w:hAnsi="Calibri" w:cs="Calibri"/>
          <w:sz w:val="20"/>
          <w:szCs w:val="20"/>
        </w:rPr>
      </w:pPr>
      <w:r>
        <w:rPr>
          <w:rStyle w:val="normaltextrun"/>
          <w:rFonts w:ascii="Calibri" w:hAnsi="Calibri" w:cs="Calibri"/>
          <w:i/>
          <w:iCs/>
          <w:sz w:val="20"/>
          <w:szCs w:val="20"/>
        </w:rPr>
        <w:t>Health outcomes</w:t>
      </w:r>
      <w:r w:rsidR="6FDE483C" w:rsidRPr="5245AE3E">
        <w:rPr>
          <w:rStyle w:val="normaltextrun"/>
          <w:rFonts w:ascii="Calibri" w:hAnsi="Calibri" w:cs="Calibri"/>
          <w:i/>
          <w:iCs/>
          <w:sz w:val="20"/>
          <w:szCs w:val="20"/>
        </w:rPr>
        <w:t>:</w:t>
      </w:r>
    </w:p>
    <w:p w14:paraId="041F708A" w14:textId="52A2F46B" w:rsidR="002131FB" w:rsidRDefault="00671264" w:rsidP="00D6440D">
      <w:pPr>
        <w:pStyle w:val="paragraph"/>
        <w:numPr>
          <w:ilvl w:val="0"/>
          <w:numId w:val="20"/>
        </w:numPr>
        <w:tabs>
          <w:tab w:val="clear" w:pos="720"/>
          <w:tab w:val="num" w:pos="1080"/>
        </w:tabs>
        <w:spacing w:before="0" w:beforeAutospacing="0" w:after="0" w:afterAutospacing="0"/>
        <w:ind w:left="709" w:hanging="306"/>
        <w:textAlignment w:val="baseline"/>
        <w:rPr>
          <w:rFonts w:ascii="Tahoma" w:hAnsi="Tahoma" w:cs="Tahoma"/>
          <w:sz w:val="20"/>
          <w:szCs w:val="20"/>
        </w:rPr>
      </w:pPr>
      <w:r>
        <w:rPr>
          <w:rStyle w:val="normaltextrun"/>
          <w:rFonts w:ascii="Calibri" w:hAnsi="Calibri" w:cs="Calibri"/>
          <w:sz w:val="20"/>
          <w:szCs w:val="20"/>
        </w:rPr>
        <w:t>Decrease mortality rate</w:t>
      </w:r>
    </w:p>
    <w:p w14:paraId="6E3FD160" w14:textId="43EDB969" w:rsidR="002131FB" w:rsidRDefault="002131FB" w:rsidP="00D6440D">
      <w:pPr>
        <w:pStyle w:val="paragraph"/>
        <w:numPr>
          <w:ilvl w:val="0"/>
          <w:numId w:val="20"/>
        </w:numPr>
        <w:tabs>
          <w:tab w:val="clear" w:pos="720"/>
          <w:tab w:val="num" w:pos="1080"/>
        </w:tabs>
        <w:spacing w:before="0" w:beforeAutospacing="0" w:after="0" w:afterAutospacing="0"/>
        <w:ind w:left="709" w:hanging="306"/>
        <w:textAlignment w:val="baseline"/>
        <w:rPr>
          <w:rFonts w:ascii="Tahoma" w:hAnsi="Tahoma" w:cs="Tahoma"/>
          <w:sz w:val="20"/>
          <w:szCs w:val="20"/>
        </w:rPr>
      </w:pPr>
      <w:r>
        <w:rPr>
          <w:rStyle w:val="normaltextrun"/>
          <w:rFonts w:ascii="Calibri" w:hAnsi="Calibri" w:cs="Calibri"/>
          <w:sz w:val="20"/>
          <w:szCs w:val="20"/>
        </w:rPr>
        <w:t>Time to initial diagnosis</w:t>
      </w:r>
      <w:r>
        <w:rPr>
          <w:rStyle w:val="eop"/>
          <w:rFonts w:ascii="Calibri" w:hAnsi="Calibri" w:cs="Calibri"/>
          <w:sz w:val="20"/>
          <w:szCs w:val="20"/>
        </w:rPr>
        <w:t> </w:t>
      </w:r>
      <w:r w:rsidR="00492375">
        <w:rPr>
          <w:rStyle w:val="eop"/>
          <w:rFonts w:ascii="Calibri" w:hAnsi="Calibri" w:cs="Calibri"/>
          <w:sz w:val="20"/>
          <w:szCs w:val="20"/>
        </w:rPr>
        <w:t>of tumours</w:t>
      </w:r>
    </w:p>
    <w:p w14:paraId="2150388D" w14:textId="50878403" w:rsidR="002131FB" w:rsidRPr="00671264" w:rsidRDefault="002131FB" w:rsidP="00D6440D">
      <w:pPr>
        <w:pStyle w:val="paragraph"/>
        <w:numPr>
          <w:ilvl w:val="0"/>
          <w:numId w:val="21"/>
        </w:numPr>
        <w:tabs>
          <w:tab w:val="clear" w:pos="720"/>
          <w:tab w:val="num" w:pos="1080"/>
        </w:tabs>
        <w:spacing w:before="0" w:beforeAutospacing="0" w:after="0" w:afterAutospacing="0"/>
        <w:ind w:left="709" w:hanging="306"/>
        <w:textAlignment w:val="baseline"/>
        <w:rPr>
          <w:rStyle w:val="eop"/>
          <w:rFonts w:ascii="Tahoma" w:hAnsi="Tahoma" w:cs="Tahoma"/>
          <w:sz w:val="20"/>
          <w:szCs w:val="20"/>
        </w:rPr>
      </w:pPr>
      <w:r>
        <w:rPr>
          <w:rStyle w:val="normaltextrun"/>
          <w:rFonts w:ascii="Calibri" w:hAnsi="Calibri" w:cs="Calibri"/>
          <w:sz w:val="20"/>
          <w:szCs w:val="20"/>
        </w:rPr>
        <w:t>Time from diagnosis to treatment</w:t>
      </w:r>
      <w:r>
        <w:rPr>
          <w:rStyle w:val="eop"/>
          <w:rFonts w:ascii="Calibri" w:hAnsi="Calibri" w:cs="Calibri"/>
          <w:sz w:val="20"/>
          <w:szCs w:val="20"/>
        </w:rPr>
        <w:t> </w:t>
      </w:r>
    </w:p>
    <w:p w14:paraId="79E04A71" w14:textId="6FF18A04" w:rsidR="00671264" w:rsidRDefault="00671264" w:rsidP="00D6440D">
      <w:pPr>
        <w:pStyle w:val="paragraph"/>
        <w:numPr>
          <w:ilvl w:val="0"/>
          <w:numId w:val="21"/>
        </w:numPr>
        <w:tabs>
          <w:tab w:val="clear" w:pos="720"/>
          <w:tab w:val="num" w:pos="1080"/>
        </w:tabs>
        <w:spacing w:before="0" w:beforeAutospacing="0" w:after="0" w:afterAutospacing="0"/>
        <w:ind w:left="709" w:hanging="306"/>
        <w:textAlignment w:val="baseline"/>
        <w:rPr>
          <w:rFonts w:ascii="Tahoma" w:hAnsi="Tahoma" w:cs="Tahoma"/>
          <w:sz w:val="20"/>
          <w:szCs w:val="20"/>
        </w:rPr>
      </w:pPr>
      <w:r>
        <w:rPr>
          <w:rStyle w:val="eop"/>
          <w:rFonts w:ascii="Calibri" w:hAnsi="Calibri" w:cs="Calibri"/>
          <w:sz w:val="20"/>
          <w:szCs w:val="20"/>
        </w:rPr>
        <w:t>Improved management of treatment</w:t>
      </w:r>
    </w:p>
    <w:p w14:paraId="49E6D0DD" w14:textId="511D1ABD" w:rsidR="38242B91" w:rsidRDefault="38242B91" w:rsidP="00D6440D">
      <w:pPr>
        <w:pStyle w:val="paragraph"/>
        <w:numPr>
          <w:ilvl w:val="0"/>
          <w:numId w:val="21"/>
        </w:numPr>
        <w:tabs>
          <w:tab w:val="clear" w:pos="720"/>
          <w:tab w:val="num" w:pos="1080"/>
        </w:tabs>
        <w:spacing w:before="0" w:beforeAutospacing="0" w:after="0" w:afterAutospacing="0"/>
        <w:ind w:left="709" w:hanging="306"/>
        <w:rPr>
          <w:rStyle w:val="eop"/>
          <w:sz w:val="20"/>
          <w:szCs w:val="20"/>
        </w:rPr>
      </w:pPr>
      <w:r w:rsidRPr="5245AE3E">
        <w:rPr>
          <w:rStyle w:val="eop"/>
          <w:rFonts w:ascii="Calibri" w:hAnsi="Calibri" w:cs="Calibri"/>
          <w:sz w:val="20"/>
          <w:szCs w:val="20"/>
        </w:rPr>
        <w:t xml:space="preserve">Reduced exposure to ionizing radiology </w:t>
      </w:r>
    </w:p>
    <w:p w14:paraId="1D9649A0" w14:textId="77777777" w:rsidR="002131FB" w:rsidRDefault="002131FB" w:rsidP="00D6440D">
      <w:pPr>
        <w:pStyle w:val="paragraph"/>
        <w:numPr>
          <w:ilvl w:val="0"/>
          <w:numId w:val="21"/>
        </w:numPr>
        <w:tabs>
          <w:tab w:val="clear" w:pos="720"/>
          <w:tab w:val="num" w:pos="1080"/>
        </w:tabs>
        <w:spacing w:before="0" w:beforeAutospacing="0" w:after="0" w:afterAutospacing="0"/>
        <w:ind w:left="709" w:hanging="306"/>
        <w:textAlignment w:val="baseline"/>
        <w:rPr>
          <w:rFonts w:ascii="Tahoma" w:hAnsi="Tahoma" w:cs="Tahoma"/>
          <w:sz w:val="20"/>
          <w:szCs w:val="20"/>
        </w:rPr>
      </w:pPr>
      <w:r>
        <w:rPr>
          <w:rStyle w:val="normaltextrun"/>
          <w:rFonts w:ascii="Calibri" w:hAnsi="Calibri" w:cs="Calibri"/>
          <w:sz w:val="20"/>
          <w:szCs w:val="20"/>
        </w:rPr>
        <w:t>Quality of life scores</w:t>
      </w:r>
      <w:r>
        <w:rPr>
          <w:rStyle w:val="eop"/>
          <w:rFonts w:ascii="Calibri" w:hAnsi="Calibri" w:cs="Calibri"/>
          <w:sz w:val="20"/>
          <w:szCs w:val="20"/>
        </w:rPr>
        <w:t> </w:t>
      </w:r>
    </w:p>
    <w:p w14:paraId="5F522DE2" w14:textId="77777777" w:rsidR="002131FB" w:rsidRPr="002131FB" w:rsidRDefault="002131FB" w:rsidP="00D6440D">
      <w:pPr>
        <w:ind w:left="360"/>
      </w:pPr>
    </w:p>
    <w:p w14:paraId="0973F077" w14:textId="77777777" w:rsidR="00491520" w:rsidRDefault="00491520" w:rsidP="00D644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b/>
          <w:bCs/>
          <w:i/>
          <w:iCs/>
          <w:sz w:val="20"/>
          <w:szCs w:val="20"/>
          <w:u w:val="single"/>
        </w:rPr>
        <w:t>Clinical effectiveness outcomes </w:t>
      </w:r>
      <w:r>
        <w:rPr>
          <w:rStyle w:val="eop"/>
          <w:rFonts w:ascii="Calibri" w:hAnsi="Calibri" w:cs="Calibri"/>
          <w:sz w:val="20"/>
          <w:szCs w:val="20"/>
        </w:rPr>
        <w:t> </w:t>
      </w:r>
    </w:p>
    <w:p w14:paraId="145B8A43" w14:textId="081AF2CE" w:rsidR="00491520" w:rsidRDefault="00491520" w:rsidP="00D644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i/>
          <w:iCs/>
          <w:sz w:val="20"/>
          <w:szCs w:val="20"/>
        </w:rPr>
        <w:t>Accuracy </w:t>
      </w:r>
      <w:r>
        <w:rPr>
          <w:rStyle w:val="eop"/>
          <w:rFonts w:ascii="Calibri" w:hAnsi="Calibri" w:cs="Calibri"/>
          <w:sz w:val="20"/>
          <w:szCs w:val="20"/>
        </w:rPr>
        <w:t> </w:t>
      </w:r>
    </w:p>
    <w:p w14:paraId="16D3E3A4" w14:textId="105A8F58" w:rsidR="00491520" w:rsidRPr="00D6440D" w:rsidRDefault="0402E75B" w:rsidP="00D6440D">
      <w:pPr>
        <w:pStyle w:val="paragraph"/>
        <w:numPr>
          <w:ilvl w:val="0"/>
          <w:numId w:val="20"/>
        </w:numPr>
        <w:tabs>
          <w:tab w:val="clear" w:pos="720"/>
          <w:tab w:val="num" w:pos="1080"/>
        </w:tabs>
        <w:spacing w:before="0" w:beforeAutospacing="0" w:after="0" w:afterAutospacing="0"/>
        <w:ind w:left="709" w:hanging="306"/>
        <w:textAlignment w:val="baseline"/>
        <w:rPr>
          <w:rStyle w:val="normaltextrun"/>
          <w:rFonts w:ascii="Calibri" w:hAnsi="Calibri" w:cs="Calibri"/>
          <w:sz w:val="20"/>
          <w:szCs w:val="20"/>
        </w:rPr>
      </w:pPr>
      <w:r w:rsidRPr="5245AE3E">
        <w:rPr>
          <w:rStyle w:val="normaltextrun"/>
          <w:rFonts w:ascii="Calibri" w:hAnsi="Calibri" w:cs="Calibri"/>
          <w:sz w:val="20"/>
          <w:szCs w:val="20"/>
        </w:rPr>
        <w:t>Improved s</w:t>
      </w:r>
      <w:r w:rsidR="00491520" w:rsidRPr="5245AE3E">
        <w:rPr>
          <w:rStyle w:val="normaltextrun"/>
          <w:rFonts w:ascii="Calibri" w:hAnsi="Calibri" w:cs="Calibri"/>
          <w:sz w:val="20"/>
          <w:szCs w:val="20"/>
        </w:rPr>
        <w:t>ensitivity</w:t>
      </w:r>
      <w:r w:rsidR="145822B9" w:rsidRPr="5245AE3E">
        <w:rPr>
          <w:rStyle w:val="normaltextrun"/>
          <w:rFonts w:ascii="Calibri" w:hAnsi="Calibri" w:cs="Calibri"/>
          <w:sz w:val="20"/>
          <w:szCs w:val="20"/>
        </w:rPr>
        <w:t xml:space="preserve"> and</w:t>
      </w:r>
      <w:r w:rsidR="00491520" w:rsidRPr="5245AE3E">
        <w:rPr>
          <w:rStyle w:val="normaltextrun"/>
          <w:rFonts w:ascii="Calibri" w:hAnsi="Calibri" w:cs="Calibri"/>
          <w:sz w:val="20"/>
          <w:szCs w:val="20"/>
        </w:rPr>
        <w:t xml:space="preserve"> specificity</w:t>
      </w:r>
      <w:r w:rsidR="32610626" w:rsidRPr="5245AE3E">
        <w:rPr>
          <w:rStyle w:val="normaltextrun"/>
          <w:rFonts w:ascii="Calibri" w:hAnsi="Calibri" w:cs="Calibri"/>
          <w:sz w:val="20"/>
          <w:szCs w:val="20"/>
        </w:rPr>
        <w:t xml:space="preserve"> compared to existing modalities</w:t>
      </w:r>
    </w:p>
    <w:p w14:paraId="4F060725" w14:textId="77777777" w:rsidR="00491520" w:rsidRDefault="00491520" w:rsidP="00D6440D">
      <w:pPr>
        <w:pStyle w:val="paragraph"/>
        <w:spacing w:before="0" w:beforeAutospacing="0" w:after="0" w:afterAutospacing="0"/>
        <w:ind w:left="1080"/>
        <w:textAlignment w:val="baseline"/>
        <w:rPr>
          <w:rFonts w:ascii="Segoe UI" w:hAnsi="Segoe UI" w:cs="Segoe UI"/>
          <w:sz w:val="18"/>
          <w:szCs w:val="18"/>
        </w:rPr>
      </w:pPr>
      <w:r>
        <w:rPr>
          <w:rStyle w:val="eop"/>
          <w:sz w:val="20"/>
          <w:szCs w:val="20"/>
        </w:rPr>
        <w:t> </w:t>
      </w:r>
    </w:p>
    <w:p w14:paraId="6514FB88" w14:textId="78E915DC" w:rsidR="00491520" w:rsidRDefault="00491520" w:rsidP="00D6440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i/>
          <w:iCs/>
          <w:sz w:val="20"/>
          <w:szCs w:val="20"/>
        </w:rPr>
        <w:t>Change in management (Therapeutic efficacy)</w:t>
      </w:r>
      <w:r>
        <w:rPr>
          <w:rStyle w:val="eop"/>
          <w:rFonts w:ascii="Calibri" w:hAnsi="Calibri" w:cs="Calibri"/>
          <w:sz w:val="20"/>
          <w:szCs w:val="20"/>
        </w:rPr>
        <w:t> </w:t>
      </w:r>
    </w:p>
    <w:p w14:paraId="71027BA0" w14:textId="144FA88E" w:rsidR="00491520" w:rsidRPr="00D6440D" w:rsidRDefault="00491520" w:rsidP="00D6440D">
      <w:pPr>
        <w:pStyle w:val="paragraph"/>
        <w:numPr>
          <w:ilvl w:val="0"/>
          <w:numId w:val="20"/>
        </w:numPr>
        <w:tabs>
          <w:tab w:val="clear" w:pos="720"/>
          <w:tab w:val="num" w:pos="1080"/>
        </w:tabs>
        <w:spacing w:before="0" w:beforeAutospacing="0" w:after="0" w:afterAutospacing="0"/>
        <w:ind w:left="709" w:hanging="306"/>
        <w:textAlignment w:val="baseline"/>
        <w:rPr>
          <w:rStyle w:val="normaltextrun"/>
          <w:rFonts w:ascii="Calibri" w:hAnsi="Calibri" w:cs="Calibri"/>
        </w:rPr>
      </w:pPr>
      <w:r w:rsidRPr="5245AE3E">
        <w:rPr>
          <w:rStyle w:val="normaltextrun"/>
          <w:rFonts w:ascii="Calibri" w:hAnsi="Calibri" w:cs="Calibri"/>
          <w:sz w:val="20"/>
          <w:szCs w:val="20"/>
        </w:rPr>
        <w:t>Change in treatment pathway</w:t>
      </w:r>
      <w:r w:rsidR="1DDB15B4" w:rsidRPr="5245AE3E">
        <w:rPr>
          <w:rStyle w:val="normaltextrun"/>
          <w:rFonts w:ascii="Calibri" w:hAnsi="Calibri" w:cs="Calibri"/>
          <w:sz w:val="20"/>
          <w:szCs w:val="20"/>
        </w:rPr>
        <w:t xml:space="preserve">: </w:t>
      </w:r>
      <w:r w:rsidR="00584C47" w:rsidRPr="5245AE3E">
        <w:rPr>
          <w:rStyle w:val="normaltextrun"/>
          <w:rFonts w:ascii="Calibri" w:hAnsi="Calibri" w:cs="Calibri"/>
          <w:sz w:val="20"/>
          <w:szCs w:val="20"/>
        </w:rPr>
        <w:t>appropriate</w:t>
      </w:r>
      <w:r w:rsidR="1DDB15B4" w:rsidRPr="5245AE3E">
        <w:rPr>
          <w:rStyle w:val="normaltextrun"/>
          <w:rFonts w:ascii="Calibri" w:hAnsi="Calibri" w:cs="Calibri"/>
          <w:sz w:val="20"/>
          <w:szCs w:val="20"/>
        </w:rPr>
        <w:t xml:space="preserve"> commencement of </w:t>
      </w:r>
      <w:proofErr w:type="spellStart"/>
      <w:r w:rsidR="1DDB15B4" w:rsidRPr="5245AE3E">
        <w:rPr>
          <w:rStyle w:val="normaltextrun"/>
          <w:rFonts w:ascii="Calibri" w:hAnsi="Calibri" w:cs="Calibri"/>
          <w:sz w:val="20"/>
          <w:szCs w:val="20"/>
        </w:rPr>
        <w:t>mTORi</w:t>
      </w:r>
      <w:proofErr w:type="spellEnd"/>
      <w:r w:rsidR="1DDB15B4" w:rsidRPr="5245AE3E">
        <w:rPr>
          <w:rStyle w:val="normaltextrun"/>
          <w:rFonts w:ascii="Calibri" w:hAnsi="Calibri" w:cs="Calibri"/>
          <w:sz w:val="20"/>
          <w:szCs w:val="20"/>
        </w:rPr>
        <w:t xml:space="preserve"> therapy (TSC)</w:t>
      </w:r>
    </w:p>
    <w:p w14:paraId="7F8E8D2F" w14:textId="5D3BEBF9" w:rsidR="1DDB15B4" w:rsidRPr="00D6440D" w:rsidRDefault="1DDB15B4" w:rsidP="00D6440D">
      <w:pPr>
        <w:pStyle w:val="paragraph"/>
        <w:numPr>
          <w:ilvl w:val="0"/>
          <w:numId w:val="20"/>
        </w:numPr>
        <w:tabs>
          <w:tab w:val="clear" w:pos="720"/>
          <w:tab w:val="num" w:pos="1080"/>
        </w:tabs>
        <w:spacing w:before="0" w:beforeAutospacing="0" w:after="0" w:afterAutospacing="0"/>
        <w:ind w:left="709" w:hanging="306"/>
        <w:textAlignment w:val="baseline"/>
        <w:rPr>
          <w:rStyle w:val="normaltextrun"/>
          <w:rFonts w:ascii="Calibri" w:hAnsi="Calibri" w:cs="Calibri"/>
          <w:sz w:val="20"/>
          <w:szCs w:val="20"/>
        </w:rPr>
      </w:pPr>
      <w:r w:rsidRPr="5245AE3E">
        <w:rPr>
          <w:rStyle w:val="normaltextrun"/>
          <w:rFonts w:ascii="Calibri" w:hAnsi="Calibri" w:cs="Calibri"/>
          <w:sz w:val="20"/>
          <w:szCs w:val="20"/>
        </w:rPr>
        <w:t>Avoidance of emergency presentations for spontaneous AML bleeding (TSC)</w:t>
      </w:r>
    </w:p>
    <w:p w14:paraId="35938BFF" w14:textId="2CADEB64" w:rsidR="1DDB15B4" w:rsidRPr="00D6440D" w:rsidRDefault="1DDB15B4" w:rsidP="00D6440D">
      <w:pPr>
        <w:pStyle w:val="paragraph"/>
        <w:numPr>
          <w:ilvl w:val="0"/>
          <w:numId w:val="20"/>
        </w:numPr>
        <w:tabs>
          <w:tab w:val="clear" w:pos="720"/>
          <w:tab w:val="num" w:pos="1080"/>
        </w:tabs>
        <w:spacing w:before="0" w:beforeAutospacing="0" w:after="0" w:afterAutospacing="0"/>
        <w:ind w:left="709" w:hanging="306"/>
        <w:textAlignment w:val="baseline"/>
        <w:rPr>
          <w:rStyle w:val="normaltextrun"/>
          <w:rFonts w:ascii="Calibri" w:hAnsi="Calibri" w:cs="Calibri"/>
          <w:sz w:val="20"/>
          <w:szCs w:val="20"/>
        </w:rPr>
      </w:pPr>
      <w:r w:rsidRPr="5245AE3E">
        <w:rPr>
          <w:rStyle w:val="normaltextrun"/>
          <w:rFonts w:ascii="Calibri" w:hAnsi="Calibri" w:cs="Calibri"/>
          <w:sz w:val="20"/>
          <w:szCs w:val="20"/>
        </w:rPr>
        <w:t>Early detection of malignant lesions to facilitate curative surgical management and avoid need for systemic cytotoxic therapy</w:t>
      </w:r>
      <w:r w:rsidR="39119599" w:rsidRPr="5245AE3E">
        <w:rPr>
          <w:rStyle w:val="normaltextrun"/>
          <w:rFonts w:ascii="Calibri" w:hAnsi="Calibri" w:cs="Calibri"/>
          <w:sz w:val="20"/>
          <w:szCs w:val="20"/>
        </w:rPr>
        <w:t xml:space="preserve"> (other inherited conditions) </w:t>
      </w:r>
      <w:r w:rsidRPr="5245AE3E">
        <w:rPr>
          <w:rStyle w:val="normaltextrun"/>
          <w:rFonts w:ascii="Calibri" w:hAnsi="Calibri" w:cs="Calibri"/>
          <w:sz w:val="20"/>
          <w:szCs w:val="20"/>
        </w:rPr>
        <w:t xml:space="preserve"> </w:t>
      </w:r>
    </w:p>
    <w:p w14:paraId="05F299CA" w14:textId="2D370566" w:rsidR="00491520" w:rsidRPr="00D6440D" w:rsidRDefault="00491520" w:rsidP="00D6440D">
      <w:pPr>
        <w:pStyle w:val="paragraph"/>
        <w:spacing w:before="0" w:beforeAutospacing="0" w:after="0" w:afterAutospacing="0"/>
        <w:ind w:left="360"/>
        <w:textAlignment w:val="baseline"/>
        <w:rPr>
          <w:rStyle w:val="normaltextrun"/>
          <w:rFonts w:ascii="Segoe UI" w:hAnsi="Segoe UI" w:cs="Segoe UI"/>
          <w:sz w:val="18"/>
          <w:szCs w:val="18"/>
        </w:rPr>
      </w:pPr>
      <w:r>
        <w:rPr>
          <w:rStyle w:val="eop"/>
          <w:rFonts w:ascii="Calibri" w:hAnsi="Calibri" w:cs="Calibri"/>
          <w:color w:val="4F81BD"/>
          <w:sz w:val="32"/>
          <w:szCs w:val="32"/>
        </w:rPr>
        <w:t> </w:t>
      </w:r>
      <w:r>
        <w:rPr>
          <w:rStyle w:val="normaltextrun"/>
          <w:rFonts w:ascii="Calibri" w:hAnsi="Calibri" w:cs="Calibri"/>
          <w:b/>
          <w:bCs/>
          <w:i/>
          <w:iCs/>
          <w:sz w:val="20"/>
          <w:szCs w:val="20"/>
          <w:u w:val="single"/>
        </w:rPr>
        <w:t>Safety outcomes (largely covered in previous submission)</w:t>
      </w:r>
      <w:r>
        <w:rPr>
          <w:rStyle w:val="eop"/>
          <w:rFonts w:ascii="Calibri" w:hAnsi="Calibri" w:cs="Calibri"/>
          <w:sz w:val="20"/>
          <w:szCs w:val="20"/>
        </w:rPr>
        <w:t> </w:t>
      </w:r>
    </w:p>
    <w:p w14:paraId="47028431" w14:textId="77777777" w:rsidR="00491520" w:rsidRPr="00D6440D" w:rsidRDefault="00491520" w:rsidP="00D6440D">
      <w:pPr>
        <w:pStyle w:val="paragraph"/>
        <w:numPr>
          <w:ilvl w:val="0"/>
          <w:numId w:val="20"/>
        </w:numPr>
        <w:tabs>
          <w:tab w:val="clear" w:pos="720"/>
          <w:tab w:val="num" w:pos="1080"/>
        </w:tabs>
        <w:spacing w:before="0" w:beforeAutospacing="0" w:after="0" w:afterAutospacing="0"/>
        <w:ind w:left="709" w:hanging="306"/>
        <w:textAlignment w:val="baseline"/>
        <w:rPr>
          <w:rStyle w:val="normaltextrun"/>
          <w:rFonts w:ascii="Calibri" w:hAnsi="Calibri" w:cs="Calibri"/>
          <w:sz w:val="20"/>
          <w:szCs w:val="20"/>
        </w:rPr>
      </w:pPr>
      <w:r>
        <w:rPr>
          <w:rStyle w:val="normaltextrun"/>
          <w:rFonts w:ascii="Calibri" w:hAnsi="Calibri" w:cs="Calibri"/>
          <w:sz w:val="20"/>
          <w:szCs w:val="20"/>
        </w:rPr>
        <w:t>Adverse reaction to contrast agent</w:t>
      </w:r>
      <w:r w:rsidRPr="00D6440D">
        <w:rPr>
          <w:rStyle w:val="normaltextrun"/>
        </w:rPr>
        <w:t> </w:t>
      </w:r>
    </w:p>
    <w:p w14:paraId="46963347" w14:textId="77777777" w:rsidR="00491520" w:rsidRPr="00D6440D" w:rsidRDefault="00491520" w:rsidP="00D6440D">
      <w:pPr>
        <w:pStyle w:val="paragraph"/>
        <w:numPr>
          <w:ilvl w:val="0"/>
          <w:numId w:val="20"/>
        </w:numPr>
        <w:tabs>
          <w:tab w:val="clear" w:pos="720"/>
          <w:tab w:val="num" w:pos="1080"/>
        </w:tabs>
        <w:spacing w:before="0" w:beforeAutospacing="0" w:after="0" w:afterAutospacing="0"/>
        <w:ind w:left="709" w:hanging="306"/>
        <w:textAlignment w:val="baseline"/>
        <w:rPr>
          <w:rStyle w:val="normaltextrun"/>
          <w:rFonts w:ascii="Calibri" w:hAnsi="Calibri" w:cs="Calibri"/>
          <w:sz w:val="20"/>
          <w:szCs w:val="20"/>
        </w:rPr>
      </w:pPr>
      <w:r>
        <w:rPr>
          <w:rStyle w:val="normaltextrun"/>
          <w:rFonts w:ascii="Calibri" w:hAnsi="Calibri" w:cs="Calibri"/>
          <w:sz w:val="20"/>
          <w:szCs w:val="20"/>
        </w:rPr>
        <w:t>Cumulative effects of multiple contrast agent injections</w:t>
      </w:r>
      <w:r w:rsidRPr="00D6440D">
        <w:rPr>
          <w:rStyle w:val="normaltextrun"/>
        </w:rPr>
        <w:t> </w:t>
      </w:r>
    </w:p>
    <w:p w14:paraId="0B39FEB7" w14:textId="77777777" w:rsidR="00491520" w:rsidRPr="00D6440D" w:rsidRDefault="00491520" w:rsidP="00D6440D">
      <w:pPr>
        <w:pStyle w:val="paragraph"/>
        <w:numPr>
          <w:ilvl w:val="0"/>
          <w:numId w:val="20"/>
        </w:numPr>
        <w:tabs>
          <w:tab w:val="clear" w:pos="720"/>
          <w:tab w:val="num" w:pos="1080"/>
        </w:tabs>
        <w:spacing w:before="0" w:beforeAutospacing="0" w:after="0" w:afterAutospacing="0"/>
        <w:ind w:left="709" w:hanging="306"/>
        <w:textAlignment w:val="baseline"/>
        <w:rPr>
          <w:rStyle w:val="normaltextrun"/>
          <w:rFonts w:ascii="Calibri" w:hAnsi="Calibri" w:cs="Calibri"/>
          <w:sz w:val="20"/>
          <w:szCs w:val="20"/>
        </w:rPr>
      </w:pPr>
      <w:r>
        <w:rPr>
          <w:rStyle w:val="normaltextrun"/>
          <w:rFonts w:ascii="Calibri" w:hAnsi="Calibri" w:cs="Calibri"/>
          <w:sz w:val="20"/>
          <w:szCs w:val="20"/>
        </w:rPr>
        <w:t>Claustrophobia requiring the administration of sedation or general anaesthetic</w:t>
      </w:r>
      <w:r w:rsidRPr="00D6440D">
        <w:rPr>
          <w:rStyle w:val="normaltextrun"/>
        </w:rPr>
        <w:t> </w:t>
      </w:r>
    </w:p>
    <w:p w14:paraId="4AED76BD" w14:textId="77777777" w:rsidR="00491520" w:rsidRPr="00D6440D" w:rsidRDefault="00491520" w:rsidP="00D6440D">
      <w:pPr>
        <w:pStyle w:val="paragraph"/>
        <w:numPr>
          <w:ilvl w:val="0"/>
          <w:numId w:val="20"/>
        </w:numPr>
        <w:tabs>
          <w:tab w:val="clear" w:pos="720"/>
          <w:tab w:val="num" w:pos="1080"/>
        </w:tabs>
        <w:spacing w:before="0" w:beforeAutospacing="0" w:after="0" w:afterAutospacing="0"/>
        <w:ind w:left="709" w:hanging="306"/>
        <w:textAlignment w:val="baseline"/>
        <w:rPr>
          <w:rStyle w:val="normaltextrun"/>
          <w:rFonts w:ascii="Calibri" w:hAnsi="Calibri" w:cs="Calibri"/>
          <w:sz w:val="20"/>
          <w:szCs w:val="20"/>
        </w:rPr>
      </w:pPr>
      <w:r>
        <w:rPr>
          <w:rStyle w:val="normaltextrun"/>
          <w:rFonts w:ascii="Calibri" w:hAnsi="Calibri" w:cs="Calibri"/>
          <w:sz w:val="20"/>
          <w:szCs w:val="20"/>
        </w:rPr>
        <w:t>Physical harms from follow-up testing</w:t>
      </w:r>
      <w:r w:rsidRPr="00D6440D">
        <w:rPr>
          <w:rStyle w:val="normaltextrun"/>
        </w:rPr>
        <w:t> </w:t>
      </w:r>
    </w:p>
    <w:p w14:paraId="12F11CB6" w14:textId="77777777" w:rsidR="00491520" w:rsidRPr="00D6440D" w:rsidRDefault="00491520" w:rsidP="00D6440D">
      <w:pPr>
        <w:pStyle w:val="paragraph"/>
        <w:numPr>
          <w:ilvl w:val="0"/>
          <w:numId w:val="20"/>
        </w:numPr>
        <w:tabs>
          <w:tab w:val="clear" w:pos="720"/>
          <w:tab w:val="num" w:pos="1080"/>
        </w:tabs>
        <w:spacing w:before="0" w:beforeAutospacing="0" w:after="0" w:afterAutospacing="0"/>
        <w:ind w:left="709" w:hanging="306"/>
        <w:textAlignment w:val="baseline"/>
        <w:rPr>
          <w:rStyle w:val="normaltextrun"/>
          <w:rFonts w:ascii="Calibri" w:hAnsi="Calibri" w:cs="Calibri"/>
          <w:sz w:val="20"/>
          <w:szCs w:val="20"/>
        </w:rPr>
      </w:pPr>
      <w:r>
        <w:rPr>
          <w:rStyle w:val="normaltextrun"/>
          <w:rFonts w:ascii="Calibri" w:hAnsi="Calibri" w:cs="Calibri"/>
          <w:sz w:val="20"/>
          <w:szCs w:val="20"/>
        </w:rPr>
        <w:t>Other adverse events arising from liver MRI</w:t>
      </w:r>
      <w:r w:rsidRPr="00D6440D">
        <w:rPr>
          <w:rStyle w:val="normaltextrun"/>
        </w:rPr>
        <w:t> </w:t>
      </w:r>
    </w:p>
    <w:p w14:paraId="2E481CF3" w14:textId="46E722BF" w:rsidR="00491520" w:rsidRDefault="00491520" w:rsidP="00491520">
      <w:pPr>
        <w:pStyle w:val="paragraph"/>
        <w:spacing w:before="0" w:beforeAutospacing="0" w:after="0" w:afterAutospacing="0"/>
        <w:textAlignment w:val="baseline"/>
        <w:rPr>
          <w:rFonts w:ascii="Segoe UI" w:hAnsi="Segoe UI" w:cs="Segoe UI"/>
          <w:color w:val="4F81BD"/>
          <w:sz w:val="18"/>
          <w:szCs w:val="18"/>
        </w:rPr>
      </w:pPr>
    </w:p>
    <w:p w14:paraId="33A303E2" w14:textId="2BB598B9" w:rsidR="00943A5E" w:rsidRDefault="00943A5E" w:rsidP="00943A5E">
      <w:pPr>
        <w:ind w:left="360"/>
      </w:pPr>
    </w:p>
    <w:p w14:paraId="704AF676" w14:textId="77777777" w:rsidR="00B87BD0" w:rsidRDefault="00B87BD0" w:rsidP="00943A5E">
      <w:pPr>
        <w:ind w:left="360"/>
      </w:pPr>
    </w:p>
    <w:p w14:paraId="5DEE9E13"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2FC2F953" w14:textId="77777777" w:rsidR="006C74B1" w:rsidRPr="00092580" w:rsidRDefault="00BE0FDE" w:rsidP="001B5169">
      <w:pPr>
        <w:pStyle w:val="Heading2"/>
      </w:pPr>
      <w:r>
        <w:t>Estimate</w:t>
      </w:r>
      <w:r w:rsidR="00974D50">
        <w:t xml:space="preserve"> the prevalence</w:t>
      </w:r>
      <w:r w:rsidR="00B771AD">
        <w:t xml:space="preserve"> and/or incidence</w:t>
      </w:r>
      <w:r w:rsidR="00974D50">
        <w:t xml:space="preserve"> of</w:t>
      </w:r>
      <w:r w:rsidR="00C16877">
        <w:t xml:space="preserve"> the condition in</w:t>
      </w:r>
      <w:r w:rsidR="00974D50">
        <w:t xml:space="preserve"> </w:t>
      </w:r>
      <w:r w:rsidR="00AE1188">
        <w:t>the proposed population:</w:t>
      </w:r>
    </w:p>
    <w:p w14:paraId="705A8AF3" w14:textId="06DDFC1A" w:rsidR="00CF274F" w:rsidRDefault="00CF274F" w:rsidP="00D6440D">
      <w:pPr>
        <w:spacing w:before="0" w:after="0"/>
        <w:ind w:left="360"/>
        <w:rPr>
          <w:rFonts w:eastAsia="Times New Roman" w:cstheme="minorHAnsi"/>
          <w:szCs w:val="20"/>
          <w:lang w:eastAsia="en-AU"/>
        </w:rPr>
      </w:pPr>
      <w:r>
        <w:rPr>
          <w:rFonts w:ascii="Calibri" w:hAnsi="Calibri" w:cs="Calibri"/>
          <w:szCs w:val="20"/>
          <w:lang w:val="en"/>
        </w:rPr>
        <w:t xml:space="preserve">TSC has </w:t>
      </w:r>
      <w:r>
        <w:rPr>
          <w:rFonts w:eastAsia="Times New Roman" w:cstheme="minorHAnsi"/>
          <w:szCs w:val="20"/>
          <w:lang w:eastAsia="en-AU"/>
        </w:rPr>
        <w:t>an incidence 1:6,000 and prevalence of 8.8:100, 000 in Australia. (Ref:</w:t>
      </w:r>
      <w:r w:rsidR="000F1E2E">
        <w:rPr>
          <w:rFonts w:eastAsia="Times New Roman" w:cstheme="minorHAnsi"/>
          <w:szCs w:val="20"/>
          <w:lang w:eastAsia="en-AU"/>
        </w:rPr>
        <w:t xml:space="preserve"> </w:t>
      </w:r>
      <w:r>
        <w:rPr>
          <w:rFonts w:eastAsia="Times New Roman" w:cstheme="minorHAnsi"/>
          <w:szCs w:val="20"/>
          <w:lang w:eastAsia="en-AU"/>
        </w:rPr>
        <w:t>TSA)</w:t>
      </w:r>
    </w:p>
    <w:p w14:paraId="4648D96E" w14:textId="616BFD36" w:rsidR="006C74B1" w:rsidRPr="00D6440D" w:rsidRDefault="008708BC" w:rsidP="00D6440D">
      <w:pPr>
        <w:spacing w:before="0"/>
        <w:ind w:left="357"/>
        <w:rPr>
          <w:rFonts w:eastAsia="Times New Roman" w:cstheme="minorHAnsi"/>
          <w:szCs w:val="20"/>
          <w:lang w:eastAsia="en-AU"/>
        </w:rPr>
      </w:pPr>
      <w:r>
        <w:rPr>
          <w:rFonts w:eastAsia="Times New Roman" w:cstheme="minorHAnsi"/>
          <w:szCs w:val="20"/>
          <w:lang w:eastAsia="en-AU"/>
        </w:rPr>
        <w:t xml:space="preserve">Related conditions:  </w:t>
      </w:r>
      <w:r w:rsidR="00E15020">
        <w:rPr>
          <w:rFonts w:eastAsia="Times New Roman" w:cstheme="minorHAnsi"/>
          <w:szCs w:val="20"/>
          <w:lang w:eastAsia="en-AU"/>
        </w:rPr>
        <w:t xml:space="preserve">VHL </w:t>
      </w:r>
      <w:r>
        <w:rPr>
          <w:rFonts w:cstheme="minorHAnsi"/>
          <w:color w:val="333333"/>
          <w:szCs w:val="20"/>
          <w:shd w:val="clear" w:color="auto" w:fill="FFFFFF"/>
        </w:rPr>
        <w:t xml:space="preserve">Incidence </w:t>
      </w:r>
      <w:r w:rsidRPr="00C45AB7">
        <w:rPr>
          <w:rFonts w:eastAsia="Times New Roman" w:cstheme="minorHAnsi"/>
          <w:szCs w:val="20"/>
          <w:lang w:eastAsia="en-AU"/>
        </w:rPr>
        <w:t>1:36,000 and prevalence 1</w:t>
      </w:r>
      <w:r>
        <w:rPr>
          <w:rFonts w:eastAsia="Times New Roman" w:cstheme="minorHAnsi"/>
          <w:szCs w:val="20"/>
          <w:lang w:eastAsia="en-AU"/>
        </w:rPr>
        <w:t>:</w:t>
      </w:r>
      <w:r w:rsidRPr="00C45AB7">
        <w:rPr>
          <w:rFonts w:eastAsia="Times New Roman" w:cstheme="minorHAnsi"/>
          <w:szCs w:val="20"/>
          <w:lang w:eastAsia="en-AU"/>
        </w:rPr>
        <w:t>91,000 in Australia (MSAC App</w:t>
      </w:r>
      <w:r w:rsidR="000F1E2E">
        <w:rPr>
          <w:rFonts w:eastAsia="Times New Roman" w:cstheme="minorHAnsi"/>
          <w:szCs w:val="20"/>
          <w:lang w:eastAsia="en-AU"/>
        </w:rPr>
        <w:t>.</w:t>
      </w:r>
      <w:r w:rsidRPr="00C45AB7">
        <w:rPr>
          <w:rFonts w:eastAsia="Times New Roman" w:cstheme="minorHAnsi"/>
          <w:szCs w:val="20"/>
          <w:lang w:eastAsia="en-AU"/>
        </w:rPr>
        <w:t>1153 Assessment Report 2011)</w:t>
      </w:r>
      <w:r>
        <w:rPr>
          <w:rFonts w:eastAsia="Times New Roman" w:cstheme="minorHAnsi"/>
          <w:szCs w:val="20"/>
          <w:lang w:eastAsia="en-AU"/>
        </w:rPr>
        <w:t xml:space="preserve"> or rarer.</w:t>
      </w:r>
    </w:p>
    <w:p w14:paraId="6B12EEBB" w14:textId="77777777" w:rsidR="00382407" w:rsidRDefault="00382407" w:rsidP="00530204">
      <w:pPr>
        <w:pStyle w:val="Heading2"/>
      </w:pPr>
      <w:r>
        <w:t>Estimate the number of times the proposed medical service</w:t>
      </w:r>
      <w:r w:rsidR="00FC1607">
        <w:t>/technology</w:t>
      </w:r>
      <w:r>
        <w:t xml:space="preserve"> would be </w:t>
      </w:r>
      <w:r w:rsidR="00AE1188">
        <w:t>delivered to a patient per year:</w:t>
      </w:r>
    </w:p>
    <w:p w14:paraId="7CD7DFFE" w14:textId="580BF763" w:rsidR="00A75F48" w:rsidRDefault="00A75F48" w:rsidP="00D6440D">
      <w:pPr>
        <w:ind w:firstLine="360"/>
      </w:pPr>
      <w:r>
        <w:t>For surveillance purposes maximum once per year.</w:t>
      </w:r>
    </w:p>
    <w:p w14:paraId="514DC771" w14:textId="5E1E825E" w:rsidR="007F4F3C" w:rsidRPr="00D6440D" w:rsidRDefault="008809C4" w:rsidP="00D6440D">
      <w:pPr>
        <w:ind w:left="360"/>
      </w:pPr>
      <w:r>
        <w:t>For monitoring treatment efficacy (</w:t>
      </w:r>
      <w:proofErr w:type="spellStart"/>
      <w:r>
        <w:t>e.g</w:t>
      </w:r>
      <w:proofErr w:type="spellEnd"/>
      <w:r>
        <w:t xml:space="preserve"> </w:t>
      </w:r>
      <w:proofErr w:type="spellStart"/>
      <w:r>
        <w:t>Everolimus</w:t>
      </w:r>
      <w:proofErr w:type="spellEnd"/>
      <w:r>
        <w:t xml:space="preserve"> for TSC) one additional </w:t>
      </w:r>
      <w:r w:rsidR="00D7105F">
        <w:t xml:space="preserve">MRI performed 3 -6 months after commencement of treatment </w:t>
      </w:r>
      <w:r w:rsidR="00773D8E">
        <w:t>(one additional scan in lifetime of</w:t>
      </w:r>
      <w:r w:rsidR="676AC5F8">
        <w:t xml:space="preserve"> </w:t>
      </w:r>
      <w:r w:rsidR="00773D8E">
        <w:t>patient</w:t>
      </w:r>
      <w:r w:rsidR="4877527D">
        <w:t>)</w:t>
      </w:r>
      <w:r w:rsidR="00773D8E">
        <w:t>.</w:t>
      </w:r>
    </w:p>
    <w:p w14:paraId="7ED38989" w14:textId="77777777" w:rsidR="00382407" w:rsidRPr="00154B00" w:rsidRDefault="00382407" w:rsidP="00530204">
      <w:pPr>
        <w:pStyle w:val="Heading2"/>
      </w:pPr>
      <w:r>
        <w:t>How many years would the proposed medical service</w:t>
      </w:r>
      <w:r w:rsidR="00FC1607">
        <w:t>/technology</w:t>
      </w:r>
      <w:r>
        <w:t xml:space="preserve"> be required for the patient?</w:t>
      </w:r>
    </w:p>
    <w:p w14:paraId="5028E1E6" w14:textId="296CED41" w:rsidR="00382407" w:rsidRPr="00154B00" w:rsidRDefault="000B3DD9" w:rsidP="00AE1188">
      <w:pPr>
        <w:ind w:left="426"/>
        <w:rPr>
          <w:b/>
          <w:szCs w:val="20"/>
        </w:rPr>
      </w:pPr>
      <w:r>
        <w:t>Lifetime</w:t>
      </w:r>
    </w:p>
    <w:p w14:paraId="7B94ABED" w14:textId="77777777" w:rsidR="002A6753" w:rsidRPr="00154B00" w:rsidRDefault="000E47E7" w:rsidP="00530204">
      <w:pPr>
        <w:pStyle w:val="Heading2"/>
        <w:rPr>
          <w:b w:val="0"/>
        </w:rPr>
      </w:pPr>
      <w:r>
        <w:t xml:space="preserve">Estimate </w:t>
      </w:r>
      <w:r w:rsidR="002A6753">
        <w:t xml:space="preserve">the projected number of patients who will utilise the proposed </w:t>
      </w:r>
      <w:r>
        <w:t xml:space="preserve">medical </w:t>
      </w:r>
      <w:r w:rsidR="002A6753">
        <w:t>ser</w:t>
      </w:r>
      <w:r w:rsidR="00AE1188">
        <w:t>vice(s) for the first full year:</w:t>
      </w:r>
    </w:p>
    <w:p w14:paraId="61F4AAFC" w14:textId="1FA04D45" w:rsidR="00AE1188" w:rsidRPr="00154B00" w:rsidRDefault="00090FCF" w:rsidP="00AE1188">
      <w:pPr>
        <w:ind w:left="426"/>
        <w:rPr>
          <w:szCs w:val="20"/>
        </w:rPr>
      </w:pPr>
      <w:r>
        <w:t>700-900 patients</w:t>
      </w:r>
    </w:p>
    <w:p w14:paraId="03A32ABA" w14:textId="77777777" w:rsidR="00974D50" w:rsidRPr="00154B00" w:rsidRDefault="005A58BA" w:rsidP="00530204">
      <w:pPr>
        <w:pStyle w:val="Heading2"/>
        <w:rPr>
          <w:b w:val="0"/>
        </w:rPr>
      </w:pPr>
      <w:r>
        <w:t>Estimate the anticipated upt</w:t>
      </w:r>
      <w:r w:rsidR="000E47E7">
        <w:t>a</w:t>
      </w:r>
      <w:r w:rsidR="001B171D">
        <w:t>k</w:t>
      </w:r>
      <w:r w:rsidR="000E47E7">
        <w:t>e of the proposed medical service</w:t>
      </w:r>
      <w:r w:rsidR="00785937">
        <w:t>/technology</w:t>
      </w:r>
      <w:r w:rsidR="000E47E7">
        <w:t xml:space="preserve"> over the next three years</w:t>
      </w:r>
      <w:r w:rsidR="005272F8">
        <w:t>,</w:t>
      </w:r>
      <w:r w:rsidR="001B171D">
        <w:t xml:space="preserve"> factoring in any constraints in the health system</w:t>
      </w:r>
      <w:r w:rsidR="005272F8">
        <w:t xml:space="preserve"> </w:t>
      </w:r>
      <w:r w:rsidR="001B171D">
        <w:t>in meeting the needs of the proposed population (suc</w:t>
      </w:r>
      <w:r>
        <w:t>h as supply and demand factors)</w:t>
      </w:r>
      <w:r w:rsidR="005272F8">
        <w:t>,</w:t>
      </w:r>
      <w:r w:rsidR="001B171D">
        <w:t xml:space="preserve"> as well as </w:t>
      </w:r>
      <w:r w:rsidR="009C03FB">
        <w:t>provide commentary on</w:t>
      </w:r>
      <w:r w:rsidR="001B171D">
        <w:t xml:space="preserve"> risk of ‘leakage’ to populations not targeted by the service</w:t>
      </w:r>
      <w:r w:rsidR="005272F8">
        <w:t>.</w:t>
      </w:r>
    </w:p>
    <w:p w14:paraId="4EB2BF11" w14:textId="14E616E8" w:rsidR="001B171D" w:rsidRPr="00154B00" w:rsidRDefault="001466FD" w:rsidP="00AE1188">
      <w:pPr>
        <w:ind w:left="426"/>
      </w:pPr>
      <w:r>
        <w:t>Approx</w:t>
      </w:r>
      <w:r w:rsidR="00916F18">
        <w:t xml:space="preserve">imately </w:t>
      </w:r>
      <w:r w:rsidR="00BD2209">
        <w:t>2200-2700</w:t>
      </w:r>
      <w:r w:rsidR="002B50DF">
        <w:t xml:space="preserve">.  </w:t>
      </w:r>
      <w:r w:rsidR="7410BC4B">
        <w:t>T</w:t>
      </w:r>
      <w:r w:rsidR="002B50DF">
        <w:t xml:space="preserve">he risk of leakage is low for this patient population, </w:t>
      </w:r>
      <w:r w:rsidR="00933692">
        <w:t xml:space="preserve">due to rarity of the conditions proposed under this service, all patients are managed by a small group </w:t>
      </w:r>
      <w:r w:rsidR="000455F2">
        <w:t xml:space="preserve">of specialists.  Referral would be made by nephrologists or geneticists and in cases of rural, </w:t>
      </w:r>
      <w:proofErr w:type="gramStart"/>
      <w:r w:rsidR="000455F2">
        <w:t>regional</w:t>
      </w:r>
      <w:proofErr w:type="gramEnd"/>
      <w:r w:rsidR="000455F2">
        <w:t xml:space="preserve"> and remote patients</w:t>
      </w:r>
      <w:r w:rsidR="1126E647">
        <w:t>,</w:t>
      </w:r>
      <w:r w:rsidR="000455F2">
        <w:t xml:space="preserve"> occasionally by a general physician working closely with a nep</w:t>
      </w:r>
      <w:r>
        <w:t>hrology or genetics specialist in a tertiary outpatient clinic.</w:t>
      </w:r>
    </w:p>
    <w:p w14:paraId="52E56223" w14:textId="77777777" w:rsidR="003433D1" w:rsidRDefault="003433D1">
      <w:pPr>
        <w:rPr>
          <w:b/>
          <w:sz w:val="32"/>
          <w:szCs w:val="32"/>
        </w:rPr>
      </w:pPr>
      <w:r>
        <w:rPr>
          <w:b/>
          <w:sz w:val="32"/>
          <w:szCs w:val="32"/>
        </w:rPr>
        <w:br w:type="page"/>
      </w:r>
    </w:p>
    <w:p w14:paraId="7C04CD7C"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65416D4B" w14:textId="77777777" w:rsidR="006A649A" w:rsidRPr="00AE1188" w:rsidRDefault="006A649A" w:rsidP="001B5169">
      <w:pPr>
        <w:pStyle w:val="Heading2"/>
      </w:pPr>
      <w:r>
        <w:t>Indicate the likely</w:t>
      </w:r>
      <w:r w:rsidR="005A58BA">
        <w:t xml:space="preserve"> </w:t>
      </w:r>
      <w:r>
        <w:t xml:space="preserve">cost of </w:t>
      </w:r>
      <w:r w:rsidR="005A58BA">
        <w:t xml:space="preserve">providing the </w:t>
      </w:r>
      <w:r>
        <w:t>proposed medical service.</w:t>
      </w:r>
      <w:r w:rsidR="005A5D30">
        <w:t xml:space="preserve"> Where possible</w:t>
      </w:r>
      <w:r w:rsidR="00802553">
        <w:t>,</w:t>
      </w:r>
      <w:r w:rsidR="005A5D30">
        <w:t xml:space="preserve"> please pro</w:t>
      </w:r>
      <w:r w:rsidR="00AE1188">
        <w:t>vide overall cost and breakdown:</w:t>
      </w:r>
    </w:p>
    <w:p w14:paraId="37DBAE4C" w14:textId="30C35C39" w:rsidR="00951933" w:rsidRDefault="00F94C80" w:rsidP="00AE1188">
      <w:pPr>
        <w:ind w:left="426"/>
      </w:pPr>
      <w:r>
        <w:t>$450</w:t>
      </w:r>
      <w:r w:rsidR="00B605C0">
        <w:t xml:space="preserve"> for MRI</w:t>
      </w:r>
    </w:p>
    <w:p w14:paraId="51B5C0F6" w14:textId="30CF866A" w:rsidR="00B605C0" w:rsidRDefault="007509F9" w:rsidP="00AE1188">
      <w:pPr>
        <w:ind w:left="426"/>
      </w:pPr>
      <w:r>
        <w:t>A claim for the contrast agent will also need to be made in conjunction with this service similar to the items for contrast-enhanced MRI of the liver.</w:t>
      </w:r>
    </w:p>
    <w:p w14:paraId="3842CD2E" w14:textId="6084F06F" w:rsidR="00E9572E" w:rsidRPr="00154B00" w:rsidRDefault="00E9572E" w:rsidP="00AE1188">
      <w:pPr>
        <w:ind w:left="426"/>
      </w:pPr>
      <w:r>
        <w:t>$120 for contrast agent</w:t>
      </w:r>
      <w:r w:rsidR="00476C48">
        <w:t>.</w:t>
      </w:r>
    </w:p>
    <w:p w14:paraId="2A981651" w14:textId="77777777" w:rsidR="00951933" w:rsidRPr="00154B00" w:rsidRDefault="00951933" w:rsidP="00530204">
      <w:pPr>
        <w:pStyle w:val="Heading2"/>
      </w:pPr>
      <w:r>
        <w:t>Specify how long the proposed medical ser</w:t>
      </w:r>
      <w:r w:rsidR="00AE1188">
        <w:t>vice</w:t>
      </w:r>
      <w:r w:rsidR="00D269F6">
        <w:t>/technology</w:t>
      </w:r>
      <w:r w:rsidR="00AE1188">
        <w:t xml:space="preserve"> typically takes to perform:</w:t>
      </w:r>
    </w:p>
    <w:p w14:paraId="2CD5F94D" w14:textId="4F3D8987" w:rsidR="00951933" w:rsidRDefault="00BD2209" w:rsidP="00AE1188">
      <w:pPr>
        <w:ind w:left="426"/>
        <w:rPr>
          <w:b/>
          <w:szCs w:val="20"/>
        </w:rPr>
      </w:pPr>
      <w:r>
        <w:t>45 minutes</w:t>
      </w:r>
    </w:p>
    <w:p w14:paraId="11F19E81" w14:textId="46F55C1D" w:rsidR="00D269F6" w:rsidRDefault="00D269F6" w:rsidP="00D269F6">
      <w:pPr>
        <w:pStyle w:val="Heading2"/>
      </w:pPr>
      <w:r>
        <w:t xml:space="preserve">If public funding is sought through the </w:t>
      </w:r>
      <w:r w:rsidRPr="279866A2">
        <w:rPr>
          <w:u w:val="single"/>
        </w:rPr>
        <w:t>MBS</w:t>
      </w:r>
      <w:r>
        <w:t>, please draft a proposed MBS item descriptor to define the population and usage characteristics that defines eligibility for the medical service/technology.</w:t>
      </w:r>
    </w:p>
    <w:p w14:paraId="26B17A36" w14:textId="77777777" w:rsidR="00D15755" w:rsidRPr="00AE1188" w:rsidRDefault="00D15755" w:rsidP="00D15755">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t>5</w:t>
      </w:r>
      <w:r w:rsidRPr="00AE1188">
        <w:rPr>
          <w:szCs w:val="20"/>
        </w:rPr>
        <w:t xml:space="preserve"> </w:t>
      </w:r>
      <w:r>
        <w:rPr>
          <w:szCs w:val="20"/>
        </w:rPr>
        <w:t>Diagnostic Imaging Services</w:t>
      </w:r>
      <w:r w:rsidRPr="00AE1188">
        <w:rPr>
          <w:szCs w:val="20"/>
        </w:rPr>
        <w:t xml:space="preserve"> </w:t>
      </w:r>
    </w:p>
    <w:p w14:paraId="01AA43D6" w14:textId="77777777" w:rsidR="00D15755" w:rsidRPr="0056190A" w:rsidRDefault="00D15755" w:rsidP="00D15755">
      <w:pPr>
        <w:pBdr>
          <w:top w:val="single" w:sz="4" w:space="1" w:color="auto"/>
          <w:left w:val="single" w:sz="4" w:space="4" w:color="auto"/>
          <w:bottom w:val="single" w:sz="4" w:space="1" w:color="auto"/>
          <w:right w:val="single" w:sz="4" w:space="4" w:color="auto"/>
        </w:pBdr>
      </w:pPr>
      <w:r w:rsidRPr="0056190A">
        <w:t xml:space="preserve">Magnetic Resonance Imaging using gadolinium-based contrast performed under the professional supervision of an eligible provider at an eligible location where the patient is referred by a specialist (nephrologist or geneticist) or consultant physician scan of abdomen for patients aged under 85 years with a confirmed clinical and/or molecular diagnosis of a condition known to carry an increased risk of the development of renal tumours. Conditions include tuberous sclerosis complex, </w:t>
      </w:r>
      <w:proofErr w:type="spellStart"/>
      <w:r w:rsidRPr="0056190A">
        <w:t>Birt</w:t>
      </w:r>
      <w:proofErr w:type="spellEnd"/>
      <w:r w:rsidRPr="0056190A">
        <w:t>-Hogg-Dube syndrome, Von Hippel Lindau syndrome, HLRCC, Cowden syndrome, BAP1-associated cancer syndrome and paraganglioma and other rare genetic disorders associated with increased risk of the development of renal tumours;</w:t>
      </w:r>
    </w:p>
    <w:p w14:paraId="7BF91087" w14:textId="77777777" w:rsidR="00D15755" w:rsidRPr="0056190A" w:rsidRDefault="00D15755" w:rsidP="00D15755">
      <w:pPr>
        <w:pBdr>
          <w:top w:val="single" w:sz="4" w:space="1" w:color="auto"/>
          <w:left w:val="single" w:sz="4" w:space="4" w:color="auto"/>
          <w:bottom w:val="single" w:sz="4" w:space="1" w:color="auto"/>
          <w:right w:val="single" w:sz="4" w:space="4" w:color="auto"/>
        </w:pBdr>
      </w:pPr>
      <w:r w:rsidRPr="0056190A">
        <w:t>And</w:t>
      </w:r>
    </w:p>
    <w:p w14:paraId="1CFBF632" w14:textId="6DE8AE7A" w:rsidR="00D15755" w:rsidRPr="0056190A" w:rsidRDefault="00D15755" w:rsidP="00D15755">
      <w:pPr>
        <w:pBdr>
          <w:top w:val="single" w:sz="4" w:space="1" w:color="auto"/>
          <w:left w:val="single" w:sz="4" w:space="4" w:color="auto"/>
          <w:bottom w:val="single" w:sz="4" w:space="1" w:color="auto"/>
          <w:right w:val="single" w:sz="4" w:space="4" w:color="auto"/>
        </w:pBdr>
      </w:pPr>
      <w:r>
        <w:t xml:space="preserve">Maximum of once per year </w:t>
      </w:r>
    </w:p>
    <w:p w14:paraId="09209171" w14:textId="77777777" w:rsidR="00D15755" w:rsidRPr="00AE1188" w:rsidRDefault="00D15755" w:rsidP="00D15755">
      <w:pPr>
        <w:pBdr>
          <w:top w:val="single" w:sz="4" w:space="1" w:color="auto"/>
          <w:left w:val="single" w:sz="4" w:space="4" w:color="auto"/>
          <w:bottom w:val="single" w:sz="4" w:space="1" w:color="auto"/>
          <w:right w:val="single" w:sz="4" w:space="4" w:color="auto"/>
        </w:pBdr>
      </w:pPr>
    </w:p>
    <w:p w14:paraId="40675604" w14:textId="3889F59D" w:rsidR="00D15755" w:rsidRPr="00AE1188" w:rsidRDefault="00D15755" w:rsidP="00D15755">
      <w:pPr>
        <w:pBdr>
          <w:top w:val="single" w:sz="4" w:space="1" w:color="auto"/>
          <w:left w:val="single" w:sz="4" w:space="4" w:color="auto"/>
          <w:bottom w:val="single" w:sz="4" w:space="1" w:color="auto"/>
          <w:right w:val="single" w:sz="4" w:space="4" w:color="auto"/>
        </w:pBdr>
        <w:tabs>
          <w:tab w:val="left" w:pos="1524"/>
        </w:tabs>
        <w:rPr>
          <w:szCs w:val="20"/>
        </w:rPr>
      </w:pPr>
      <w:r w:rsidRPr="00AE1188">
        <w:rPr>
          <w:szCs w:val="20"/>
        </w:rPr>
        <w:t>Fee:  $</w:t>
      </w:r>
      <w:r>
        <w:t>450 (MR</w:t>
      </w:r>
      <w:r w:rsidR="000F1E2E">
        <w:t>I</w:t>
      </w:r>
      <w:r>
        <w:t xml:space="preserve">) and $ </w:t>
      </w:r>
      <w:r w:rsidR="00476C48">
        <w:t>120</w:t>
      </w:r>
      <w:r w:rsidR="00D6440D">
        <w:t xml:space="preserve"> </w:t>
      </w:r>
      <w:r>
        <w:t>(contrast agent)</w:t>
      </w:r>
    </w:p>
    <w:p w14:paraId="4DDBA09F" w14:textId="77777777" w:rsidR="00D15755" w:rsidRPr="00D15755" w:rsidRDefault="00D15755" w:rsidP="00205FAB"/>
    <w:p w14:paraId="33FFA701" w14:textId="2D571E16"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774448">
        <w:t>5</w:t>
      </w:r>
      <w:r w:rsidRPr="00AE1188">
        <w:rPr>
          <w:szCs w:val="20"/>
        </w:rPr>
        <w:t xml:space="preserve"> </w:t>
      </w:r>
      <w:r w:rsidR="00637924">
        <w:rPr>
          <w:szCs w:val="20"/>
        </w:rPr>
        <w:t>Diagnostic Imaging Services</w:t>
      </w:r>
      <w:r w:rsidRPr="00AE1188">
        <w:rPr>
          <w:szCs w:val="20"/>
        </w:rPr>
        <w:t xml:space="preserve"> </w:t>
      </w:r>
    </w:p>
    <w:p w14:paraId="15B37596" w14:textId="77BCD26A" w:rsidR="00434DC4" w:rsidRPr="0056190A" w:rsidRDefault="00171C82" w:rsidP="26490F5F">
      <w:pPr>
        <w:pBdr>
          <w:top w:val="single" w:sz="4" w:space="1" w:color="auto"/>
          <w:left w:val="single" w:sz="4" w:space="4" w:color="auto"/>
          <w:bottom w:val="single" w:sz="4" w:space="1" w:color="auto"/>
          <w:right w:val="single" w:sz="4" w:space="4" w:color="auto"/>
        </w:pBdr>
      </w:pPr>
      <w:r w:rsidRPr="0056190A">
        <w:t>Magnetic Resonance Imaging</w:t>
      </w:r>
      <w:r w:rsidR="002F3206" w:rsidRPr="0056190A">
        <w:t xml:space="preserve"> using </w:t>
      </w:r>
      <w:r w:rsidR="0056190A" w:rsidRPr="0056190A">
        <w:t>gadolinium-based</w:t>
      </w:r>
      <w:r w:rsidR="002F3206" w:rsidRPr="0056190A">
        <w:t xml:space="preserve"> contr</w:t>
      </w:r>
      <w:r w:rsidR="006A2BC3" w:rsidRPr="0056190A">
        <w:t>ast</w:t>
      </w:r>
      <w:r w:rsidRPr="0056190A">
        <w:t xml:space="preserve"> performed under the professional supervision of an eligible provider at an eligible location where the patient is referred by a specialist (nephrologist or geneticist) or consultant physician</w:t>
      </w:r>
      <w:r w:rsidR="00FB2BF7" w:rsidRPr="0056190A">
        <w:t xml:space="preserve"> scan of abdomen for p</w:t>
      </w:r>
      <w:r w:rsidR="3156B696" w:rsidRPr="0056190A">
        <w:t>atients aged under 85 years with a confirmed clinical and/or molecular diagnosis o</w:t>
      </w:r>
      <w:r w:rsidR="05ED1B06" w:rsidRPr="0056190A">
        <w:t xml:space="preserve">f a condition known to carry an increased risk of the development of renal </w:t>
      </w:r>
      <w:r w:rsidR="000A632F" w:rsidRPr="0056190A">
        <w:t>tumours</w:t>
      </w:r>
      <w:r w:rsidR="05ED1B06" w:rsidRPr="0056190A">
        <w:t>. Conditions include tuberous sclerosi</w:t>
      </w:r>
      <w:r w:rsidR="2600B6BC" w:rsidRPr="0056190A">
        <w:t xml:space="preserve">s complex, </w:t>
      </w:r>
      <w:proofErr w:type="spellStart"/>
      <w:r w:rsidR="2600B6BC" w:rsidRPr="0056190A">
        <w:t>Birt</w:t>
      </w:r>
      <w:proofErr w:type="spellEnd"/>
      <w:r w:rsidR="2600B6BC" w:rsidRPr="0056190A">
        <w:t>-Hogg-Dube syndrome, Von Hippel Lindau syndrome</w:t>
      </w:r>
      <w:r w:rsidR="76EBCBE8" w:rsidRPr="0056190A">
        <w:t>, HLRCC, Cowden syndrome, BAP1-associated cancer syndrome and paraganglioma</w:t>
      </w:r>
      <w:r w:rsidR="000A632F" w:rsidRPr="0056190A">
        <w:t xml:space="preserve"> and other rare genetic disorders associated with increased risk of the </w:t>
      </w:r>
      <w:r w:rsidR="00C06033" w:rsidRPr="0056190A">
        <w:t>development of renal tumours</w:t>
      </w:r>
      <w:r w:rsidR="00434DC4" w:rsidRPr="0056190A">
        <w:t>;</w:t>
      </w:r>
    </w:p>
    <w:p w14:paraId="4879BCF9" w14:textId="7175BA2B" w:rsidR="00434DC4" w:rsidRPr="0056190A" w:rsidRDefault="00434DC4" w:rsidP="26490F5F">
      <w:pPr>
        <w:pBdr>
          <w:top w:val="single" w:sz="4" w:space="1" w:color="auto"/>
          <w:left w:val="single" w:sz="4" w:space="4" w:color="auto"/>
          <w:bottom w:val="single" w:sz="4" w:space="1" w:color="auto"/>
          <w:right w:val="single" w:sz="4" w:space="4" w:color="auto"/>
        </w:pBdr>
      </w:pPr>
      <w:r w:rsidRPr="0056190A">
        <w:t>And</w:t>
      </w:r>
    </w:p>
    <w:p w14:paraId="609997FE" w14:textId="27D4D054" w:rsidR="00434DC4" w:rsidRPr="0056190A" w:rsidRDefault="00434DC4" w:rsidP="26490F5F">
      <w:pPr>
        <w:pBdr>
          <w:top w:val="single" w:sz="4" w:space="1" w:color="auto"/>
          <w:left w:val="single" w:sz="4" w:space="4" w:color="auto"/>
          <w:bottom w:val="single" w:sz="4" w:space="1" w:color="auto"/>
          <w:right w:val="single" w:sz="4" w:space="4" w:color="auto"/>
        </w:pBdr>
      </w:pPr>
      <w:r w:rsidRPr="0056190A">
        <w:t>A</w:t>
      </w:r>
      <w:r w:rsidR="003F2B3F" w:rsidRPr="0056190A">
        <w:t xml:space="preserve">pproximately 3- 6 </w:t>
      </w:r>
      <w:r w:rsidR="0056190A" w:rsidRPr="0056190A">
        <w:t>months a</w:t>
      </w:r>
      <w:r w:rsidRPr="0056190A">
        <w:t xml:space="preserve">fter disease specific therapeutic intervention is initiated to </w:t>
      </w:r>
      <w:r w:rsidR="003F2B3F" w:rsidRPr="0056190A">
        <w:t>assess responsiveness</w:t>
      </w:r>
      <w:r w:rsidR="00D15755">
        <w:t xml:space="preserve"> (once per lifetime)</w:t>
      </w:r>
      <w:r w:rsidR="003F2B3F" w:rsidRPr="0056190A">
        <w:t xml:space="preserve"> </w:t>
      </w:r>
    </w:p>
    <w:p w14:paraId="07547A01" w14:textId="3AA8929A" w:rsidR="00AE1188" w:rsidRPr="00AE1188" w:rsidRDefault="00AE1188" w:rsidP="00AE1188">
      <w:pPr>
        <w:pBdr>
          <w:top w:val="single" w:sz="4" w:space="1" w:color="auto"/>
          <w:left w:val="single" w:sz="4" w:space="4" w:color="auto"/>
          <w:bottom w:val="single" w:sz="4" w:space="1" w:color="auto"/>
          <w:right w:val="single" w:sz="4" w:space="4" w:color="auto"/>
        </w:pBdr>
      </w:pPr>
    </w:p>
    <w:p w14:paraId="54BD0FFA" w14:textId="03D46DE9" w:rsidR="00D15755" w:rsidRPr="00D6440D" w:rsidRDefault="00AE1188" w:rsidP="006E5858">
      <w:pPr>
        <w:pBdr>
          <w:top w:val="single" w:sz="4" w:space="1" w:color="auto"/>
          <w:left w:val="single" w:sz="4" w:space="4" w:color="auto"/>
          <w:bottom w:val="single" w:sz="4" w:space="1" w:color="auto"/>
          <w:right w:val="single" w:sz="4" w:space="4" w:color="auto"/>
        </w:pBdr>
        <w:tabs>
          <w:tab w:val="left" w:pos="1524"/>
        </w:tabs>
      </w:pPr>
      <w:r w:rsidRPr="00AE1188">
        <w:rPr>
          <w:szCs w:val="20"/>
        </w:rPr>
        <w:t>Fee:  $</w:t>
      </w:r>
      <w:r w:rsidR="00F94C80">
        <w:t>45</w:t>
      </w:r>
      <w:r w:rsidR="006E5858">
        <w:t>0 (MR</w:t>
      </w:r>
      <w:r w:rsidR="000F1E2E">
        <w:t>I</w:t>
      </w:r>
      <w:r w:rsidR="006E5858">
        <w:t>) and $</w:t>
      </w:r>
      <w:r w:rsidR="00476C48">
        <w:t>120</w:t>
      </w:r>
      <w:r w:rsidR="000F1E2E">
        <w:t xml:space="preserve"> </w:t>
      </w:r>
      <w:r w:rsidR="006E5858">
        <w:t>(contrast agent)</w:t>
      </w:r>
    </w:p>
    <w:p w14:paraId="6587D42B" w14:textId="77777777" w:rsidR="00D6440D" w:rsidRDefault="00D269F6" w:rsidP="00D6440D">
      <w:pPr>
        <w:pStyle w:val="Heading2"/>
        <w:spacing w:before="240"/>
        <w:ind w:left="357" w:hanging="357"/>
        <w:contextualSpacing w:val="0"/>
      </w:pPr>
      <w:r>
        <w:t xml:space="preserve">If public funding is sought through an </w:t>
      </w:r>
      <w:r w:rsidRPr="26490F5F">
        <w:rPr>
          <w:u w:val="single"/>
        </w:rPr>
        <w:t>alternative (non-MBS) funding arrangement</w:t>
      </w:r>
      <w:r>
        <w:t>, please draft a service description to define the population and usage characteristics that defines eligibility for the service/technology</w:t>
      </w:r>
      <w:r w:rsidR="00785937">
        <w:t>.</w:t>
      </w:r>
      <w:r w:rsidR="56DAA523">
        <w:t xml:space="preserve"> </w:t>
      </w:r>
    </w:p>
    <w:p w14:paraId="5B39DE62" w14:textId="3A50770E" w:rsidR="00D269F6" w:rsidRPr="00D6440D" w:rsidRDefault="00D6440D" w:rsidP="00D6440D">
      <w:pPr>
        <w:pStyle w:val="Heading2"/>
        <w:numPr>
          <w:ilvl w:val="0"/>
          <w:numId w:val="0"/>
        </w:numPr>
        <w:ind w:left="357"/>
        <w:contextualSpacing w:val="0"/>
        <w:rPr>
          <w:b w:val="0"/>
          <w:bCs/>
        </w:rPr>
      </w:pPr>
      <w:r w:rsidRPr="00D6440D">
        <w:rPr>
          <w:b w:val="0"/>
          <w:bCs/>
        </w:rPr>
        <w:t>Not applicable</w:t>
      </w:r>
    </w:p>
    <w:p w14:paraId="07459315" w14:textId="0EF606E8" w:rsidR="00282B37" w:rsidRPr="00205FAB" w:rsidRDefault="03DCCC2B" w:rsidP="279866A2">
      <w:r w:rsidRPr="00205FAB">
        <w:t xml:space="preserve"> </w:t>
      </w:r>
    </w:p>
    <w:sectPr w:rsidR="00282B37" w:rsidRPr="00205FAB"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DF3B8" w14:textId="77777777" w:rsidR="002F0D6E" w:rsidRDefault="002F0D6E" w:rsidP="00CF2DFA">
      <w:pPr>
        <w:spacing w:after="0"/>
      </w:pPr>
      <w:r>
        <w:separator/>
      </w:r>
    </w:p>
  </w:endnote>
  <w:endnote w:type="continuationSeparator" w:id="0">
    <w:p w14:paraId="08578C8F" w14:textId="77777777" w:rsidR="002F0D6E" w:rsidRDefault="002F0D6E" w:rsidP="00CF2DFA">
      <w:pPr>
        <w:spacing w:after="0"/>
      </w:pPr>
      <w:r>
        <w:continuationSeparator/>
      </w:r>
    </w:p>
  </w:endnote>
  <w:endnote w:type="continuationNotice" w:id="1">
    <w:p w14:paraId="2C033EF1" w14:textId="77777777" w:rsidR="002F0D6E" w:rsidRDefault="002F0D6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13285D22" w14:textId="01C96DD7" w:rsidR="00BA2095" w:rsidRDefault="00BA2095">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2212DC" w:rsidRPr="002212DC">
          <w:rPr>
            <w:b/>
            <w:bCs/>
            <w:noProof/>
            <w:sz w:val="18"/>
            <w:szCs w:val="18"/>
          </w:rPr>
          <w:t>3</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2C4613FA" w14:textId="77777777" w:rsidR="00BA2095" w:rsidRPr="003F7CB9" w:rsidRDefault="00BA2095"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C8BC7" w14:textId="77777777" w:rsidR="002F0D6E" w:rsidRDefault="002F0D6E" w:rsidP="00CF2DFA">
      <w:pPr>
        <w:spacing w:after="0"/>
      </w:pPr>
      <w:r>
        <w:separator/>
      </w:r>
    </w:p>
  </w:footnote>
  <w:footnote w:type="continuationSeparator" w:id="0">
    <w:p w14:paraId="4D612374" w14:textId="77777777" w:rsidR="002F0D6E" w:rsidRDefault="002F0D6E" w:rsidP="00CF2DFA">
      <w:pPr>
        <w:spacing w:after="0"/>
      </w:pPr>
      <w:r>
        <w:continuationSeparator/>
      </w:r>
    </w:p>
  </w:footnote>
  <w:footnote w:type="continuationNotice" w:id="1">
    <w:p w14:paraId="071C9815" w14:textId="77777777" w:rsidR="002F0D6E" w:rsidRDefault="002F0D6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FFFFFFFF">
      <w:start w:val="2"/>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D6390D"/>
    <w:multiLevelType w:val="hybridMultilevel"/>
    <w:tmpl w:val="FFFFFFFF"/>
    <w:lvl w:ilvl="0" w:tplc="BF024AE2">
      <w:start w:val="2"/>
      <w:numFmt w:val="lowerLetter"/>
      <w:lvlText w:val="(%1)"/>
      <w:lvlJc w:val="left"/>
      <w:pPr>
        <w:ind w:left="720" w:hanging="360"/>
      </w:pPr>
    </w:lvl>
    <w:lvl w:ilvl="1" w:tplc="1E04FFCA">
      <w:start w:val="1"/>
      <w:numFmt w:val="lowerLetter"/>
      <w:lvlText w:val="%2."/>
      <w:lvlJc w:val="left"/>
      <w:pPr>
        <w:ind w:left="1440" w:hanging="360"/>
      </w:pPr>
    </w:lvl>
    <w:lvl w:ilvl="2" w:tplc="AFE80E92">
      <w:start w:val="1"/>
      <w:numFmt w:val="lowerRoman"/>
      <w:lvlText w:val="%3."/>
      <w:lvlJc w:val="right"/>
      <w:pPr>
        <w:ind w:left="2160" w:hanging="180"/>
      </w:pPr>
    </w:lvl>
    <w:lvl w:ilvl="3" w:tplc="4C34B842">
      <w:start w:val="1"/>
      <w:numFmt w:val="decimal"/>
      <w:lvlText w:val="%4."/>
      <w:lvlJc w:val="left"/>
      <w:pPr>
        <w:ind w:left="2880" w:hanging="360"/>
      </w:pPr>
    </w:lvl>
    <w:lvl w:ilvl="4" w:tplc="6A4C3D10">
      <w:start w:val="1"/>
      <w:numFmt w:val="lowerLetter"/>
      <w:lvlText w:val="%5."/>
      <w:lvlJc w:val="left"/>
      <w:pPr>
        <w:ind w:left="3600" w:hanging="360"/>
      </w:pPr>
    </w:lvl>
    <w:lvl w:ilvl="5" w:tplc="1AF6A464">
      <w:start w:val="1"/>
      <w:numFmt w:val="lowerRoman"/>
      <w:lvlText w:val="%6."/>
      <w:lvlJc w:val="right"/>
      <w:pPr>
        <w:ind w:left="4320" w:hanging="180"/>
      </w:pPr>
    </w:lvl>
    <w:lvl w:ilvl="6" w:tplc="341EB822">
      <w:start w:val="1"/>
      <w:numFmt w:val="decimal"/>
      <w:lvlText w:val="%7."/>
      <w:lvlJc w:val="left"/>
      <w:pPr>
        <w:ind w:left="5040" w:hanging="360"/>
      </w:pPr>
    </w:lvl>
    <w:lvl w:ilvl="7" w:tplc="8B326D34">
      <w:start w:val="1"/>
      <w:numFmt w:val="lowerLetter"/>
      <w:lvlText w:val="%8."/>
      <w:lvlJc w:val="left"/>
      <w:pPr>
        <w:ind w:left="5760" w:hanging="360"/>
      </w:pPr>
    </w:lvl>
    <w:lvl w:ilvl="8" w:tplc="D198676C">
      <w:start w:val="1"/>
      <w:numFmt w:val="lowerRoman"/>
      <w:lvlText w:val="%9."/>
      <w:lvlJc w:val="right"/>
      <w:pPr>
        <w:ind w:left="6480" w:hanging="180"/>
      </w:pPr>
    </w:lvl>
  </w:abstractNum>
  <w:abstractNum w:abstractNumId="7" w15:restartNumberingAfterBreak="0">
    <w:nsid w:val="378773FF"/>
    <w:multiLevelType w:val="multilevel"/>
    <w:tmpl w:val="7C6E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8B7F34"/>
    <w:multiLevelType w:val="hybridMultilevel"/>
    <w:tmpl w:val="8A68561A"/>
    <w:lvl w:ilvl="0" w:tplc="99E6AD1C">
      <w:start w:val="2"/>
      <w:numFmt w:val="lowerLetter"/>
      <w:lvlText w:val="(%1)"/>
      <w:lvlJc w:val="left"/>
      <w:pPr>
        <w:ind w:left="720" w:hanging="360"/>
      </w:pPr>
    </w:lvl>
    <w:lvl w:ilvl="1" w:tplc="8028DDC0">
      <w:start w:val="1"/>
      <w:numFmt w:val="lowerLetter"/>
      <w:lvlText w:val="%2."/>
      <w:lvlJc w:val="left"/>
      <w:pPr>
        <w:ind w:left="1440" w:hanging="360"/>
      </w:pPr>
    </w:lvl>
    <w:lvl w:ilvl="2" w:tplc="B9F473D0">
      <w:start w:val="1"/>
      <w:numFmt w:val="lowerRoman"/>
      <w:lvlText w:val="%3."/>
      <w:lvlJc w:val="right"/>
      <w:pPr>
        <w:ind w:left="2160" w:hanging="180"/>
      </w:pPr>
    </w:lvl>
    <w:lvl w:ilvl="3" w:tplc="7C8ECF02">
      <w:start w:val="1"/>
      <w:numFmt w:val="decimal"/>
      <w:lvlText w:val="%4."/>
      <w:lvlJc w:val="left"/>
      <w:pPr>
        <w:ind w:left="2880" w:hanging="360"/>
      </w:pPr>
    </w:lvl>
    <w:lvl w:ilvl="4" w:tplc="FDFC7AC8">
      <w:start w:val="1"/>
      <w:numFmt w:val="lowerLetter"/>
      <w:lvlText w:val="%5."/>
      <w:lvlJc w:val="left"/>
      <w:pPr>
        <w:ind w:left="3600" w:hanging="360"/>
      </w:pPr>
    </w:lvl>
    <w:lvl w:ilvl="5" w:tplc="E264C7F0">
      <w:start w:val="1"/>
      <w:numFmt w:val="lowerRoman"/>
      <w:lvlText w:val="%6."/>
      <w:lvlJc w:val="right"/>
      <w:pPr>
        <w:ind w:left="4320" w:hanging="180"/>
      </w:pPr>
    </w:lvl>
    <w:lvl w:ilvl="6" w:tplc="CA72043A">
      <w:start w:val="1"/>
      <w:numFmt w:val="decimal"/>
      <w:lvlText w:val="%7."/>
      <w:lvlJc w:val="left"/>
      <w:pPr>
        <w:ind w:left="5040" w:hanging="360"/>
      </w:pPr>
    </w:lvl>
    <w:lvl w:ilvl="7" w:tplc="88DA8D6E">
      <w:start w:val="1"/>
      <w:numFmt w:val="lowerLetter"/>
      <w:lvlText w:val="%8."/>
      <w:lvlJc w:val="left"/>
      <w:pPr>
        <w:ind w:left="5760" w:hanging="360"/>
      </w:pPr>
    </w:lvl>
    <w:lvl w:ilvl="8" w:tplc="5930F1DE">
      <w:start w:val="1"/>
      <w:numFmt w:val="lowerRoman"/>
      <w:lvlText w:val="%9."/>
      <w:lvlJc w:val="right"/>
      <w:pPr>
        <w:ind w:left="6480" w:hanging="180"/>
      </w:pPr>
    </w:lvl>
  </w:abstractNum>
  <w:abstractNum w:abstractNumId="10"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1" w15:restartNumberingAfterBreak="0">
    <w:nsid w:val="47B12594"/>
    <w:multiLevelType w:val="multilevel"/>
    <w:tmpl w:val="BA44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424916"/>
    <w:multiLevelType w:val="hybridMultilevel"/>
    <w:tmpl w:val="306C2EB2"/>
    <w:lvl w:ilvl="0" w:tplc="F0E05340">
      <w:start w:val="2"/>
      <w:numFmt w:val="lowerLetter"/>
      <w:lvlText w:val="(%1)"/>
      <w:lvlJc w:val="left"/>
      <w:pPr>
        <w:ind w:left="720" w:hanging="360"/>
      </w:pPr>
    </w:lvl>
    <w:lvl w:ilvl="1" w:tplc="3940D29C">
      <w:start w:val="1"/>
      <w:numFmt w:val="lowerLetter"/>
      <w:lvlText w:val="%2."/>
      <w:lvlJc w:val="left"/>
      <w:pPr>
        <w:ind w:left="1440" w:hanging="360"/>
      </w:pPr>
    </w:lvl>
    <w:lvl w:ilvl="2" w:tplc="2DD84248">
      <w:start w:val="1"/>
      <w:numFmt w:val="lowerRoman"/>
      <w:lvlText w:val="%3."/>
      <w:lvlJc w:val="right"/>
      <w:pPr>
        <w:ind w:left="2160" w:hanging="180"/>
      </w:pPr>
    </w:lvl>
    <w:lvl w:ilvl="3" w:tplc="0E785FEE">
      <w:start w:val="1"/>
      <w:numFmt w:val="decimal"/>
      <w:lvlText w:val="%4."/>
      <w:lvlJc w:val="left"/>
      <w:pPr>
        <w:ind w:left="2880" w:hanging="360"/>
      </w:pPr>
    </w:lvl>
    <w:lvl w:ilvl="4" w:tplc="BD24B248">
      <w:start w:val="1"/>
      <w:numFmt w:val="lowerLetter"/>
      <w:lvlText w:val="%5."/>
      <w:lvlJc w:val="left"/>
      <w:pPr>
        <w:ind w:left="3600" w:hanging="360"/>
      </w:pPr>
    </w:lvl>
    <w:lvl w:ilvl="5" w:tplc="ED487B4E">
      <w:start w:val="1"/>
      <w:numFmt w:val="lowerRoman"/>
      <w:lvlText w:val="%6."/>
      <w:lvlJc w:val="right"/>
      <w:pPr>
        <w:ind w:left="4320" w:hanging="180"/>
      </w:pPr>
    </w:lvl>
    <w:lvl w:ilvl="6" w:tplc="D6226F82">
      <w:start w:val="1"/>
      <w:numFmt w:val="decimal"/>
      <w:lvlText w:val="%7."/>
      <w:lvlJc w:val="left"/>
      <w:pPr>
        <w:ind w:left="5040" w:hanging="360"/>
      </w:pPr>
    </w:lvl>
    <w:lvl w:ilvl="7" w:tplc="4AB2257E">
      <w:start w:val="1"/>
      <w:numFmt w:val="lowerLetter"/>
      <w:lvlText w:val="%8."/>
      <w:lvlJc w:val="left"/>
      <w:pPr>
        <w:ind w:left="5760" w:hanging="360"/>
      </w:pPr>
    </w:lvl>
    <w:lvl w:ilvl="8" w:tplc="A7561168">
      <w:start w:val="1"/>
      <w:numFmt w:val="lowerRoman"/>
      <w:lvlText w:val="%9."/>
      <w:lvlJc w:val="right"/>
      <w:pPr>
        <w:ind w:left="6480" w:hanging="180"/>
      </w:pPr>
    </w:lvl>
  </w:abstractNum>
  <w:abstractNum w:abstractNumId="13" w15:restartNumberingAfterBreak="0">
    <w:nsid w:val="510F6FAE"/>
    <w:multiLevelType w:val="multilevel"/>
    <w:tmpl w:val="60CCF1B6"/>
    <w:lvl w:ilvl="0">
      <w:start w:val="1"/>
      <w:numFmt w:val="decimal"/>
      <w:pStyle w:val="Heading2"/>
      <w:lvlText w:val="%1."/>
      <w:lvlJc w:val="left"/>
      <w:pPr>
        <w:ind w:left="360" w:hanging="360"/>
      </w:pPr>
      <w:rPr>
        <w:b/>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23D25E3"/>
    <w:multiLevelType w:val="multilevel"/>
    <w:tmpl w:val="7BFC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9F7BA1"/>
    <w:multiLevelType w:val="hybridMultilevel"/>
    <w:tmpl w:val="40C6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FB198D"/>
    <w:multiLevelType w:val="multilevel"/>
    <w:tmpl w:val="F9EC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FB25C2"/>
    <w:multiLevelType w:val="multilevel"/>
    <w:tmpl w:val="70C8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20"/>
  </w:num>
  <w:num w:numId="4">
    <w:abstractNumId w:val="1"/>
  </w:num>
  <w:num w:numId="5">
    <w:abstractNumId w:val="18"/>
  </w:num>
  <w:num w:numId="6">
    <w:abstractNumId w:val="3"/>
  </w:num>
  <w:num w:numId="7">
    <w:abstractNumId w:val="15"/>
  </w:num>
  <w:num w:numId="8">
    <w:abstractNumId w:val="8"/>
  </w:num>
  <w:num w:numId="9">
    <w:abstractNumId w:val="19"/>
  </w:num>
  <w:num w:numId="10">
    <w:abstractNumId w:val="2"/>
  </w:num>
  <w:num w:numId="11">
    <w:abstractNumId w:val="17"/>
  </w:num>
  <w:num w:numId="12">
    <w:abstractNumId w:val="5"/>
  </w:num>
  <w:num w:numId="13">
    <w:abstractNumId w:val="16"/>
  </w:num>
  <w:num w:numId="14">
    <w:abstractNumId w:val="4"/>
  </w:num>
  <w:num w:numId="15">
    <w:abstractNumId w:val="10"/>
  </w:num>
  <w:num w:numId="16">
    <w:abstractNumId w:val="0"/>
  </w:num>
  <w:num w:numId="17">
    <w:abstractNumId w:val="11"/>
  </w:num>
  <w:num w:numId="18">
    <w:abstractNumId w:val="7"/>
  </w:num>
  <w:num w:numId="19">
    <w:abstractNumId w:val="23"/>
  </w:num>
  <w:num w:numId="20">
    <w:abstractNumId w:val="14"/>
  </w:num>
  <w:num w:numId="21">
    <w:abstractNumId w:val="22"/>
  </w:num>
  <w:num w:numId="22">
    <w:abstractNumId w:val="21"/>
  </w:num>
  <w:num w:numId="23">
    <w:abstractNumId w:val="9"/>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5732"/>
    <w:rsid w:val="000062A0"/>
    <w:rsid w:val="000110DC"/>
    <w:rsid w:val="00015397"/>
    <w:rsid w:val="000158AA"/>
    <w:rsid w:val="000159B9"/>
    <w:rsid w:val="00016B6E"/>
    <w:rsid w:val="000179E8"/>
    <w:rsid w:val="00017DC3"/>
    <w:rsid w:val="000206EA"/>
    <w:rsid w:val="00020A07"/>
    <w:rsid w:val="00021969"/>
    <w:rsid w:val="00023E21"/>
    <w:rsid w:val="00025ABC"/>
    <w:rsid w:val="00026412"/>
    <w:rsid w:val="00027CAA"/>
    <w:rsid w:val="000300EA"/>
    <w:rsid w:val="00031F6F"/>
    <w:rsid w:val="00032A97"/>
    <w:rsid w:val="00034D6E"/>
    <w:rsid w:val="00041965"/>
    <w:rsid w:val="00043460"/>
    <w:rsid w:val="000455F2"/>
    <w:rsid w:val="0005089D"/>
    <w:rsid w:val="000514A3"/>
    <w:rsid w:val="000525BC"/>
    <w:rsid w:val="00056729"/>
    <w:rsid w:val="0005743F"/>
    <w:rsid w:val="0005746B"/>
    <w:rsid w:val="00057895"/>
    <w:rsid w:val="00067235"/>
    <w:rsid w:val="00067454"/>
    <w:rsid w:val="000677A0"/>
    <w:rsid w:val="0007164C"/>
    <w:rsid w:val="00073222"/>
    <w:rsid w:val="000770BA"/>
    <w:rsid w:val="00077806"/>
    <w:rsid w:val="00082B62"/>
    <w:rsid w:val="0008323F"/>
    <w:rsid w:val="00084883"/>
    <w:rsid w:val="00090E6F"/>
    <w:rsid w:val="00090FCF"/>
    <w:rsid w:val="00092580"/>
    <w:rsid w:val="00093F22"/>
    <w:rsid w:val="000955E7"/>
    <w:rsid w:val="0009561F"/>
    <w:rsid w:val="00095B45"/>
    <w:rsid w:val="000A110D"/>
    <w:rsid w:val="000A27B5"/>
    <w:rsid w:val="000A3CC9"/>
    <w:rsid w:val="000A478F"/>
    <w:rsid w:val="000A5140"/>
    <w:rsid w:val="000A5B32"/>
    <w:rsid w:val="000A632F"/>
    <w:rsid w:val="000B3CD0"/>
    <w:rsid w:val="000B3DD9"/>
    <w:rsid w:val="000C0632"/>
    <w:rsid w:val="000C0982"/>
    <w:rsid w:val="000C0D1D"/>
    <w:rsid w:val="000D066E"/>
    <w:rsid w:val="000D0831"/>
    <w:rsid w:val="000D4526"/>
    <w:rsid w:val="000D5E91"/>
    <w:rsid w:val="000E2E02"/>
    <w:rsid w:val="000E47E7"/>
    <w:rsid w:val="000E5439"/>
    <w:rsid w:val="000F1E2E"/>
    <w:rsid w:val="000F3129"/>
    <w:rsid w:val="000F580F"/>
    <w:rsid w:val="000F72DE"/>
    <w:rsid w:val="00100823"/>
    <w:rsid w:val="00102686"/>
    <w:rsid w:val="00105636"/>
    <w:rsid w:val="0011036E"/>
    <w:rsid w:val="001130B0"/>
    <w:rsid w:val="0011369B"/>
    <w:rsid w:val="00115B80"/>
    <w:rsid w:val="0011742E"/>
    <w:rsid w:val="00123D10"/>
    <w:rsid w:val="0012442E"/>
    <w:rsid w:val="00124809"/>
    <w:rsid w:val="00124824"/>
    <w:rsid w:val="00126B33"/>
    <w:rsid w:val="00133556"/>
    <w:rsid w:val="00145AFC"/>
    <w:rsid w:val="001466FD"/>
    <w:rsid w:val="0015121C"/>
    <w:rsid w:val="00152B00"/>
    <w:rsid w:val="00153524"/>
    <w:rsid w:val="00154B00"/>
    <w:rsid w:val="001644E9"/>
    <w:rsid w:val="00167AA9"/>
    <w:rsid w:val="00171643"/>
    <w:rsid w:val="00171C82"/>
    <w:rsid w:val="00173B37"/>
    <w:rsid w:val="00175420"/>
    <w:rsid w:val="0018432A"/>
    <w:rsid w:val="001845D9"/>
    <w:rsid w:val="0018630F"/>
    <w:rsid w:val="00187188"/>
    <w:rsid w:val="00190552"/>
    <w:rsid w:val="001906CD"/>
    <w:rsid w:val="001908D9"/>
    <w:rsid w:val="00191B99"/>
    <w:rsid w:val="00191FD1"/>
    <w:rsid w:val="00195067"/>
    <w:rsid w:val="0019694B"/>
    <w:rsid w:val="00197D29"/>
    <w:rsid w:val="0019CE6C"/>
    <w:rsid w:val="001A02E3"/>
    <w:rsid w:val="001A1ADF"/>
    <w:rsid w:val="001A365C"/>
    <w:rsid w:val="001A3883"/>
    <w:rsid w:val="001A3D02"/>
    <w:rsid w:val="001A70AB"/>
    <w:rsid w:val="001A7C8D"/>
    <w:rsid w:val="001B10DC"/>
    <w:rsid w:val="001B171D"/>
    <w:rsid w:val="001B29A1"/>
    <w:rsid w:val="001B326F"/>
    <w:rsid w:val="001B5169"/>
    <w:rsid w:val="001B6164"/>
    <w:rsid w:val="001C03E5"/>
    <w:rsid w:val="001C579F"/>
    <w:rsid w:val="001D0CA4"/>
    <w:rsid w:val="001D0CB0"/>
    <w:rsid w:val="001D3F72"/>
    <w:rsid w:val="001D6A35"/>
    <w:rsid w:val="001D6B0E"/>
    <w:rsid w:val="001D77ED"/>
    <w:rsid w:val="001E1180"/>
    <w:rsid w:val="001E23EA"/>
    <w:rsid w:val="001E55CC"/>
    <w:rsid w:val="001E6919"/>
    <w:rsid w:val="001E6958"/>
    <w:rsid w:val="001E6A04"/>
    <w:rsid w:val="001F097F"/>
    <w:rsid w:val="001F302E"/>
    <w:rsid w:val="00201924"/>
    <w:rsid w:val="00202473"/>
    <w:rsid w:val="00204B8A"/>
    <w:rsid w:val="002053F2"/>
    <w:rsid w:val="00205FAB"/>
    <w:rsid w:val="00206D63"/>
    <w:rsid w:val="0021185D"/>
    <w:rsid w:val="00212ED0"/>
    <w:rsid w:val="002131FB"/>
    <w:rsid w:val="00217BDA"/>
    <w:rsid w:val="00217EF8"/>
    <w:rsid w:val="00220079"/>
    <w:rsid w:val="002212DC"/>
    <w:rsid w:val="00226777"/>
    <w:rsid w:val="00227186"/>
    <w:rsid w:val="00230763"/>
    <w:rsid w:val="002339F3"/>
    <w:rsid w:val="00235BD1"/>
    <w:rsid w:val="00235D65"/>
    <w:rsid w:val="002414FC"/>
    <w:rsid w:val="00241C8E"/>
    <w:rsid w:val="00242B0E"/>
    <w:rsid w:val="0024626D"/>
    <w:rsid w:val="00247DF0"/>
    <w:rsid w:val="002546FC"/>
    <w:rsid w:val="00254813"/>
    <w:rsid w:val="00254CA9"/>
    <w:rsid w:val="00254D7A"/>
    <w:rsid w:val="00257FF2"/>
    <w:rsid w:val="002601E6"/>
    <w:rsid w:val="00262FFA"/>
    <w:rsid w:val="00264EA5"/>
    <w:rsid w:val="00265822"/>
    <w:rsid w:val="0026692F"/>
    <w:rsid w:val="0027105F"/>
    <w:rsid w:val="002711FB"/>
    <w:rsid w:val="002724C7"/>
    <w:rsid w:val="00274762"/>
    <w:rsid w:val="00276402"/>
    <w:rsid w:val="002776DB"/>
    <w:rsid w:val="0028152F"/>
    <w:rsid w:val="00282368"/>
    <w:rsid w:val="00282B37"/>
    <w:rsid w:val="00282BE8"/>
    <w:rsid w:val="00283318"/>
    <w:rsid w:val="0028444F"/>
    <w:rsid w:val="00285525"/>
    <w:rsid w:val="002857D7"/>
    <w:rsid w:val="00286C82"/>
    <w:rsid w:val="00290725"/>
    <w:rsid w:val="00294CD8"/>
    <w:rsid w:val="00296405"/>
    <w:rsid w:val="002A270B"/>
    <w:rsid w:val="002A4F2E"/>
    <w:rsid w:val="002A50FD"/>
    <w:rsid w:val="002A5C07"/>
    <w:rsid w:val="002A6753"/>
    <w:rsid w:val="002B28D7"/>
    <w:rsid w:val="002B44BE"/>
    <w:rsid w:val="002B4D0F"/>
    <w:rsid w:val="002B50DF"/>
    <w:rsid w:val="002B7EB6"/>
    <w:rsid w:val="002C0B61"/>
    <w:rsid w:val="002C15E6"/>
    <w:rsid w:val="002C247D"/>
    <w:rsid w:val="002C3345"/>
    <w:rsid w:val="002C59A7"/>
    <w:rsid w:val="002D0FD6"/>
    <w:rsid w:val="002D409A"/>
    <w:rsid w:val="002E0F5C"/>
    <w:rsid w:val="002E4E49"/>
    <w:rsid w:val="002E5E52"/>
    <w:rsid w:val="002F05EA"/>
    <w:rsid w:val="002F0D6E"/>
    <w:rsid w:val="002F30E7"/>
    <w:rsid w:val="002F3206"/>
    <w:rsid w:val="002F493A"/>
    <w:rsid w:val="002F4F90"/>
    <w:rsid w:val="00300A52"/>
    <w:rsid w:val="00300D64"/>
    <w:rsid w:val="00300EEB"/>
    <w:rsid w:val="003013A9"/>
    <w:rsid w:val="00301958"/>
    <w:rsid w:val="003020B5"/>
    <w:rsid w:val="003027BB"/>
    <w:rsid w:val="00302D91"/>
    <w:rsid w:val="0030479C"/>
    <w:rsid w:val="00310A10"/>
    <w:rsid w:val="00320A3C"/>
    <w:rsid w:val="003219EB"/>
    <w:rsid w:val="003257EB"/>
    <w:rsid w:val="00327D25"/>
    <w:rsid w:val="003319A7"/>
    <w:rsid w:val="003349A9"/>
    <w:rsid w:val="00334FE3"/>
    <w:rsid w:val="00340FCA"/>
    <w:rsid w:val="003421AE"/>
    <w:rsid w:val="00342A8A"/>
    <w:rsid w:val="00342B68"/>
    <w:rsid w:val="003433D1"/>
    <w:rsid w:val="00344B24"/>
    <w:rsid w:val="003456B9"/>
    <w:rsid w:val="00347036"/>
    <w:rsid w:val="0035067D"/>
    <w:rsid w:val="00352A1E"/>
    <w:rsid w:val="00353A16"/>
    <w:rsid w:val="00354EB2"/>
    <w:rsid w:val="0035776D"/>
    <w:rsid w:val="00362ACE"/>
    <w:rsid w:val="00363152"/>
    <w:rsid w:val="00363B7E"/>
    <w:rsid w:val="00364FD9"/>
    <w:rsid w:val="00365C16"/>
    <w:rsid w:val="00366DB0"/>
    <w:rsid w:val="00367C1B"/>
    <w:rsid w:val="003704B7"/>
    <w:rsid w:val="003721EA"/>
    <w:rsid w:val="003738E5"/>
    <w:rsid w:val="00374907"/>
    <w:rsid w:val="00376B61"/>
    <w:rsid w:val="0038122D"/>
    <w:rsid w:val="00382407"/>
    <w:rsid w:val="00386A64"/>
    <w:rsid w:val="00386FA1"/>
    <w:rsid w:val="00390142"/>
    <w:rsid w:val="003904AC"/>
    <w:rsid w:val="00392F00"/>
    <w:rsid w:val="00397377"/>
    <w:rsid w:val="00398BEC"/>
    <w:rsid w:val="003A22DE"/>
    <w:rsid w:val="003A2860"/>
    <w:rsid w:val="003A3C35"/>
    <w:rsid w:val="003A5414"/>
    <w:rsid w:val="003A57C0"/>
    <w:rsid w:val="003A7D30"/>
    <w:rsid w:val="003A7EC1"/>
    <w:rsid w:val="003B3C5C"/>
    <w:rsid w:val="003B42BB"/>
    <w:rsid w:val="003B5486"/>
    <w:rsid w:val="003B605D"/>
    <w:rsid w:val="003C47CA"/>
    <w:rsid w:val="003C5939"/>
    <w:rsid w:val="003D1C6A"/>
    <w:rsid w:val="003D4394"/>
    <w:rsid w:val="003D68D7"/>
    <w:rsid w:val="003D6DE1"/>
    <w:rsid w:val="003D795C"/>
    <w:rsid w:val="003E09B7"/>
    <w:rsid w:val="003E30FB"/>
    <w:rsid w:val="003E64F0"/>
    <w:rsid w:val="003E732E"/>
    <w:rsid w:val="003F2711"/>
    <w:rsid w:val="003F2B3F"/>
    <w:rsid w:val="003F6C70"/>
    <w:rsid w:val="003F7CB9"/>
    <w:rsid w:val="004012E7"/>
    <w:rsid w:val="00403333"/>
    <w:rsid w:val="00404AD3"/>
    <w:rsid w:val="00407816"/>
    <w:rsid w:val="004111F7"/>
    <w:rsid w:val="00411735"/>
    <w:rsid w:val="00411832"/>
    <w:rsid w:val="00413352"/>
    <w:rsid w:val="004155D7"/>
    <w:rsid w:val="00415820"/>
    <w:rsid w:val="00415C74"/>
    <w:rsid w:val="004207B1"/>
    <w:rsid w:val="00425460"/>
    <w:rsid w:val="004302DF"/>
    <w:rsid w:val="00432E73"/>
    <w:rsid w:val="00434D32"/>
    <w:rsid w:val="00434DC4"/>
    <w:rsid w:val="0043654D"/>
    <w:rsid w:val="00437F60"/>
    <w:rsid w:val="00451840"/>
    <w:rsid w:val="00452055"/>
    <w:rsid w:val="00460C9A"/>
    <w:rsid w:val="00461874"/>
    <w:rsid w:val="00464924"/>
    <w:rsid w:val="00465A44"/>
    <w:rsid w:val="0046709E"/>
    <w:rsid w:val="00467437"/>
    <w:rsid w:val="0047363C"/>
    <w:rsid w:val="00474D7B"/>
    <w:rsid w:val="00474E3E"/>
    <w:rsid w:val="0047581D"/>
    <w:rsid w:val="00476C48"/>
    <w:rsid w:val="00480289"/>
    <w:rsid w:val="00481279"/>
    <w:rsid w:val="0048284D"/>
    <w:rsid w:val="00483368"/>
    <w:rsid w:val="004856EF"/>
    <w:rsid w:val="00491520"/>
    <w:rsid w:val="00492375"/>
    <w:rsid w:val="004929A7"/>
    <w:rsid w:val="00494011"/>
    <w:rsid w:val="00494DE3"/>
    <w:rsid w:val="00495A44"/>
    <w:rsid w:val="004A0BF4"/>
    <w:rsid w:val="004A263B"/>
    <w:rsid w:val="004A33DF"/>
    <w:rsid w:val="004A4EC6"/>
    <w:rsid w:val="004A7E50"/>
    <w:rsid w:val="004B362D"/>
    <w:rsid w:val="004B3B7C"/>
    <w:rsid w:val="004B4516"/>
    <w:rsid w:val="004B68AE"/>
    <w:rsid w:val="004C236F"/>
    <w:rsid w:val="004C35B0"/>
    <w:rsid w:val="004C43DB"/>
    <w:rsid w:val="004C49EF"/>
    <w:rsid w:val="004C4A19"/>
    <w:rsid w:val="004C5570"/>
    <w:rsid w:val="004D00C9"/>
    <w:rsid w:val="004D242E"/>
    <w:rsid w:val="004D30F8"/>
    <w:rsid w:val="004D3260"/>
    <w:rsid w:val="004E16F5"/>
    <w:rsid w:val="004E2465"/>
    <w:rsid w:val="004E31FB"/>
    <w:rsid w:val="004E3CC7"/>
    <w:rsid w:val="004E5B69"/>
    <w:rsid w:val="004F2A87"/>
    <w:rsid w:val="00500D6D"/>
    <w:rsid w:val="00501305"/>
    <w:rsid w:val="00504E9C"/>
    <w:rsid w:val="00505A87"/>
    <w:rsid w:val="00507C56"/>
    <w:rsid w:val="00512DDB"/>
    <w:rsid w:val="00513DA5"/>
    <w:rsid w:val="00521B3D"/>
    <w:rsid w:val="0052344E"/>
    <w:rsid w:val="00526478"/>
    <w:rsid w:val="00526497"/>
    <w:rsid w:val="005272F8"/>
    <w:rsid w:val="00530204"/>
    <w:rsid w:val="0053168A"/>
    <w:rsid w:val="00533B10"/>
    <w:rsid w:val="00533C09"/>
    <w:rsid w:val="00534C5F"/>
    <w:rsid w:val="00540257"/>
    <w:rsid w:val="0054192F"/>
    <w:rsid w:val="00544EB3"/>
    <w:rsid w:val="0054518F"/>
    <w:rsid w:val="0054594B"/>
    <w:rsid w:val="00546211"/>
    <w:rsid w:val="0054749B"/>
    <w:rsid w:val="00551494"/>
    <w:rsid w:val="00551CC6"/>
    <w:rsid w:val="00552B80"/>
    <w:rsid w:val="00554E7A"/>
    <w:rsid w:val="0056015F"/>
    <w:rsid w:val="0056039F"/>
    <w:rsid w:val="00560541"/>
    <w:rsid w:val="0056190A"/>
    <w:rsid w:val="00563FF2"/>
    <w:rsid w:val="00566743"/>
    <w:rsid w:val="005672D0"/>
    <w:rsid w:val="0056756B"/>
    <w:rsid w:val="00571745"/>
    <w:rsid w:val="005724BA"/>
    <w:rsid w:val="00572CEB"/>
    <w:rsid w:val="00573884"/>
    <w:rsid w:val="0057616E"/>
    <w:rsid w:val="005775A2"/>
    <w:rsid w:val="00580D20"/>
    <w:rsid w:val="005834C9"/>
    <w:rsid w:val="00584C47"/>
    <w:rsid w:val="00584D86"/>
    <w:rsid w:val="00592364"/>
    <w:rsid w:val="00593C41"/>
    <w:rsid w:val="005949AC"/>
    <w:rsid w:val="005A107E"/>
    <w:rsid w:val="005A2C73"/>
    <w:rsid w:val="005A48E0"/>
    <w:rsid w:val="005A58BA"/>
    <w:rsid w:val="005A5D30"/>
    <w:rsid w:val="005A6AB9"/>
    <w:rsid w:val="005A7C8F"/>
    <w:rsid w:val="005B254E"/>
    <w:rsid w:val="005B3A77"/>
    <w:rsid w:val="005C333E"/>
    <w:rsid w:val="005C3AE7"/>
    <w:rsid w:val="005C50BF"/>
    <w:rsid w:val="005D0677"/>
    <w:rsid w:val="005D4250"/>
    <w:rsid w:val="005D7156"/>
    <w:rsid w:val="005D735F"/>
    <w:rsid w:val="005E04A2"/>
    <w:rsid w:val="005E143B"/>
    <w:rsid w:val="005E294C"/>
    <w:rsid w:val="005E2CE3"/>
    <w:rsid w:val="005F2C18"/>
    <w:rsid w:val="005F3B3C"/>
    <w:rsid w:val="005F3F07"/>
    <w:rsid w:val="005F67CB"/>
    <w:rsid w:val="005F7FF2"/>
    <w:rsid w:val="00603D04"/>
    <w:rsid w:val="00606857"/>
    <w:rsid w:val="00606CE5"/>
    <w:rsid w:val="00615F42"/>
    <w:rsid w:val="006232A6"/>
    <w:rsid w:val="006258C2"/>
    <w:rsid w:val="00626365"/>
    <w:rsid w:val="006302E7"/>
    <w:rsid w:val="00630E22"/>
    <w:rsid w:val="00630E69"/>
    <w:rsid w:val="00634064"/>
    <w:rsid w:val="00637924"/>
    <w:rsid w:val="0064168C"/>
    <w:rsid w:val="00643755"/>
    <w:rsid w:val="006471D8"/>
    <w:rsid w:val="006538A5"/>
    <w:rsid w:val="00655D8B"/>
    <w:rsid w:val="006568F9"/>
    <w:rsid w:val="00657323"/>
    <w:rsid w:val="00657B46"/>
    <w:rsid w:val="00657BB4"/>
    <w:rsid w:val="00663CCD"/>
    <w:rsid w:val="00664B80"/>
    <w:rsid w:val="006658BE"/>
    <w:rsid w:val="00665E7F"/>
    <w:rsid w:val="00666497"/>
    <w:rsid w:val="00666B6C"/>
    <w:rsid w:val="006676A2"/>
    <w:rsid w:val="00671264"/>
    <w:rsid w:val="006741ED"/>
    <w:rsid w:val="00674324"/>
    <w:rsid w:val="00674767"/>
    <w:rsid w:val="006764EC"/>
    <w:rsid w:val="006835FE"/>
    <w:rsid w:val="0068721B"/>
    <w:rsid w:val="0068DE5D"/>
    <w:rsid w:val="00693BFD"/>
    <w:rsid w:val="00695065"/>
    <w:rsid w:val="00696B4B"/>
    <w:rsid w:val="006A1038"/>
    <w:rsid w:val="006A2BC3"/>
    <w:rsid w:val="006A649A"/>
    <w:rsid w:val="006B1432"/>
    <w:rsid w:val="006B1B49"/>
    <w:rsid w:val="006B342B"/>
    <w:rsid w:val="006B419C"/>
    <w:rsid w:val="006B4287"/>
    <w:rsid w:val="006B6390"/>
    <w:rsid w:val="006B76C6"/>
    <w:rsid w:val="006C0356"/>
    <w:rsid w:val="006C0843"/>
    <w:rsid w:val="006C0CAD"/>
    <w:rsid w:val="006C2818"/>
    <w:rsid w:val="006C287C"/>
    <w:rsid w:val="006C4450"/>
    <w:rsid w:val="006C74B1"/>
    <w:rsid w:val="006D35A6"/>
    <w:rsid w:val="006D4C68"/>
    <w:rsid w:val="006D7E07"/>
    <w:rsid w:val="006E2A96"/>
    <w:rsid w:val="006E3DB1"/>
    <w:rsid w:val="006E57AA"/>
    <w:rsid w:val="006E5858"/>
    <w:rsid w:val="006E667C"/>
    <w:rsid w:val="006E7F17"/>
    <w:rsid w:val="006F03FE"/>
    <w:rsid w:val="006F04B9"/>
    <w:rsid w:val="006F1AC4"/>
    <w:rsid w:val="006F20CF"/>
    <w:rsid w:val="006F2977"/>
    <w:rsid w:val="006F2EA8"/>
    <w:rsid w:val="006F38ED"/>
    <w:rsid w:val="006F47C9"/>
    <w:rsid w:val="006F69FE"/>
    <w:rsid w:val="007000DE"/>
    <w:rsid w:val="00701409"/>
    <w:rsid w:val="0070256F"/>
    <w:rsid w:val="00704082"/>
    <w:rsid w:val="0070473C"/>
    <w:rsid w:val="0070765A"/>
    <w:rsid w:val="00707D4D"/>
    <w:rsid w:val="0071475E"/>
    <w:rsid w:val="00715B2D"/>
    <w:rsid w:val="00717FF9"/>
    <w:rsid w:val="007202AB"/>
    <w:rsid w:val="00723446"/>
    <w:rsid w:val="00723503"/>
    <w:rsid w:val="007277CE"/>
    <w:rsid w:val="00730C04"/>
    <w:rsid w:val="00734B21"/>
    <w:rsid w:val="0073561C"/>
    <w:rsid w:val="0073597B"/>
    <w:rsid w:val="007368B0"/>
    <w:rsid w:val="007378F6"/>
    <w:rsid w:val="0074176F"/>
    <w:rsid w:val="0074545D"/>
    <w:rsid w:val="007458DB"/>
    <w:rsid w:val="00745B0B"/>
    <w:rsid w:val="007465FC"/>
    <w:rsid w:val="007509F9"/>
    <w:rsid w:val="00751809"/>
    <w:rsid w:val="007522E3"/>
    <w:rsid w:val="0075335B"/>
    <w:rsid w:val="007533F4"/>
    <w:rsid w:val="00753C44"/>
    <w:rsid w:val="00754383"/>
    <w:rsid w:val="007564D1"/>
    <w:rsid w:val="00757232"/>
    <w:rsid w:val="00760402"/>
    <w:rsid w:val="00760679"/>
    <w:rsid w:val="00762230"/>
    <w:rsid w:val="00763628"/>
    <w:rsid w:val="00764DE1"/>
    <w:rsid w:val="00767E99"/>
    <w:rsid w:val="00767EBC"/>
    <w:rsid w:val="00771228"/>
    <w:rsid w:val="0077239B"/>
    <w:rsid w:val="00772E62"/>
    <w:rsid w:val="00773D8E"/>
    <w:rsid w:val="00774448"/>
    <w:rsid w:val="00775A6A"/>
    <w:rsid w:val="0077789B"/>
    <w:rsid w:val="00780B51"/>
    <w:rsid w:val="00780D29"/>
    <w:rsid w:val="00781F96"/>
    <w:rsid w:val="00785937"/>
    <w:rsid w:val="007918B0"/>
    <w:rsid w:val="00791C8D"/>
    <w:rsid w:val="0079354C"/>
    <w:rsid w:val="00794181"/>
    <w:rsid w:val="007969F3"/>
    <w:rsid w:val="007A0C2B"/>
    <w:rsid w:val="007A2E1F"/>
    <w:rsid w:val="007A7F6F"/>
    <w:rsid w:val="007B2C4A"/>
    <w:rsid w:val="007B4C76"/>
    <w:rsid w:val="007B7125"/>
    <w:rsid w:val="007C2260"/>
    <w:rsid w:val="007D027F"/>
    <w:rsid w:val="007D1E52"/>
    <w:rsid w:val="007D2358"/>
    <w:rsid w:val="007D25DC"/>
    <w:rsid w:val="007D6317"/>
    <w:rsid w:val="007D72E2"/>
    <w:rsid w:val="007E39E4"/>
    <w:rsid w:val="007E6FB3"/>
    <w:rsid w:val="007F21B4"/>
    <w:rsid w:val="007F4F3C"/>
    <w:rsid w:val="00801A4D"/>
    <w:rsid w:val="00802553"/>
    <w:rsid w:val="00803EAB"/>
    <w:rsid w:val="008046B5"/>
    <w:rsid w:val="00810224"/>
    <w:rsid w:val="008127C0"/>
    <w:rsid w:val="008128A6"/>
    <w:rsid w:val="00812EDD"/>
    <w:rsid w:val="008139C5"/>
    <w:rsid w:val="0081577B"/>
    <w:rsid w:val="0081650F"/>
    <w:rsid w:val="00825189"/>
    <w:rsid w:val="00830FDF"/>
    <w:rsid w:val="00832B31"/>
    <w:rsid w:val="008403E0"/>
    <w:rsid w:val="008405F8"/>
    <w:rsid w:val="008437A6"/>
    <w:rsid w:val="0084479B"/>
    <w:rsid w:val="008448B1"/>
    <w:rsid w:val="008457C4"/>
    <w:rsid w:val="0084657B"/>
    <w:rsid w:val="00850497"/>
    <w:rsid w:val="0085200F"/>
    <w:rsid w:val="00854D10"/>
    <w:rsid w:val="00855944"/>
    <w:rsid w:val="0086138B"/>
    <w:rsid w:val="00864A18"/>
    <w:rsid w:val="00870833"/>
    <w:rsid w:val="008708BC"/>
    <w:rsid w:val="008728A6"/>
    <w:rsid w:val="00874571"/>
    <w:rsid w:val="008809C4"/>
    <w:rsid w:val="00881F93"/>
    <w:rsid w:val="00882CB5"/>
    <w:rsid w:val="00883641"/>
    <w:rsid w:val="00884E69"/>
    <w:rsid w:val="00890082"/>
    <w:rsid w:val="00894D66"/>
    <w:rsid w:val="008A48D2"/>
    <w:rsid w:val="008A5C0B"/>
    <w:rsid w:val="008A7423"/>
    <w:rsid w:val="008B064E"/>
    <w:rsid w:val="008B17A2"/>
    <w:rsid w:val="008B2610"/>
    <w:rsid w:val="008B2CC0"/>
    <w:rsid w:val="008B335B"/>
    <w:rsid w:val="008B362F"/>
    <w:rsid w:val="008B471D"/>
    <w:rsid w:val="008B49E4"/>
    <w:rsid w:val="008B729C"/>
    <w:rsid w:val="008B7380"/>
    <w:rsid w:val="008C251B"/>
    <w:rsid w:val="008C4A93"/>
    <w:rsid w:val="008C668E"/>
    <w:rsid w:val="008C76E8"/>
    <w:rsid w:val="008D1A4B"/>
    <w:rsid w:val="008D485B"/>
    <w:rsid w:val="008D5EE8"/>
    <w:rsid w:val="008D6014"/>
    <w:rsid w:val="008D653B"/>
    <w:rsid w:val="008E0E49"/>
    <w:rsid w:val="008E1593"/>
    <w:rsid w:val="008E25DB"/>
    <w:rsid w:val="008E35FD"/>
    <w:rsid w:val="008E6227"/>
    <w:rsid w:val="008E78B9"/>
    <w:rsid w:val="008F3877"/>
    <w:rsid w:val="008F44BE"/>
    <w:rsid w:val="008F4A73"/>
    <w:rsid w:val="00901F1C"/>
    <w:rsid w:val="00902414"/>
    <w:rsid w:val="0090543D"/>
    <w:rsid w:val="009056C5"/>
    <w:rsid w:val="009107FE"/>
    <w:rsid w:val="00913838"/>
    <w:rsid w:val="009143D3"/>
    <w:rsid w:val="00914ACF"/>
    <w:rsid w:val="00916F18"/>
    <w:rsid w:val="00917DEB"/>
    <w:rsid w:val="009203C8"/>
    <w:rsid w:val="00921D67"/>
    <w:rsid w:val="00923175"/>
    <w:rsid w:val="00923A27"/>
    <w:rsid w:val="009262F2"/>
    <w:rsid w:val="00933692"/>
    <w:rsid w:val="00937791"/>
    <w:rsid w:val="00937C5C"/>
    <w:rsid w:val="00937F4F"/>
    <w:rsid w:val="0094303B"/>
    <w:rsid w:val="00943A5E"/>
    <w:rsid w:val="009441F6"/>
    <w:rsid w:val="00944B46"/>
    <w:rsid w:val="00947F99"/>
    <w:rsid w:val="00950949"/>
    <w:rsid w:val="00950F45"/>
    <w:rsid w:val="00951933"/>
    <w:rsid w:val="00954343"/>
    <w:rsid w:val="009550E8"/>
    <w:rsid w:val="00955271"/>
    <w:rsid w:val="0095739A"/>
    <w:rsid w:val="009602A0"/>
    <w:rsid w:val="00963C9C"/>
    <w:rsid w:val="00965B6B"/>
    <w:rsid w:val="00966434"/>
    <w:rsid w:val="00971EDB"/>
    <w:rsid w:val="009729B6"/>
    <w:rsid w:val="00974BAC"/>
    <w:rsid w:val="00974D50"/>
    <w:rsid w:val="00976BBD"/>
    <w:rsid w:val="00981430"/>
    <w:rsid w:val="009826EC"/>
    <w:rsid w:val="009831A9"/>
    <w:rsid w:val="00986521"/>
    <w:rsid w:val="009867C8"/>
    <w:rsid w:val="00987ABE"/>
    <w:rsid w:val="00987F7D"/>
    <w:rsid w:val="009918A0"/>
    <w:rsid w:val="00991EE4"/>
    <w:rsid w:val="00992A77"/>
    <w:rsid w:val="00992EBA"/>
    <w:rsid w:val="009930F0"/>
    <w:rsid w:val="009939DC"/>
    <w:rsid w:val="00993B9C"/>
    <w:rsid w:val="009A58A8"/>
    <w:rsid w:val="009A5961"/>
    <w:rsid w:val="009A6216"/>
    <w:rsid w:val="009A647E"/>
    <w:rsid w:val="009A6A5F"/>
    <w:rsid w:val="009B4E1E"/>
    <w:rsid w:val="009B599F"/>
    <w:rsid w:val="009C03FB"/>
    <w:rsid w:val="009C3411"/>
    <w:rsid w:val="009C4B4F"/>
    <w:rsid w:val="009D01D8"/>
    <w:rsid w:val="009E6E9E"/>
    <w:rsid w:val="009F08D3"/>
    <w:rsid w:val="009F0C02"/>
    <w:rsid w:val="009F2DDF"/>
    <w:rsid w:val="009F3A25"/>
    <w:rsid w:val="009F5758"/>
    <w:rsid w:val="00A01065"/>
    <w:rsid w:val="00A0283F"/>
    <w:rsid w:val="00A046C1"/>
    <w:rsid w:val="00A04F4A"/>
    <w:rsid w:val="00A05A2D"/>
    <w:rsid w:val="00A06597"/>
    <w:rsid w:val="00A11B6C"/>
    <w:rsid w:val="00A12160"/>
    <w:rsid w:val="00A129AA"/>
    <w:rsid w:val="00A2218D"/>
    <w:rsid w:val="00A2545A"/>
    <w:rsid w:val="00A26343"/>
    <w:rsid w:val="00A27466"/>
    <w:rsid w:val="00A408B5"/>
    <w:rsid w:val="00A41C28"/>
    <w:rsid w:val="00A460B8"/>
    <w:rsid w:val="00A5101D"/>
    <w:rsid w:val="00A511EF"/>
    <w:rsid w:val="00A529E2"/>
    <w:rsid w:val="00A539F8"/>
    <w:rsid w:val="00A53CE7"/>
    <w:rsid w:val="00A540A2"/>
    <w:rsid w:val="00A60A15"/>
    <w:rsid w:val="00A615E8"/>
    <w:rsid w:val="00A64580"/>
    <w:rsid w:val="00A6491A"/>
    <w:rsid w:val="00A6594E"/>
    <w:rsid w:val="00A67BDB"/>
    <w:rsid w:val="00A70115"/>
    <w:rsid w:val="00A727B6"/>
    <w:rsid w:val="00A746B3"/>
    <w:rsid w:val="00A74AF1"/>
    <w:rsid w:val="00A75C17"/>
    <w:rsid w:val="00A75D46"/>
    <w:rsid w:val="00A75F48"/>
    <w:rsid w:val="00A81CC6"/>
    <w:rsid w:val="00A8241C"/>
    <w:rsid w:val="00A82839"/>
    <w:rsid w:val="00A82D2F"/>
    <w:rsid w:val="00A83EC6"/>
    <w:rsid w:val="00A852DB"/>
    <w:rsid w:val="00A855A7"/>
    <w:rsid w:val="00A86997"/>
    <w:rsid w:val="00A86FEB"/>
    <w:rsid w:val="00A872E8"/>
    <w:rsid w:val="00A8732C"/>
    <w:rsid w:val="00A9062D"/>
    <w:rsid w:val="00A91152"/>
    <w:rsid w:val="00A91B64"/>
    <w:rsid w:val="00A93F58"/>
    <w:rsid w:val="00A9449A"/>
    <w:rsid w:val="00A96329"/>
    <w:rsid w:val="00A96667"/>
    <w:rsid w:val="00AA134B"/>
    <w:rsid w:val="00AA2CFE"/>
    <w:rsid w:val="00AA5FDA"/>
    <w:rsid w:val="00AA6291"/>
    <w:rsid w:val="00AB3F7B"/>
    <w:rsid w:val="00AB7499"/>
    <w:rsid w:val="00AB7A07"/>
    <w:rsid w:val="00AB7D95"/>
    <w:rsid w:val="00AB7E5F"/>
    <w:rsid w:val="00AC0C91"/>
    <w:rsid w:val="00AC13F7"/>
    <w:rsid w:val="00AC675D"/>
    <w:rsid w:val="00AD2E30"/>
    <w:rsid w:val="00AD2E85"/>
    <w:rsid w:val="00AD30EF"/>
    <w:rsid w:val="00AD37D4"/>
    <w:rsid w:val="00AD7986"/>
    <w:rsid w:val="00AE1188"/>
    <w:rsid w:val="00AE738C"/>
    <w:rsid w:val="00AF1046"/>
    <w:rsid w:val="00AF262F"/>
    <w:rsid w:val="00AF4466"/>
    <w:rsid w:val="00AF4AC8"/>
    <w:rsid w:val="00AF5D1E"/>
    <w:rsid w:val="00AF657A"/>
    <w:rsid w:val="00AF6870"/>
    <w:rsid w:val="00B00CC8"/>
    <w:rsid w:val="00B0348E"/>
    <w:rsid w:val="00B040A9"/>
    <w:rsid w:val="00B07ED1"/>
    <w:rsid w:val="00B10068"/>
    <w:rsid w:val="00B1124A"/>
    <w:rsid w:val="00B13729"/>
    <w:rsid w:val="00B16868"/>
    <w:rsid w:val="00B1711E"/>
    <w:rsid w:val="00B17CBE"/>
    <w:rsid w:val="00B17E26"/>
    <w:rsid w:val="00B229E9"/>
    <w:rsid w:val="00B22F4D"/>
    <w:rsid w:val="00B231A4"/>
    <w:rsid w:val="00B25D20"/>
    <w:rsid w:val="00B27849"/>
    <w:rsid w:val="00B3144B"/>
    <w:rsid w:val="00B31C99"/>
    <w:rsid w:val="00B34621"/>
    <w:rsid w:val="00B34E49"/>
    <w:rsid w:val="00B36473"/>
    <w:rsid w:val="00B41D44"/>
    <w:rsid w:val="00B442E9"/>
    <w:rsid w:val="00B444DF"/>
    <w:rsid w:val="00B454A0"/>
    <w:rsid w:val="00B45CA5"/>
    <w:rsid w:val="00B473FB"/>
    <w:rsid w:val="00B474DB"/>
    <w:rsid w:val="00B53BA6"/>
    <w:rsid w:val="00B5731D"/>
    <w:rsid w:val="00B575A8"/>
    <w:rsid w:val="00B605C0"/>
    <w:rsid w:val="00B6378B"/>
    <w:rsid w:val="00B63E3A"/>
    <w:rsid w:val="00B67571"/>
    <w:rsid w:val="00B72B5E"/>
    <w:rsid w:val="00B73E92"/>
    <w:rsid w:val="00B75965"/>
    <w:rsid w:val="00B75F16"/>
    <w:rsid w:val="00B771AD"/>
    <w:rsid w:val="00B77387"/>
    <w:rsid w:val="00B80335"/>
    <w:rsid w:val="00B814CB"/>
    <w:rsid w:val="00B81FF8"/>
    <w:rsid w:val="00B83EB9"/>
    <w:rsid w:val="00B86129"/>
    <w:rsid w:val="00B876B1"/>
    <w:rsid w:val="00B87BD0"/>
    <w:rsid w:val="00B940F7"/>
    <w:rsid w:val="00B967FC"/>
    <w:rsid w:val="00BA047F"/>
    <w:rsid w:val="00BA0CF8"/>
    <w:rsid w:val="00BA1ADF"/>
    <w:rsid w:val="00BA2095"/>
    <w:rsid w:val="00BA274B"/>
    <w:rsid w:val="00BA51FC"/>
    <w:rsid w:val="00BA72E3"/>
    <w:rsid w:val="00BB003A"/>
    <w:rsid w:val="00BB3358"/>
    <w:rsid w:val="00BB3382"/>
    <w:rsid w:val="00BB3643"/>
    <w:rsid w:val="00BB69CA"/>
    <w:rsid w:val="00BB6DB1"/>
    <w:rsid w:val="00BC1325"/>
    <w:rsid w:val="00BC1E01"/>
    <w:rsid w:val="00BC3DA0"/>
    <w:rsid w:val="00BC424B"/>
    <w:rsid w:val="00BC7642"/>
    <w:rsid w:val="00BD016A"/>
    <w:rsid w:val="00BD2209"/>
    <w:rsid w:val="00BD32F0"/>
    <w:rsid w:val="00BE0D94"/>
    <w:rsid w:val="00BE0FDE"/>
    <w:rsid w:val="00BE2E82"/>
    <w:rsid w:val="00BE63E2"/>
    <w:rsid w:val="00BF6497"/>
    <w:rsid w:val="00BF6AC5"/>
    <w:rsid w:val="00BF6B1E"/>
    <w:rsid w:val="00BF75CB"/>
    <w:rsid w:val="00C01121"/>
    <w:rsid w:val="00C030A5"/>
    <w:rsid w:val="00C031A2"/>
    <w:rsid w:val="00C05840"/>
    <w:rsid w:val="00C05A45"/>
    <w:rsid w:val="00C06033"/>
    <w:rsid w:val="00C0796F"/>
    <w:rsid w:val="00C11B34"/>
    <w:rsid w:val="00C11C97"/>
    <w:rsid w:val="00C12038"/>
    <w:rsid w:val="00C12C5C"/>
    <w:rsid w:val="00C16877"/>
    <w:rsid w:val="00C171FB"/>
    <w:rsid w:val="00C209C2"/>
    <w:rsid w:val="00C2267F"/>
    <w:rsid w:val="00C22AD8"/>
    <w:rsid w:val="00C33169"/>
    <w:rsid w:val="00C33C61"/>
    <w:rsid w:val="00C3557E"/>
    <w:rsid w:val="00C3594B"/>
    <w:rsid w:val="00C36791"/>
    <w:rsid w:val="00C43102"/>
    <w:rsid w:val="00C43C07"/>
    <w:rsid w:val="00C45AB7"/>
    <w:rsid w:val="00C4696B"/>
    <w:rsid w:val="00C50513"/>
    <w:rsid w:val="00C536D6"/>
    <w:rsid w:val="00C54503"/>
    <w:rsid w:val="00C575B2"/>
    <w:rsid w:val="00C57E67"/>
    <w:rsid w:val="00C63055"/>
    <w:rsid w:val="00C63209"/>
    <w:rsid w:val="00C71705"/>
    <w:rsid w:val="00C73B62"/>
    <w:rsid w:val="00C75A3E"/>
    <w:rsid w:val="00C776B1"/>
    <w:rsid w:val="00C815FE"/>
    <w:rsid w:val="00C81FA0"/>
    <w:rsid w:val="00C847AE"/>
    <w:rsid w:val="00C84AE0"/>
    <w:rsid w:val="00C862FA"/>
    <w:rsid w:val="00C86903"/>
    <w:rsid w:val="00C8754C"/>
    <w:rsid w:val="00C87AB4"/>
    <w:rsid w:val="00C9011D"/>
    <w:rsid w:val="00C90867"/>
    <w:rsid w:val="00CA04C6"/>
    <w:rsid w:val="00CA17BD"/>
    <w:rsid w:val="00CA26DD"/>
    <w:rsid w:val="00CB12EC"/>
    <w:rsid w:val="00CB2931"/>
    <w:rsid w:val="00CB4E78"/>
    <w:rsid w:val="00CB6D57"/>
    <w:rsid w:val="00CC09D7"/>
    <w:rsid w:val="00CC12B8"/>
    <w:rsid w:val="00CC5AB1"/>
    <w:rsid w:val="00CD0F09"/>
    <w:rsid w:val="00CD1AB3"/>
    <w:rsid w:val="00CD1BDC"/>
    <w:rsid w:val="00CD1D6E"/>
    <w:rsid w:val="00CD22E3"/>
    <w:rsid w:val="00CD2EFB"/>
    <w:rsid w:val="00CD3AC5"/>
    <w:rsid w:val="00CD4E44"/>
    <w:rsid w:val="00CD5AE4"/>
    <w:rsid w:val="00CD68FE"/>
    <w:rsid w:val="00CD6981"/>
    <w:rsid w:val="00CD6EDF"/>
    <w:rsid w:val="00CD7A7D"/>
    <w:rsid w:val="00CE0F9E"/>
    <w:rsid w:val="00CE666D"/>
    <w:rsid w:val="00CF11BF"/>
    <w:rsid w:val="00CF15E4"/>
    <w:rsid w:val="00CF274F"/>
    <w:rsid w:val="00CF2BDD"/>
    <w:rsid w:val="00CF2D8E"/>
    <w:rsid w:val="00CF2DFA"/>
    <w:rsid w:val="00CF3714"/>
    <w:rsid w:val="00CF5AD8"/>
    <w:rsid w:val="00CF6F5D"/>
    <w:rsid w:val="00D00122"/>
    <w:rsid w:val="00D01D2A"/>
    <w:rsid w:val="00D02422"/>
    <w:rsid w:val="00D10B47"/>
    <w:rsid w:val="00D11EB1"/>
    <w:rsid w:val="00D15755"/>
    <w:rsid w:val="00D159FF"/>
    <w:rsid w:val="00D17F17"/>
    <w:rsid w:val="00D2259A"/>
    <w:rsid w:val="00D22A3B"/>
    <w:rsid w:val="00D22BE9"/>
    <w:rsid w:val="00D23597"/>
    <w:rsid w:val="00D269F6"/>
    <w:rsid w:val="00D26FE8"/>
    <w:rsid w:val="00D27C39"/>
    <w:rsid w:val="00D30BDC"/>
    <w:rsid w:val="00D30F4A"/>
    <w:rsid w:val="00D356A2"/>
    <w:rsid w:val="00D35EDB"/>
    <w:rsid w:val="00D43197"/>
    <w:rsid w:val="00D448FE"/>
    <w:rsid w:val="00D51A05"/>
    <w:rsid w:val="00D54999"/>
    <w:rsid w:val="00D56765"/>
    <w:rsid w:val="00D56E79"/>
    <w:rsid w:val="00D57A8A"/>
    <w:rsid w:val="00D57F88"/>
    <w:rsid w:val="00D632FC"/>
    <w:rsid w:val="00D63381"/>
    <w:rsid w:val="00D6440D"/>
    <w:rsid w:val="00D7105C"/>
    <w:rsid w:val="00D7105F"/>
    <w:rsid w:val="00D73646"/>
    <w:rsid w:val="00D777B4"/>
    <w:rsid w:val="00D779D1"/>
    <w:rsid w:val="00D77A90"/>
    <w:rsid w:val="00D8360B"/>
    <w:rsid w:val="00D8553C"/>
    <w:rsid w:val="00D85676"/>
    <w:rsid w:val="00D856B8"/>
    <w:rsid w:val="00D877F5"/>
    <w:rsid w:val="00D93C8D"/>
    <w:rsid w:val="00D94AF5"/>
    <w:rsid w:val="00D94C4B"/>
    <w:rsid w:val="00D94C83"/>
    <w:rsid w:val="00D9530E"/>
    <w:rsid w:val="00D96ADA"/>
    <w:rsid w:val="00DA1ED2"/>
    <w:rsid w:val="00DA2886"/>
    <w:rsid w:val="00DA2BB5"/>
    <w:rsid w:val="00DA3FB0"/>
    <w:rsid w:val="00DA5E50"/>
    <w:rsid w:val="00DA78A6"/>
    <w:rsid w:val="00DA7D0C"/>
    <w:rsid w:val="00DB18D1"/>
    <w:rsid w:val="00DB311C"/>
    <w:rsid w:val="00DB432D"/>
    <w:rsid w:val="00DB519B"/>
    <w:rsid w:val="00DC2C80"/>
    <w:rsid w:val="00DC42C4"/>
    <w:rsid w:val="00DC7694"/>
    <w:rsid w:val="00DC7FBE"/>
    <w:rsid w:val="00DD130E"/>
    <w:rsid w:val="00DD2685"/>
    <w:rsid w:val="00DD3045"/>
    <w:rsid w:val="00DD308E"/>
    <w:rsid w:val="00DD65DC"/>
    <w:rsid w:val="00DE2768"/>
    <w:rsid w:val="00DE3207"/>
    <w:rsid w:val="00DE37F1"/>
    <w:rsid w:val="00DE6C3B"/>
    <w:rsid w:val="00DF02B7"/>
    <w:rsid w:val="00DF0C51"/>
    <w:rsid w:val="00DF0D47"/>
    <w:rsid w:val="00DF1652"/>
    <w:rsid w:val="00DF330D"/>
    <w:rsid w:val="00DF5035"/>
    <w:rsid w:val="00DF6D37"/>
    <w:rsid w:val="00DF7F4C"/>
    <w:rsid w:val="00E0031E"/>
    <w:rsid w:val="00E01B1D"/>
    <w:rsid w:val="00E046C1"/>
    <w:rsid w:val="00E048ED"/>
    <w:rsid w:val="00E04FB3"/>
    <w:rsid w:val="00E058F2"/>
    <w:rsid w:val="00E05D9C"/>
    <w:rsid w:val="00E06102"/>
    <w:rsid w:val="00E062B8"/>
    <w:rsid w:val="00E06994"/>
    <w:rsid w:val="00E15020"/>
    <w:rsid w:val="00E15785"/>
    <w:rsid w:val="00E15C79"/>
    <w:rsid w:val="00E23E71"/>
    <w:rsid w:val="00E27362"/>
    <w:rsid w:val="00E30F19"/>
    <w:rsid w:val="00E33C4A"/>
    <w:rsid w:val="00E357B9"/>
    <w:rsid w:val="00E36179"/>
    <w:rsid w:val="00E42AD7"/>
    <w:rsid w:val="00E4321E"/>
    <w:rsid w:val="00E44B80"/>
    <w:rsid w:val="00E4723F"/>
    <w:rsid w:val="00E47623"/>
    <w:rsid w:val="00E56CB9"/>
    <w:rsid w:val="00E60529"/>
    <w:rsid w:val="00E6222F"/>
    <w:rsid w:val="00E641EF"/>
    <w:rsid w:val="00E70D86"/>
    <w:rsid w:val="00E7252F"/>
    <w:rsid w:val="00E7628E"/>
    <w:rsid w:val="00E816AC"/>
    <w:rsid w:val="00E82F54"/>
    <w:rsid w:val="00E831D2"/>
    <w:rsid w:val="00E8649B"/>
    <w:rsid w:val="00E871CD"/>
    <w:rsid w:val="00E90990"/>
    <w:rsid w:val="00E93D64"/>
    <w:rsid w:val="00E9442D"/>
    <w:rsid w:val="00E9572E"/>
    <w:rsid w:val="00E95D3D"/>
    <w:rsid w:val="00E95FE2"/>
    <w:rsid w:val="00EA0E25"/>
    <w:rsid w:val="00EA173C"/>
    <w:rsid w:val="00EB2A76"/>
    <w:rsid w:val="00EC0342"/>
    <w:rsid w:val="00EC127A"/>
    <w:rsid w:val="00EC1FF9"/>
    <w:rsid w:val="00EC2737"/>
    <w:rsid w:val="00EC2B5C"/>
    <w:rsid w:val="00EC794A"/>
    <w:rsid w:val="00ED3095"/>
    <w:rsid w:val="00ED4335"/>
    <w:rsid w:val="00ED44A4"/>
    <w:rsid w:val="00EE2716"/>
    <w:rsid w:val="00EE6450"/>
    <w:rsid w:val="00EF067A"/>
    <w:rsid w:val="00EF364F"/>
    <w:rsid w:val="00EF6126"/>
    <w:rsid w:val="00F01C2C"/>
    <w:rsid w:val="00F01E80"/>
    <w:rsid w:val="00F10ED8"/>
    <w:rsid w:val="00F21A40"/>
    <w:rsid w:val="00F222BE"/>
    <w:rsid w:val="00F24179"/>
    <w:rsid w:val="00F24FD6"/>
    <w:rsid w:val="00F27E11"/>
    <w:rsid w:val="00F301F1"/>
    <w:rsid w:val="00F30C22"/>
    <w:rsid w:val="00F33D4A"/>
    <w:rsid w:val="00F33F1A"/>
    <w:rsid w:val="00F41C5B"/>
    <w:rsid w:val="00F47236"/>
    <w:rsid w:val="00F536EB"/>
    <w:rsid w:val="00F546D6"/>
    <w:rsid w:val="00F547F7"/>
    <w:rsid w:val="00F54CCF"/>
    <w:rsid w:val="00F565A2"/>
    <w:rsid w:val="00F5660C"/>
    <w:rsid w:val="00F605C2"/>
    <w:rsid w:val="00F606F2"/>
    <w:rsid w:val="00F61D7A"/>
    <w:rsid w:val="00F62223"/>
    <w:rsid w:val="00F637B3"/>
    <w:rsid w:val="00F66CF7"/>
    <w:rsid w:val="00F67BCB"/>
    <w:rsid w:val="00F70DF3"/>
    <w:rsid w:val="00F74419"/>
    <w:rsid w:val="00F776D2"/>
    <w:rsid w:val="00F77C57"/>
    <w:rsid w:val="00F813C7"/>
    <w:rsid w:val="00F83566"/>
    <w:rsid w:val="00F83A9D"/>
    <w:rsid w:val="00F906B5"/>
    <w:rsid w:val="00F93784"/>
    <w:rsid w:val="00F94C80"/>
    <w:rsid w:val="00F971CC"/>
    <w:rsid w:val="00FA2CAA"/>
    <w:rsid w:val="00FA3902"/>
    <w:rsid w:val="00FA3DA1"/>
    <w:rsid w:val="00FA6554"/>
    <w:rsid w:val="00FB093C"/>
    <w:rsid w:val="00FB2BF7"/>
    <w:rsid w:val="00FB30F2"/>
    <w:rsid w:val="00FB5FD5"/>
    <w:rsid w:val="00FB6E27"/>
    <w:rsid w:val="00FC1607"/>
    <w:rsid w:val="00FC31C4"/>
    <w:rsid w:val="00FD05B9"/>
    <w:rsid w:val="00FD38AC"/>
    <w:rsid w:val="00FD406F"/>
    <w:rsid w:val="00FD5022"/>
    <w:rsid w:val="00FD556E"/>
    <w:rsid w:val="00FE16C1"/>
    <w:rsid w:val="00FE19FF"/>
    <w:rsid w:val="00FE33A6"/>
    <w:rsid w:val="00FE42D8"/>
    <w:rsid w:val="00FE5452"/>
    <w:rsid w:val="00FE680F"/>
    <w:rsid w:val="00FF02F0"/>
    <w:rsid w:val="00FF23B8"/>
    <w:rsid w:val="00FF50FA"/>
    <w:rsid w:val="00FF59A8"/>
    <w:rsid w:val="0104DA8B"/>
    <w:rsid w:val="0177A784"/>
    <w:rsid w:val="01A9F0B8"/>
    <w:rsid w:val="01C6C34F"/>
    <w:rsid w:val="01E274FB"/>
    <w:rsid w:val="020276C7"/>
    <w:rsid w:val="02208CA7"/>
    <w:rsid w:val="0222D595"/>
    <w:rsid w:val="022ECDA9"/>
    <w:rsid w:val="02507E5C"/>
    <w:rsid w:val="02535FE7"/>
    <w:rsid w:val="0274F7DB"/>
    <w:rsid w:val="02A0A6AA"/>
    <w:rsid w:val="02AD281A"/>
    <w:rsid w:val="02BBE04D"/>
    <w:rsid w:val="02E9A818"/>
    <w:rsid w:val="02FB09E7"/>
    <w:rsid w:val="031C8521"/>
    <w:rsid w:val="032241A7"/>
    <w:rsid w:val="0353E88F"/>
    <w:rsid w:val="036B9B5E"/>
    <w:rsid w:val="03ACBFC6"/>
    <w:rsid w:val="03D3E26D"/>
    <w:rsid w:val="03DCCC2B"/>
    <w:rsid w:val="0402E75B"/>
    <w:rsid w:val="041FE8BE"/>
    <w:rsid w:val="0434F085"/>
    <w:rsid w:val="043EF3BB"/>
    <w:rsid w:val="04D66A7F"/>
    <w:rsid w:val="04DFA95C"/>
    <w:rsid w:val="04E5D32C"/>
    <w:rsid w:val="04F178F1"/>
    <w:rsid w:val="04F363C9"/>
    <w:rsid w:val="051A15BD"/>
    <w:rsid w:val="05BC3FDD"/>
    <w:rsid w:val="05D12871"/>
    <w:rsid w:val="05D176C3"/>
    <w:rsid w:val="05ED1B06"/>
    <w:rsid w:val="060018D3"/>
    <w:rsid w:val="060E43BE"/>
    <w:rsid w:val="061E5019"/>
    <w:rsid w:val="063BC4EB"/>
    <w:rsid w:val="0655A702"/>
    <w:rsid w:val="06608CF1"/>
    <w:rsid w:val="066A7469"/>
    <w:rsid w:val="06844AF5"/>
    <w:rsid w:val="068877C8"/>
    <w:rsid w:val="06923DE6"/>
    <w:rsid w:val="06A2EB46"/>
    <w:rsid w:val="06BF4937"/>
    <w:rsid w:val="06E23EC2"/>
    <w:rsid w:val="06FB371C"/>
    <w:rsid w:val="072CD924"/>
    <w:rsid w:val="079B30AE"/>
    <w:rsid w:val="07AAFF55"/>
    <w:rsid w:val="07B7F14A"/>
    <w:rsid w:val="07EFE019"/>
    <w:rsid w:val="0819DF2B"/>
    <w:rsid w:val="08C1D5FE"/>
    <w:rsid w:val="08DCBA49"/>
    <w:rsid w:val="08F34A4C"/>
    <w:rsid w:val="0957F438"/>
    <w:rsid w:val="09741F67"/>
    <w:rsid w:val="0974DC26"/>
    <w:rsid w:val="098AF97B"/>
    <w:rsid w:val="09B1BC6B"/>
    <w:rsid w:val="09B1D3BB"/>
    <w:rsid w:val="09B686A0"/>
    <w:rsid w:val="0A9CFB85"/>
    <w:rsid w:val="0AA9D9EA"/>
    <w:rsid w:val="0AE4D2DA"/>
    <w:rsid w:val="0AE9C354"/>
    <w:rsid w:val="0B34FD6C"/>
    <w:rsid w:val="0B3D12F4"/>
    <w:rsid w:val="0B6FF8F1"/>
    <w:rsid w:val="0B8B934F"/>
    <w:rsid w:val="0BD0576D"/>
    <w:rsid w:val="0BD83A93"/>
    <w:rsid w:val="0BF45557"/>
    <w:rsid w:val="0C182FE7"/>
    <w:rsid w:val="0C3DE5BC"/>
    <w:rsid w:val="0C4A0693"/>
    <w:rsid w:val="0C69EC8B"/>
    <w:rsid w:val="0C94453B"/>
    <w:rsid w:val="0CC8F13B"/>
    <w:rsid w:val="0D125D68"/>
    <w:rsid w:val="0D223A22"/>
    <w:rsid w:val="0D2E8340"/>
    <w:rsid w:val="0D4307F6"/>
    <w:rsid w:val="0DD404CF"/>
    <w:rsid w:val="0DE27C38"/>
    <w:rsid w:val="0E0A0221"/>
    <w:rsid w:val="0E39145D"/>
    <w:rsid w:val="0E60E6E0"/>
    <w:rsid w:val="0E761EEB"/>
    <w:rsid w:val="0E8360E2"/>
    <w:rsid w:val="0EB13A7D"/>
    <w:rsid w:val="0EC29DBE"/>
    <w:rsid w:val="0EC5A0CB"/>
    <w:rsid w:val="0EC8E589"/>
    <w:rsid w:val="0ECC275A"/>
    <w:rsid w:val="0F356C9F"/>
    <w:rsid w:val="0F3C18EE"/>
    <w:rsid w:val="0F634E81"/>
    <w:rsid w:val="0F907448"/>
    <w:rsid w:val="0F98D679"/>
    <w:rsid w:val="0FA371BE"/>
    <w:rsid w:val="0FCC28CE"/>
    <w:rsid w:val="0FDA4BBB"/>
    <w:rsid w:val="0FDAD935"/>
    <w:rsid w:val="0FE27744"/>
    <w:rsid w:val="10132595"/>
    <w:rsid w:val="10134CEB"/>
    <w:rsid w:val="101FE64F"/>
    <w:rsid w:val="10313132"/>
    <w:rsid w:val="10351A51"/>
    <w:rsid w:val="103ABDC4"/>
    <w:rsid w:val="10489C9A"/>
    <w:rsid w:val="104C997D"/>
    <w:rsid w:val="10545713"/>
    <w:rsid w:val="10662402"/>
    <w:rsid w:val="106C4EF7"/>
    <w:rsid w:val="106EA9DE"/>
    <w:rsid w:val="10741FD7"/>
    <w:rsid w:val="10920AAD"/>
    <w:rsid w:val="10DE209C"/>
    <w:rsid w:val="10F685CE"/>
    <w:rsid w:val="1126E647"/>
    <w:rsid w:val="114AA809"/>
    <w:rsid w:val="1171A89D"/>
    <w:rsid w:val="117D7B73"/>
    <w:rsid w:val="11B70619"/>
    <w:rsid w:val="11BC4E28"/>
    <w:rsid w:val="11D6B999"/>
    <w:rsid w:val="11E83464"/>
    <w:rsid w:val="12014517"/>
    <w:rsid w:val="1234CF6A"/>
    <w:rsid w:val="1262E380"/>
    <w:rsid w:val="12845584"/>
    <w:rsid w:val="128DFD30"/>
    <w:rsid w:val="1298AC42"/>
    <w:rsid w:val="12A5C505"/>
    <w:rsid w:val="12A75A31"/>
    <w:rsid w:val="12BDCE2A"/>
    <w:rsid w:val="12C003BE"/>
    <w:rsid w:val="12D42088"/>
    <w:rsid w:val="12DCC19A"/>
    <w:rsid w:val="13237C67"/>
    <w:rsid w:val="13272CAC"/>
    <w:rsid w:val="135FE22B"/>
    <w:rsid w:val="13711DB9"/>
    <w:rsid w:val="137D4446"/>
    <w:rsid w:val="13841D08"/>
    <w:rsid w:val="13B1D444"/>
    <w:rsid w:val="1408022D"/>
    <w:rsid w:val="140FBCE2"/>
    <w:rsid w:val="14100D4D"/>
    <w:rsid w:val="14419566"/>
    <w:rsid w:val="145822B9"/>
    <w:rsid w:val="146B48E3"/>
    <w:rsid w:val="146ED752"/>
    <w:rsid w:val="146F8DCE"/>
    <w:rsid w:val="14F93947"/>
    <w:rsid w:val="15028793"/>
    <w:rsid w:val="1506A703"/>
    <w:rsid w:val="156829EB"/>
    <w:rsid w:val="157403C7"/>
    <w:rsid w:val="158CA1D6"/>
    <w:rsid w:val="15916CA4"/>
    <w:rsid w:val="15B008CB"/>
    <w:rsid w:val="15B0B08C"/>
    <w:rsid w:val="15BA1A62"/>
    <w:rsid w:val="15CD8D4B"/>
    <w:rsid w:val="1615429F"/>
    <w:rsid w:val="16193F07"/>
    <w:rsid w:val="163AF368"/>
    <w:rsid w:val="163BA269"/>
    <w:rsid w:val="164931E1"/>
    <w:rsid w:val="1656E6DB"/>
    <w:rsid w:val="16652AC6"/>
    <w:rsid w:val="167B3B5E"/>
    <w:rsid w:val="16BBA587"/>
    <w:rsid w:val="16E43F6F"/>
    <w:rsid w:val="172691E2"/>
    <w:rsid w:val="172A0762"/>
    <w:rsid w:val="17C6FDC2"/>
    <w:rsid w:val="17D959DF"/>
    <w:rsid w:val="17E40907"/>
    <w:rsid w:val="17F315EB"/>
    <w:rsid w:val="17FA3D18"/>
    <w:rsid w:val="183CF6CA"/>
    <w:rsid w:val="1846ECB5"/>
    <w:rsid w:val="185F1AD8"/>
    <w:rsid w:val="186C97BC"/>
    <w:rsid w:val="188F274E"/>
    <w:rsid w:val="1891A727"/>
    <w:rsid w:val="18A83611"/>
    <w:rsid w:val="18AFA9DD"/>
    <w:rsid w:val="18B72CA2"/>
    <w:rsid w:val="18CFC556"/>
    <w:rsid w:val="191D6125"/>
    <w:rsid w:val="19618D6C"/>
    <w:rsid w:val="196D4DB9"/>
    <w:rsid w:val="19E87F77"/>
    <w:rsid w:val="1A19C0B5"/>
    <w:rsid w:val="1A36AFB4"/>
    <w:rsid w:val="1A50E92E"/>
    <w:rsid w:val="1A52875D"/>
    <w:rsid w:val="1A671827"/>
    <w:rsid w:val="1A7615E6"/>
    <w:rsid w:val="1AA2921B"/>
    <w:rsid w:val="1ACDF654"/>
    <w:rsid w:val="1AF32C67"/>
    <w:rsid w:val="1B065AF5"/>
    <w:rsid w:val="1B16862A"/>
    <w:rsid w:val="1B69256F"/>
    <w:rsid w:val="1B775E89"/>
    <w:rsid w:val="1BFEC7B2"/>
    <w:rsid w:val="1C00AE28"/>
    <w:rsid w:val="1C0AC1E5"/>
    <w:rsid w:val="1C1801A8"/>
    <w:rsid w:val="1C1AEF04"/>
    <w:rsid w:val="1C6ED140"/>
    <w:rsid w:val="1CB90DC1"/>
    <w:rsid w:val="1CB92942"/>
    <w:rsid w:val="1CD6F897"/>
    <w:rsid w:val="1CD8D2E0"/>
    <w:rsid w:val="1CEBBF96"/>
    <w:rsid w:val="1D262585"/>
    <w:rsid w:val="1D303D1F"/>
    <w:rsid w:val="1D45CDB5"/>
    <w:rsid w:val="1D4A9F04"/>
    <w:rsid w:val="1D7A59A1"/>
    <w:rsid w:val="1D8889F0"/>
    <w:rsid w:val="1D8CF121"/>
    <w:rsid w:val="1D9A9813"/>
    <w:rsid w:val="1DD6B18A"/>
    <w:rsid w:val="1DDB15B4"/>
    <w:rsid w:val="1DE62F83"/>
    <w:rsid w:val="1DE877AC"/>
    <w:rsid w:val="1E072D7B"/>
    <w:rsid w:val="1E362255"/>
    <w:rsid w:val="1E789E41"/>
    <w:rsid w:val="1E8FBC7C"/>
    <w:rsid w:val="1EA5C928"/>
    <w:rsid w:val="1EC5D390"/>
    <w:rsid w:val="1EE24B90"/>
    <w:rsid w:val="1EF29E41"/>
    <w:rsid w:val="1EFBC469"/>
    <w:rsid w:val="1F09EF42"/>
    <w:rsid w:val="1F31A3C7"/>
    <w:rsid w:val="1F44ACBA"/>
    <w:rsid w:val="1F5585CE"/>
    <w:rsid w:val="1F62326E"/>
    <w:rsid w:val="1F768366"/>
    <w:rsid w:val="1F8F6698"/>
    <w:rsid w:val="1FA2BE04"/>
    <w:rsid w:val="1FBFCAAB"/>
    <w:rsid w:val="1FC90AF2"/>
    <w:rsid w:val="20117273"/>
    <w:rsid w:val="201543AD"/>
    <w:rsid w:val="201913F6"/>
    <w:rsid w:val="2034F6AA"/>
    <w:rsid w:val="208390AF"/>
    <w:rsid w:val="20B238B0"/>
    <w:rsid w:val="20C758AE"/>
    <w:rsid w:val="20E46E92"/>
    <w:rsid w:val="2118B5AF"/>
    <w:rsid w:val="21378140"/>
    <w:rsid w:val="21955139"/>
    <w:rsid w:val="21F20EC4"/>
    <w:rsid w:val="21F93B06"/>
    <w:rsid w:val="226E0936"/>
    <w:rsid w:val="228B7BF9"/>
    <w:rsid w:val="228E529C"/>
    <w:rsid w:val="2295131B"/>
    <w:rsid w:val="22AA22AD"/>
    <w:rsid w:val="22F284C4"/>
    <w:rsid w:val="22FC2A87"/>
    <w:rsid w:val="233F6814"/>
    <w:rsid w:val="2353EB06"/>
    <w:rsid w:val="2356FD04"/>
    <w:rsid w:val="23B86781"/>
    <w:rsid w:val="23B86AA6"/>
    <w:rsid w:val="23ED2E1B"/>
    <w:rsid w:val="24307BF1"/>
    <w:rsid w:val="245A6612"/>
    <w:rsid w:val="246E5E04"/>
    <w:rsid w:val="248D150C"/>
    <w:rsid w:val="24A2813A"/>
    <w:rsid w:val="24A44013"/>
    <w:rsid w:val="252C93DF"/>
    <w:rsid w:val="25410BC9"/>
    <w:rsid w:val="255E4A75"/>
    <w:rsid w:val="2560B49E"/>
    <w:rsid w:val="25872576"/>
    <w:rsid w:val="258F44D2"/>
    <w:rsid w:val="2600B6BC"/>
    <w:rsid w:val="260C04D1"/>
    <w:rsid w:val="26107CC1"/>
    <w:rsid w:val="26378F07"/>
    <w:rsid w:val="26490F5F"/>
    <w:rsid w:val="265D2E8C"/>
    <w:rsid w:val="265FFA89"/>
    <w:rsid w:val="26613A78"/>
    <w:rsid w:val="26D58662"/>
    <w:rsid w:val="26F560DD"/>
    <w:rsid w:val="26F8F648"/>
    <w:rsid w:val="26FC84FF"/>
    <w:rsid w:val="271FADBC"/>
    <w:rsid w:val="2760FC5A"/>
    <w:rsid w:val="276D829D"/>
    <w:rsid w:val="279486AD"/>
    <w:rsid w:val="279866A2"/>
    <w:rsid w:val="27A5F349"/>
    <w:rsid w:val="27E27D3D"/>
    <w:rsid w:val="27F35BC3"/>
    <w:rsid w:val="27F453D9"/>
    <w:rsid w:val="280AEBB1"/>
    <w:rsid w:val="28120833"/>
    <w:rsid w:val="28278EFA"/>
    <w:rsid w:val="283B0084"/>
    <w:rsid w:val="2844DAEA"/>
    <w:rsid w:val="284FE3C5"/>
    <w:rsid w:val="28CB807B"/>
    <w:rsid w:val="28DC7F38"/>
    <w:rsid w:val="28DF3130"/>
    <w:rsid w:val="28F5DC39"/>
    <w:rsid w:val="290E55E4"/>
    <w:rsid w:val="2933CF5F"/>
    <w:rsid w:val="2948B132"/>
    <w:rsid w:val="2975AEB4"/>
    <w:rsid w:val="298F5D99"/>
    <w:rsid w:val="299810F1"/>
    <w:rsid w:val="29BCBB5B"/>
    <w:rsid w:val="29DF1978"/>
    <w:rsid w:val="29E71F7A"/>
    <w:rsid w:val="2A11C017"/>
    <w:rsid w:val="2A4C1B65"/>
    <w:rsid w:val="2A601CBA"/>
    <w:rsid w:val="2A6B896F"/>
    <w:rsid w:val="2A738D0A"/>
    <w:rsid w:val="2A78953C"/>
    <w:rsid w:val="2AA737C7"/>
    <w:rsid w:val="2AB37491"/>
    <w:rsid w:val="2AB7EB9C"/>
    <w:rsid w:val="2B378C2B"/>
    <w:rsid w:val="2B3B01E4"/>
    <w:rsid w:val="2B44D686"/>
    <w:rsid w:val="2B4DEFA9"/>
    <w:rsid w:val="2B5F2CC1"/>
    <w:rsid w:val="2B695D6B"/>
    <w:rsid w:val="2B899AA4"/>
    <w:rsid w:val="2BA7A5C0"/>
    <w:rsid w:val="2BCED831"/>
    <w:rsid w:val="2C1EBF78"/>
    <w:rsid w:val="2C259902"/>
    <w:rsid w:val="2C2F1E33"/>
    <w:rsid w:val="2C308DEA"/>
    <w:rsid w:val="2C456053"/>
    <w:rsid w:val="2C52EFCB"/>
    <w:rsid w:val="2C597C78"/>
    <w:rsid w:val="2C603A26"/>
    <w:rsid w:val="2C7C5378"/>
    <w:rsid w:val="2C7FD50A"/>
    <w:rsid w:val="2C95008F"/>
    <w:rsid w:val="2CAC43C3"/>
    <w:rsid w:val="2CC6A876"/>
    <w:rsid w:val="2D1BCD04"/>
    <w:rsid w:val="2D5659FE"/>
    <w:rsid w:val="2D5D9BCA"/>
    <w:rsid w:val="2D637188"/>
    <w:rsid w:val="2D6DA0CC"/>
    <w:rsid w:val="2D767EA2"/>
    <w:rsid w:val="2D848FB9"/>
    <w:rsid w:val="2D973B5E"/>
    <w:rsid w:val="2DC245B6"/>
    <w:rsid w:val="2DCA16F7"/>
    <w:rsid w:val="2DFCD3D5"/>
    <w:rsid w:val="2E2CC6AF"/>
    <w:rsid w:val="2E33F752"/>
    <w:rsid w:val="2E36E8E1"/>
    <w:rsid w:val="2E4248B8"/>
    <w:rsid w:val="2E4F1814"/>
    <w:rsid w:val="2E53B545"/>
    <w:rsid w:val="2EA50480"/>
    <w:rsid w:val="2EE1C620"/>
    <w:rsid w:val="2EF5A2C3"/>
    <w:rsid w:val="2F2D08B9"/>
    <w:rsid w:val="2F6716AB"/>
    <w:rsid w:val="2F6D1F24"/>
    <w:rsid w:val="2F7F5DD0"/>
    <w:rsid w:val="2F89F915"/>
    <w:rsid w:val="2FBDBD49"/>
    <w:rsid w:val="2FC8E74B"/>
    <w:rsid w:val="30917695"/>
    <w:rsid w:val="30951DFD"/>
    <w:rsid w:val="30A2AD47"/>
    <w:rsid w:val="30A74182"/>
    <w:rsid w:val="30EE8781"/>
    <w:rsid w:val="30F97F5E"/>
    <w:rsid w:val="3118A64F"/>
    <w:rsid w:val="31505257"/>
    <w:rsid w:val="31560C8B"/>
    <w:rsid w:val="3156B696"/>
    <w:rsid w:val="317A860A"/>
    <w:rsid w:val="317BE015"/>
    <w:rsid w:val="31C2F735"/>
    <w:rsid w:val="31DCA542"/>
    <w:rsid w:val="31FC390B"/>
    <w:rsid w:val="32412FFA"/>
    <w:rsid w:val="32494F56"/>
    <w:rsid w:val="32610626"/>
    <w:rsid w:val="32687619"/>
    <w:rsid w:val="32764CD8"/>
    <w:rsid w:val="328C2F66"/>
    <w:rsid w:val="32C2E72C"/>
    <w:rsid w:val="32F10CE3"/>
    <w:rsid w:val="32F587C5"/>
    <w:rsid w:val="32FBFE10"/>
    <w:rsid w:val="33430F83"/>
    <w:rsid w:val="334AA4A7"/>
    <w:rsid w:val="336B5B91"/>
    <w:rsid w:val="33782374"/>
    <w:rsid w:val="338257B4"/>
    <w:rsid w:val="338CD3CB"/>
    <w:rsid w:val="33C12B84"/>
    <w:rsid w:val="33C6C573"/>
    <w:rsid w:val="33D942C1"/>
    <w:rsid w:val="34035BED"/>
    <w:rsid w:val="3410A900"/>
    <w:rsid w:val="34297CFD"/>
    <w:rsid w:val="34303CC9"/>
    <w:rsid w:val="349CBE10"/>
    <w:rsid w:val="34AB6931"/>
    <w:rsid w:val="34C1CE0C"/>
    <w:rsid w:val="34DE7155"/>
    <w:rsid w:val="34E75816"/>
    <w:rsid w:val="3521A2C1"/>
    <w:rsid w:val="35515C1E"/>
    <w:rsid w:val="356DCC9A"/>
    <w:rsid w:val="357CD697"/>
    <w:rsid w:val="35D21FB1"/>
    <w:rsid w:val="35F9F076"/>
    <w:rsid w:val="36197F01"/>
    <w:rsid w:val="361F0197"/>
    <w:rsid w:val="3630F5CE"/>
    <w:rsid w:val="367EE626"/>
    <w:rsid w:val="3695B669"/>
    <w:rsid w:val="369BA4F0"/>
    <w:rsid w:val="36B28FAA"/>
    <w:rsid w:val="36D6330F"/>
    <w:rsid w:val="36E36248"/>
    <w:rsid w:val="36EDA8D1"/>
    <w:rsid w:val="371094D8"/>
    <w:rsid w:val="372AAB39"/>
    <w:rsid w:val="373D12CC"/>
    <w:rsid w:val="37573992"/>
    <w:rsid w:val="3761D2E9"/>
    <w:rsid w:val="378A0B0E"/>
    <w:rsid w:val="37AAB6A7"/>
    <w:rsid w:val="37B3E18C"/>
    <w:rsid w:val="37CEBB5F"/>
    <w:rsid w:val="37E87D1D"/>
    <w:rsid w:val="37F337AC"/>
    <w:rsid w:val="37FA5AE9"/>
    <w:rsid w:val="3804C20E"/>
    <w:rsid w:val="38070239"/>
    <w:rsid w:val="38088AB1"/>
    <w:rsid w:val="38242B91"/>
    <w:rsid w:val="384E600B"/>
    <w:rsid w:val="385D4F96"/>
    <w:rsid w:val="387A0E60"/>
    <w:rsid w:val="3886C731"/>
    <w:rsid w:val="388A4D18"/>
    <w:rsid w:val="38981086"/>
    <w:rsid w:val="38D4CCF2"/>
    <w:rsid w:val="38E2F1E4"/>
    <w:rsid w:val="38FC42AE"/>
    <w:rsid w:val="3902AEE9"/>
    <w:rsid w:val="390CA83F"/>
    <w:rsid w:val="39119599"/>
    <w:rsid w:val="39235575"/>
    <w:rsid w:val="394DBFD3"/>
    <w:rsid w:val="3969614D"/>
    <w:rsid w:val="399A8980"/>
    <w:rsid w:val="399B47E8"/>
    <w:rsid w:val="39E8EA54"/>
    <w:rsid w:val="39EE2DDF"/>
    <w:rsid w:val="3A20EE4B"/>
    <w:rsid w:val="3A2F6BC5"/>
    <w:rsid w:val="3A357250"/>
    <w:rsid w:val="3A3F0301"/>
    <w:rsid w:val="3A60AE7C"/>
    <w:rsid w:val="3A6423FC"/>
    <w:rsid w:val="3A8DAA82"/>
    <w:rsid w:val="3A9EB21B"/>
    <w:rsid w:val="3AAF73C2"/>
    <w:rsid w:val="3ADA612E"/>
    <w:rsid w:val="3B1A9897"/>
    <w:rsid w:val="3B8F1034"/>
    <w:rsid w:val="3BAC524D"/>
    <w:rsid w:val="3BCB2C49"/>
    <w:rsid w:val="3C0942A9"/>
    <w:rsid w:val="3C09647B"/>
    <w:rsid w:val="3C6EEF79"/>
    <w:rsid w:val="3C8D5A43"/>
    <w:rsid w:val="3C9EC54E"/>
    <w:rsid w:val="3CBF63C0"/>
    <w:rsid w:val="3CCA8336"/>
    <w:rsid w:val="3CD813A9"/>
    <w:rsid w:val="3D0C64A9"/>
    <w:rsid w:val="3D1156B8"/>
    <w:rsid w:val="3D3056A6"/>
    <w:rsid w:val="3D43218A"/>
    <w:rsid w:val="3D6739BD"/>
    <w:rsid w:val="3D8334FE"/>
    <w:rsid w:val="3D8D39DA"/>
    <w:rsid w:val="3DA534DC"/>
    <w:rsid w:val="3DA5C88B"/>
    <w:rsid w:val="3DB78B46"/>
    <w:rsid w:val="3DC30A97"/>
    <w:rsid w:val="3DFCE9D9"/>
    <w:rsid w:val="3E1DE74D"/>
    <w:rsid w:val="3E41BE6D"/>
    <w:rsid w:val="3E474C68"/>
    <w:rsid w:val="3E8FAFFE"/>
    <w:rsid w:val="3E962B08"/>
    <w:rsid w:val="3EA17A3D"/>
    <w:rsid w:val="3EA30E84"/>
    <w:rsid w:val="3EA70DF9"/>
    <w:rsid w:val="3ED6BC99"/>
    <w:rsid w:val="3EF5B191"/>
    <w:rsid w:val="3EFFFEE0"/>
    <w:rsid w:val="3F0C296E"/>
    <w:rsid w:val="3F1813CE"/>
    <w:rsid w:val="3F300D3B"/>
    <w:rsid w:val="3F535BA7"/>
    <w:rsid w:val="3F5CD7EC"/>
    <w:rsid w:val="3F7F7CD7"/>
    <w:rsid w:val="3F91A773"/>
    <w:rsid w:val="3F9642B3"/>
    <w:rsid w:val="3FA1DD8A"/>
    <w:rsid w:val="3FD5B1CA"/>
    <w:rsid w:val="3FE7A082"/>
    <w:rsid w:val="3FEF471B"/>
    <w:rsid w:val="4045F0B9"/>
    <w:rsid w:val="40783B8C"/>
    <w:rsid w:val="40825326"/>
    <w:rsid w:val="409CB50B"/>
    <w:rsid w:val="40BCC570"/>
    <w:rsid w:val="40C6A15D"/>
    <w:rsid w:val="41096CE4"/>
    <w:rsid w:val="410B9313"/>
    <w:rsid w:val="410E8DFB"/>
    <w:rsid w:val="4170E1DB"/>
    <w:rsid w:val="41911F0B"/>
    <w:rsid w:val="41AC0F97"/>
    <w:rsid w:val="420FAB37"/>
    <w:rsid w:val="4212D642"/>
    <w:rsid w:val="421D68AE"/>
    <w:rsid w:val="4249C043"/>
    <w:rsid w:val="425142BB"/>
    <w:rsid w:val="42581327"/>
    <w:rsid w:val="427B6F01"/>
    <w:rsid w:val="429BB33B"/>
    <w:rsid w:val="42D4D42B"/>
    <w:rsid w:val="432FDD9E"/>
    <w:rsid w:val="433C7A28"/>
    <w:rsid w:val="436AAFDC"/>
    <w:rsid w:val="43709AF4"/>
    <w:rsid w:val="43781155"/>
    <w:rsid w:val="438D7CDF"/>
    <w:rsid w:val="43C73E43"/>
    <w:rsid w:val="43DC3BC0"/>
    <w:rsid w:val="4413EFE7"/>
    <w:rsid w:val="4445793A"/>
    <w:rsid w:val="44591441"/>
    <w:rsid w:val="446C0F6C"/>
    <w:rsid w:val="4471FD4F"/>
    <w:rsid w:val="4472824F"/>
    <w:rsid w:val="4485B187"/>
    <w:rsid w:val="44902D95"/>
    <w:rsid w:val="4498FF39"/>
    <w:rsid w:val="44CA433A"/>
    <w:rsid w:val="45013C23"/>
    <w:rsid w:val="4536C6A3"/>
    <w:rsid w:val="454E7F36"/>
    <w:rsid w:val="45A2C9AB"/>
    <w:rsid w:val="45A422D9"/>
    <w:rsid w:val="45AD9539"/>
    <w:rsid w:val="45B7B0F9"/>
    <w:rsid w:val="45CD0844"/>
    <w:rsid w:val="45D2A65A"/>
    <w:rsid w:val="45D867D6"/>
    <w:rsid w:val="45F7FF52"/>
    <w:rsid w:val="45FFA3DC"/>
    <w:rsid w:val="46050464"/>
    <w:rsid w:val="46478176"/>
    <w:rsid w:val="464E6E6B"/>
    <w:rsid w:val="4680D9C1"/>
    <w:rsid w:val="46A4A047"/>
    <w:rsid w:val="46B80D8D"/>
    <w:rsid w:val="4715A982"/>
    <w:rsid w:val="471B077C"/>
    <w:rsid w:val="472FEEEB"/>
    <w:rsid w:val="473D9B09"/>
    <w:rsid w:val="47409061"/>
    <w:rsid w:val="4746F29E"/>
    <w:rsid w:val="474AB293"/>
    <w:rsid w:val="475C9343"/>
    <w:rsid w:val="47804BB2"/>
    <w:rsid w:val="47AF797E"/>
    <w:rsid w:val="47C6EA27"/>
    <w:rsid w:val="47D0755A"/>
    <w:rsid w:val="47E0BEAA"/>
    <w:rsid w:val="47EA3ECC"/>
    <w:rsid w:val="482F3426"/>
    <w:rsid w:val="4877527D"/>
    <w:rsid w:val="48779154"/>
    <w:rsid w:val="487E7A3F"/>
    <w:rsid w:val="48900AA4"/>
    <w:rsid w:val="489A06EF"/>
    <w:rsid w:val="48DE8A98"/>
    <w:rsid w:val="48EAB085"/>
    <w:rsid w:val="4936AD26"/>
    <w:rsid w:val="493BF3C0"/>
    <w:rsid w:val="493D4859"/>
    <w:rsid w:val="493E4B35"/>
    <w:rsid w:val="49834224"/>
    <w:rsid w:val="499B3B91"/>
    <w:rsid w:val="49A20ADA"/>
    <w:rsid w:val="49C822E8"/>
    <w:rsid w:val="49CB49EC"/>
    <w:rsid w:val="49D5E531"/>
    <w:rsid w:val="49EDDE9E"/>
    <w:rsid w:val="4A0FC76C"/>
    <w:rsid w:val="4A2833E1"/>
    <w:rsid w:val="4A49F28F"/>
    <w:rsid w:val="4A69D63D"/>
    <w:rsid w:val="4A71C3C3"/>
    <w:rsid w:val="4A8A9D19"/>
    <w:rsid w:val="4A935E5B"/>
    <w:rsid w:val="4A970A5B"/>
    <w:rsid w:val="4AA33850"/>
    <w:rsid w:val="4AB6BAB2"/>
    <w:rsid w:val="4AC5FA4E"/>
    <w:rsid w:val="4ACB3D86"/>
    <w:rsid w:val="4ACE6518"/>
    <w:rsid w:val="4B3942A5"/>
    <w:rsid w:val="4B5D1908"/>
    <w:rsid w:val="4B92CC37"/>
    <w:rsid w:val="4BA1F9CC"/>
    <w:rsid w:val="4BA64B45"/>
    <w:rsid w:val="4BF9DD3E"/>
    <w:rsid w:val="4C0928EA"/>
    <w:rsid w:val="4C0AB93D"/>
    <w:rsid w:val="4C100E43"/>
    <w:rsid w:val="4C44C399"/>
    <w:rsid w:val="4C4C4D33"/>
    <w:rsid w:val="4C4E7B37"/>
    <w:rsid w:val="4C5E14E5"/>
    <w:rsid w:val="4C786558"/>
    <w:rsid w:val="4C80A635"/>
    <w:rsid w:val="4CB59E4F"/>
    <w:rsid w:val="4CBA3543"/>
    <w:rsid w:val="4CE4FCF4"/>
    <w:rsid w:val="4CE73E5E"/>
    <w:rsid w:val="4CEBF712"/>
    <w:rsid w:val="4D8FBE54"/>
    <w:rsid w:val="4D9F091B"/>
    <w:rsid w:val="4DBD9F76"/>
    <w:rsid w:val="4DCAAB43"/>
    <w:rsid w:val="4E0543FA"/>
    <w:rsid w:val="4E4A3AE9"/>
    <w:rsid w:val="4E5F4C10"/>
    <w:rsid w:val="4E940C27"/>
    <w:rsid w:val="4E94550D"/>
    <w:rsid w:val="4EA1CE70"/>
    <w:rsid w:val="4EB1B2AD"/>
    <w:rsid w:val="4EB32240"/>
    <w:rsid w:val="4EC3FDDC"/>
    <w:rsid w:val="4EE6928E"/>
    <w:rsid w:val="4EF6DE12"/>
    <w:rsid w:val="4F091BF6"/>
    <w:rsid w:val="4F247DEA"/>
    <w:rsid w:val="4F3A9C29"/>
    <w:rsid w:val="4F47AA21"/>
    <w:rsid w:val="4F59F209"/>
    <w:rsid w:val="4F5FCD4D"/>
    <w:rsid w:val="4F7374D5"/>
    <w:rsid w:val="4F82995C"/>
    <w:rsid w:val="4F8CFFDD"/>
    <w:rsid w:val="4FBC0A8B"/>
    <w:rsid w:val="4FE4203E"/>
    <w:rsid w:val="500C0BB0"/>
    <w:rsid w:val="50348C9F"/>
    <w:rsid w:val="503A460B"/>
    <w:rsid w:val="506DE30B"/>
    <w:rsid w:val="50838730"/>
    <w:rsid w:val="509AE08D"/>
    <w:rsid w:val="50A56B74"/>
    <w:rsid w:val="510BADC3"/>
    <w:rsid w:val="514EE9DC"/>
    <w:rsid w:val="516268BB"/>
    <w:rsid w:val="516EF1DF"/>
    <w:rsid w:val="519F02E5"/>
    <w:rsid w:val="51B85F31"/>
    <w:rsid w:val="51FA2B44"/>
    <w:rsid w:val="52051E41"/>
    <w:rsid w:val="520D2E3F"/>
    <w:rsid w:val="522B627B"/>
    <w:rsid w:val="522FBF5D"/>
    <w:rsid w:val="523345C6"/>
    <w:rsid w:val="5245AE3E"/>
    <w:rsid w:val="5252540F"/>
    <w:rsid w:val="528988B5"/>
    <w:rsid w:val="52A4FB9A"/>
    <w:rsid w:val="52C921AA"/>
    <w:rsid w:val="52D173D7"/>
    <w:rsid w:val="52E4E832"/>
    <w:rsid w:val="52F20045"/>
    <w:rsid w:val="530BCE48"/>
    <w:rsid w:val="53318365"/>
    <w:rsid w:val="5344545C"/>
    <w:rsid w:val="538F3EBA"/>
    <w:rsid w:val="5394E326"/>
    <w:rsid w:val="53B4609A"/>
    <w:rsid w:val="53EBF02C"/>
    <w:rsid w:val="53EE592A"/>
    <w:rsid w:val="54107FF2"/>
    <w:rsid w:val="54377BB0"/>
    <w:rsid w:val="5437DC68"/>
    <w:rsid w:val="547C6953"/>
    <w:rsid w:val="54AB041D"/>
    <w:rsid w:val="54E9BBAB"/>
    <w:rsid w:val="54EA3B79"/>
    <w:rsid w:val="54F211AF"/>
    <w:rsid w:val="54F56642"/>
    <w:rsid w:val="5521D1B8"/>
    <w:rsid w:val="554F5FF7"/>
    <w:rsid w:val="555C5FD7"/>
    <w:rsid w:val="5560DDB6"/>
    <w:rsid w:val="558551B6"/>
    <w:rsid w:val="55C663B1"/>
    <w:rsid w:val="55E651A5"/>
    <w:rsid w:val="55F0B635"/>
    <w:rsid w:val="5624D447"/>
    <w:rsid w:val="5629B2F6"/>
    <w:rsid w:val="564829F1"/>
    <w:rsid w:val="5684DB01"/>
    <w:rsid w:val="569B1477"/>
    <w:rsid w:val="56AB8178"/>
    <w:rsid w:val="56DAA523"/>
    <w:rsid w:val="5710DF82"/>
    <w:rsid w:val="5713A209"/>
    <w:rsid w:val="574BDB91"/>
    <w:rsid w:val="574DD8E7"/>
    <w:rsid w:val="5774AA87"/>
    <w:rsid w:val="5795BE9E"/>
    <w:rsid w:val="579D1678"/>
    <w:rsid w:val="57CA1D06"/>
    <w:rsid w:val="57D2154D"/>
    <w:rsid w:val="57EC909B"/>
    <w:rsid w:val="58668984"/>
    <w:rsid w:val="58CF248E"/>
    <w:rsid w:val="58E18857"/>
    <w:rsid w:val="58E9A948"/>
    <w:rsid w:val="58EF9978"/>
    <w:rsid w:val="59070F8E"/>
    <w:rsid w:val="591C210F"/>
    <w:rsid w:val="5965A9FC"/>
    <w:rsid w:val="5971179E"/>
    <w:rsid w:val="59AFF0D8"/>
    <w:rsid w:val="59C7B1EA"/>
    <w:rsid w:val="59D0FC2D"/>
    <w:rsid w:val="59E5C6B6"/>
    <w:rsid w:val="59F2E9D3"/>
    <w:rsid w:val="5A02A38B"/>
    <w:rsid w:val="5A08B59A"/>
    <w:rsid w:val="5A554698"/>
    <w:rsid w:val="5A94E0FF"/>
    <w:rsid w:val="5A9CF255"/>
    <w:rsid w:val="5AC09F04"/>
    <w:rsid w:val="5AF6F160"/>
    <w:rsid w:val="5B2299B7"/>
    <w:rsid w:val="5B9FF50B"/>
    <w:rsid w:val="5BCC2467"/>
    <w:rsid w:val="5BE78E6E"/>
    <w:rsid w:val="5BE96688"/>
    <w:rsid w:val="5BF5E01F"/>
    <w:rsid w:val="5C0C55F9"/>
    <w:rsid w:val="5C10FEDE"/>
    <w:rsid w:val="5C273A3A"/>
    <w:rsid w:val="5C4E58B5"/>
    <w:rsid w:val="5C508F7F"/>
    <w:rsid w:val="5C54C4F0"/>
    <w:rsid w:val="5C5AE3A5"/>
    <w:rsid w:val="5C70BBA5"/>
    <w:rsid w:val="5C78A92B"/>
    <w:rsid w:val="5CC5E6B4"/>
    <w:rsid w:val="5CCA5202"/>
    <w:rsid w:val="5CCAFC0E"/>
    <w:rsid w:val="5D2A8A95"/>
    <w:rsid w:val="5D331FF5"/>
    <w:rsid w:val="5D650448"/>
    <w:rsid w:val="5D91B080"/>
    <w:rsid w:val="5D9E39DB"/>
    <w:rsid w:val="5DB3CC7A"/>
    <w:rsid w:val="5DB4F97A"/>
    <w:rsid w:val="5DD2DD4C"/>
    <w:rsid w:val="5DD89BE4"/>
    <w:rsid w:val="5DE62CDD"/>
    <w:rsid w:val="5E29970D"/>
    <w:rsid w:val="5E2C03D5"/>
    <w:rsid w:val="5E95B7AB"/>
    <w:rsid w:val="5ED0AFB2"/>
    <w:rsid w:val="5EE390DF"/>
    <w:rsid w:val="5F02D033"/>
    <w:rsid w:val="5F7506A1"/>
    <w:rsid w:val="5F9AAC2C"/>
    <w:rsid w:val="5F9AB575"/>
    <w:rsid w:val="5F9C6B73"/>
    <w:rsid w:val="5FB4F32A"/>
    <w:rsid w:val="5FBD0E69"/>
    <w:rsid w:val="5FD2692D"/>
    <w:rsid w:val="5FE2D624"/>
    <w:rsid w:val="6028AE13"/>
    <w:rsid w:val="605A3DD1"/>
    <w:rsid w:val="60A863AE"/>
    <w:rsid w:val="60B60FCC"/>
    <w:rsid w:val="60D07F17"/>
    <w:rsid w:val="60E256D2"/>
    <w:rsid w:val="611A41F4"/>
    <w:rsid w:val="618833C5"/>
    <w:rsid w:val="61A57F96"/>
    <w:rsid w:val="61ACC0B4"/>
    <w:rsid w:val="61DBA96B"/>
    <w:rsid w:val="61EA9CFD"/>
    <w:rsid w:val="61FBEC31"/>
    <w:rsid w:val="6241C3B7"/>
    <w:rsid w:val="627F60BB"/>
    <w:rsid w:val="6280F70E"/>
    <w:rsid w:val="62822342"/>
    <w:rsid w:val="629261FA"/>
    <w:rsid w:val="62A0FC32"/>
    <w:rsid w:val="62A900CA"/>
    <w:rsid w:val="62F8DD10"/>
    <w:rsid w:val="63185E61"/>
    <w:rsid w:val="6325819B"/>
    <w:rsid w:val="6335CA48"/>
    <w:rsid w:val="63409686"/>
    <w:rsid w:val="638C3E76"/>
    <w:rsid w:val="63CB6EA6"/>
    <w:rsid w:val="63E5C53C"/>
    <w:rsid w:val="63F033EB"/>
    <w:rsid w:val="6413BF8D"/>
    <w:rsid w:val="64179CDD"/>
    <w:rsid w:val="6460A402"/>
    <w:rsid w:val="6465CE06"/>
    <w:rsid w:val="64757546"/>
    <w:rsid w:val="6493601C"/>
    <w:rsid w:val="64BA6C35"/>
    <w:rsid w:val="64DF10CB"/>
    <w:rsid w:val="651BCD00"/>
    <w:rsid w:val="653F7D66"/>
    <w:rsid w:val="65926CBC"/>
    <w:rsid w:val="65AE4011"/>
    <w:rsid w:val="65DBDD5E"/>
    <w:rsid w:val="66152D81"/>
    <w:rsid w:val="661F8B71"/>
    <w:rsid w:val="66427413"/>
    <w:rsid w:val="664FB1B6"/>
    <w:rsid w:val="665BA4E8"/>
    <w:rsid w:val="66873577"/>
    <w:rsid w:val="66A792AA"/>
    <w:rsid w:val="66C20ACE"/>
    <w:rsid w:val="66CA275C"/>
    <w:rsid w:val="66CDC3C1"/>
    <w:rsid w:val="66D16CDB"/>
    <w:rsid w:val="66E76D72"/>
    <w:rsid w:val="66E82BC5"/>
    <w:rsid w:val="6704A3F3"/>
    <w:rsid w:val="670E96F3"/>
    <w:rsid w:val="671D65FE"/>
    <w:rsid w:val="674AE57D"/>
    <w:rsid w:val="67576477"/>
    <w:rsid w:val="676AC5F8"/>
    <w:rsid w:val="67932A47"/>
    <w:rsid w:val="67D780F0"/>
    <w:rsid w:val="67F77549"/>
    <w:rsid w:val="68397D47"/>
    <w:rsid w:val="68562090"/>
    <w:rsid w:val="68636940"/>
    <w:rsid w:val="686B030C"/>
    <w:rsid w:val="687E4165"/>
    <w:rsid w:val="6888DCAA"/>
    <w:rsid w:val="6899FB1B"/>
    <w:rsid w:val="68BB7D9F"/>
    <w:rsid w:val="68F929F8"/>
    <w:rsid w:val="68FFAB40"/>
    <w:rsid w:val="690FF1EA"/>
    <w:rsid w:val="69327EAA"/>
    <w:rsid w:val="69415E85"/>
    <w:rsid w:val="6958181C"/>
    <w:rsid w:val="69A6C450"/>
    <w:rsid w:val="69DCF698"/>
    <w:rsid w:val="69FFD1C9"/>
    <w:rsid w:val="6A02ECB6"/>
    <w:rsid w:val="6A1FCC87"/>
    <w:rsid w:val="6A35E8DD"/>
    <w:rsid w:val="6A595499"/>
    <w:rsid w:val="6A67BF89"/>
    <w:rsid w:val="6A7C5D09"/>
    <w:rsid w:val="6B08CB8C"/>
    <w:rsid w:val="6B1A084B"/>
    <w:rsid w:val="6BA134E4"/>
    <w:rsid w:val="6BAEDF4D"/>
    <w:rsid w:val="6C22A611"/>
    <w:rsid w:val="6C2B5184"/>
    <w:rsid w:val="6C2C59BF"/>
    <w:rsid w:val="6C3370E0"/>
    <w:rsid w:val="6C4024CF"/>
    <w:rsid w:val="6C46C071"/>
    <w:rsid w:val="6C620D76"/>
    <w:rsid w:val="6C75A498"/>
    <w:rsid w:val="6CAF5FDB"/>
    <w:rsid w:val="6CC38431"/>
    <w:rsid w:val="6CDBE3DA"/>
    <w:rsid w:val="6CE8A7BC"/>
    <w:rsid w:val="6D1F6CF1"/>
    <w:rsid w:val="6D36DB13"/>
    <w:rsid w:val="6D3D0545"/>
    <w:rsid w:val="6D41DA0F"/>
    <w:rsid w:val="6D774863"/>
    <w:rsid w:val="6D867332"/>
    <w:rsid w:val="6D92999B"/>
    <w:rsid w:val="6DABBFAA"/>
    <w:rsid w:val="6DAF4387"/>
    <w:rsid w:val="6DC7030A"/>
    <w:rsid w:val="6DD2D29F"/>
    <w:rsid w:val="6DDBD337"/>
    <w:rsid w:val="6DDBF530"/>
    <w:rsid w:val="6E0063CC"/>
    <w:rsid w:val="6E18D317"/>
    <w:rsid w:val="6E211297"/>
    <w:rsid w:val="6EAF17BF"/>
    <w:rsid w:val="6EB1FF2A"/>
    <w:rsid w:val="6EECB69E"/>
    <w:rsid w:val="6F240188"/>
    <w:rsid w:val="6F2E9CCD"/>
    <w:rsid w:val="6F46963A"/>
    <w:rsid w:val="6F9DD75E"/>
    <w:rsid w:val="6FCF253B"/>
    <w:rsid w:val="6FD516A4"/>
    <w:rsid w:val="6FDE483C"/>
    <w:rsid w:val="700C4B4A"/>
    <w:rsid w:val="70320700"/>
    <w:rsid w:val="708F0E0B"/>
    <w:rsid w:val="7096FB91"/>
    <w:rsid w:val="710873B1"/>
    <w:rsid w:val="712FDBBA"/>
    <w:rsid w:val="7149BFC4"/>
    <w:rsid w:val="714CD8E0"/>
    <w:rsid w:val="7152E9B7"/>
    <w:rsid w:val="7187CF0D"/>
    <w:rsid w:val="7191438F"/>
    <w:rsid w:val="7193F29B"/>
    <w:rsid w:val="7199A35B"/>
    <w:rsid w:val="71A8DF63"/>
    <w:rsid w:val="71B95658"/>
    <w:rsid w:val="71D48E6A"/>
    <w:rsid w:val="71E6222E"/>
    <w:rsid w:val="721613E3"/>
    <w:rsid w:val="72446681"/>
    <w:rsid w:val="7256CC96"/>
    <w:rsid w:val="72AC4F02"/>
    <w:rsid w:val="72B40991"/>
    <w:rsid w:val="72E4E61C"/>
    <w:rsid w:val="72E98C61"/>
    <w:rsid w:val="73197E16"/>
    <w:rsid w:val="733130E5"/>
    <w:rsid w:val="73317783"/>
    <w:rsid w:val="7332C5B5"/>
    <w:rsid w:val="73425C28"/>
    <w:rsid w:val="73631812"/>
    <w:rsid w:val="736956F2"/>
    <w:rsid w:val="739019D5"/>
    <w:rsid w:val="73C511ED"/>
    <w:rsid w:val="73D7F15A"/>
    <w:rsid w:val="73DC9B36"/>
    <w:rsid w:val="73EBBB56"/>
    <w:rsid w:val="73EFEAC7"/>
    <w:rsid w:val="73FF8BE2"/>
    <w:rsid w:val="740F8A21"/>
    <w:rsid w:val="7410BC4B"/>
    <w:rsid w:val="741CA1AB"/>
    <w:rsid w:val="744CFC10"/>
    <w:rsid w:val="745CB760"/>
    <w:rsid w:val="74ACDFF1"/>
    <w:rsid w:val="74E8E917"/>
    <w:rsid w:val="74ECB751"/>
    <w:rsid w:val="750339DC"/>
    <w:rsid w:val="751B1CF9"/>
    <w:rsid w:val="75251011"/>
    <w:rsid w:val="753A856D"/>
    <w:rsid w:val="7599CED1"/>
    <w:rsid w:val="75AE28DC"/>
    <w:rsid w:val="75C3DDD5"/>
    <w:rsid w:val="75DB9EBC"/>
    <w:rsid w:val="75E92E34"/>
    <w:rsid w:val="75F8121E"/>
    <w:rsid w:val="75F959A5"/>
    <w:rsid w:val="761B37B1"/>
    <w:rsid w:val="76205421"/>
    <w:rsid w:val="762389DE"/>
    <w:rsid w:val="766D2AA9"/>
    <w:rsid w:val="76A3BEB1"/>
    <w:rsid w:val="76D40B72"/>
    <w:rsid w:val="76EBCBE8"/>
    <w:rsid w:val="7719705A"/>
    <w:rsid w:val="772B869D"/>
    <w:rsid w:val="77406F31"/>
    <w:rsid w:val="776ACB5E"/>
    <w:rsid w:val="77BCE631"/>
    <w:rsid w:val="77FAA8A9"/>
    <w:rsid w:val="77FCE6FC"/>
    <w:rsid w:val="780EE64D"/>
    <w:rsid w:val="7854BB11"/>
    <w:rsid w:val="7857E23F"/>
    <w:rsid w:val="785AAB41"/>
    <w:rsid w:val="785D1F70"/>
    <w:rsid w:val="78813244"/>
    <w:rsid w:val="78AE75DE"/>
    <w:rsid w:val="78B8ABDD"/>
    <w:rsid w:val="78BF4C40"/>
    <w:rsid w:val="78C5EBA0"/>
    <w:rsid w:val="78CF1984"/>
    <w:rsid w:val="792F9523"/>
    <w:rsid w:val="793114FD"/>
    <w:rsid w:val="794A5470"/>
    <w:rsid w:val="795427A0"/>
    <w:rsid w:val="79CFA5F7"/>
    <w:rsid w:val="79D40F7D"/>
    <w:rsid w:val="79EE8E1C"/>
    <w:rsid w:val="79F888FC"/>
    <w:rsid w:val="7A3DDDD7"/>
    <w:rsid w:val="7A6C552E"/>
    <w:rsid w:val="7A9313B6"/>
    <w:rsid w:val="7A9D1E06"/>
    <w:rsid w:val="7AAE0F90"/>
    <w:rsid w:val="7AB51773"/>
    <w:rsid w:val="7AC0AA5F"/>
    <w:rsid w:val="7AE2C417"/>
    <w:rsid w:val="7AEFF801"/>
    <w:rsid w:val="7B08C7BB"/>
    <w:rsid w:val="7B33CA02"/>
    <w:rsid w:val="7B5929E0"/>
    <w:rsid w:val="7B69431A"/>
    <w:rsid w:val="7B7C0919"/>
    <w:rsid w:val="7B8E28B6"/>
    <w:rsid w:val="7BB88474"/>
    <w:rsid w:val="7BF7872C"/>
    <w:rsid w:val="7C060167"/>
    <w:rsid w:val="7C13566D"/>
    <w:rsid w:val="7C3435D6"/>
    <w:rsid w:val="7C357BFC"/>
    <w:rsid w:val="7C963023"/>
    <w:rsid w:val="7CAE5C61"/>
    <w:rsid w:val="7CD83A9F"/>
    <w:rsid w:val="7D2E1C64"/>
    <w:rsid w:val="7D478BB3"/>
    <w:rsid w:val="7D54A367"/>
    <w:rsid w:val="7D5BF31E"/>
    <w:rsid w:val="7D84951C"/>
    <w:rsid w:val="7D993962"/>
    <w:rsid w:val="7DC46207"/>
    <w:rsid w:val="7DE7355B"/>
    <w:rsid w:val="7DFA0680"/>
    <w:rsid w:val="7E4BAD9B"/>
    <w:rsid w:val="7E503846"/>
    <w:rsid w:val="7EC9ECC5"/>
    <w:rsid w:val="7F023359"/>
    <w:rsid w:val="7F42FD13"/>
    <w:rsid w:val="7F4A7E30"/>
    <w:rsid w:val="7F6BD698"/>
    <w:rsid w:val="7F840E08"/>
    <w:rsid w:val="7FA6DAF7"/>
    <w:rsid w:val="7FC36924"/>
    <w:rsid w:val="7FC61002"/>
    <w:rsid w:val="7FE6657D"/>
    <w:rsid w:val="7FFB69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D2201"/>
  <w15:docId w15:val="{6F117672-C43D-42DA-9B66-8F4E76F3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DEB"/>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2"/>
      </w:numPr>
      <w:outlineLvl w:val="1"/>
    </w:pPr>
    <w:rPr>
      <w:b/>
      <w:szCs w:val="20"/>
    </w:rPr>
  </w:style>
  <w:style w:type="paragraph" w:styleId="Heading4">
    <w:name w:val="heading 4"/>
    <w:basedOn w:val="Normal"/>
    <w:next w:val="Normal"/>
    <w:link w:val="Heading4Char"/>
    <w:uiPriority w:val="9"/>
    <w:unhideWhenUsed/>
    <w:qFormat/>
    <w:rsid w:val="00EF364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UnresolvedMention1">
    <w:name w:val="Unresolved Mention1"/>
    <w:basedOn w:val="DefaultParagraphFont"/>
    <w:uiPriority w:val="99"/>
    <w:semiHidden/>
    <w:unhideWhenUsed/>
    <w:rsid w:val="00B34621"/>
    <w:rPr>
      <w:color w:val="605E5C"/>
      <w:shd w:val="clear" w:color="auto" w:fill="E1DFDD"/>
    </w:rPr>
  </w:style>
  <w:style w:type="character" w:customStyle="1" w:styleId="Heading4Char">
    <w:name w:val="Heading 4 Char"/>
    <w:basedOn w:val="DefaultParagraphFont"/>
    <w:link w:val="Heading4"/>
    <w:uiPriority w:val="9"/>
    <w:rsid w:val="00EF364F"/>
    <w:rPr>
      <w:rFonts w:asciiTheme="majorHAnsi" w:eastAsiaTheme="majorEastAsia" w:hAnsiTheme="majorHAnsi" w:cstheme="majorBidi"/>
      <w:i/>
      <w:iCs/>
      <w:color w:val="365F91" w:themeColor="accent1" w:themeShade="BF"/>
      <w:sz w:val="20"/>
    </w:rPr>
  </w:style>
  <w:style w:type="character" w:styleId="Emphasis">
    <w:name w:val="Emphasis"/>
    <w:basedOn w:val="DefaultParagraphFont"/>
    <w:uiPriority w:val="20"/>
    <w:qFormat/>
    <w:rsid w:val="00580D20"/>
    <w:rPr>
      <w:i/>
      <w:iCs/>
    </w:rPr>
  </w:style>
  <w:style w:type="paragraph" w:styleId="NormalWeb">
    <w:name w:val="Normal (Web)"/>
    <w:basedOn w:val="Normal"/>
    <w:uiPriority w:val="99"/>
    <w:unhideWhenUsed/>
    <w:rsid w:val="00657323"/>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A67BD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A67BDB"/>
  </w:style>
  <w:style w:type="character" w:customStyle="1" w:styleId="normaltextrun">
    <w:name w:val="normaltextrun"/>
    <w:basedOn w:val="DefaultParagraphFont"/>
    <w:rsid w:val="00A6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3091">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533884443">
      <w:bodyDiv w:val="1"/>
      <w:marLeft w:val="0"/>
      <w:marRight w:val="0"/>
      <w:marTop w:val="0"/>
      <w:marBottom w:val="0"/>
      <w:divBdr>
        <w:top w:val="none" w:sz="0" w:space="0" w:color="auto"/>
        <w:left w:val="none" w:sz="0" w:space="0" w:color="auto"/>
        <w:bottom w:val="none" w:sz="0" w:space="0" w:color="auto"/>
        <w:right w:val="none" w:sz="0" w:space="0" w:color="auto"/>
      </w:divBdr>
    </w:div>
    <w:div w:id="704988138">
      <w:bodyDiv w:val="1"/>
      <w:marLeft w:val="0"/>
      <w:marRight w:val="0"/>
      <w:marTop w:val="0"/>
      <w:marBottom w:val="0"/>
      <w:divBdr>
        <w:top w:val="none" w:sz="0" w:space="0" w:color="auto"/>
        <w:left w:val="none" w:sz="0" w:space="0" w:color="auto"/>
        <w:bottom w:val="none" w:sz="0" w:space="0" w:color="auto"/>
        <w:right w:val="none" w:sz="0" w:space="0" w:color="auto"/>
      </w:divBdr>
      <w:divsChild>
        <w:div w:id="372311815">
          <w:marLeft w:val="0"/>
          <w:marRight w:val="0"/>
          <w:marTop w:val="0"/>
          <w:marBottom w:val="450"/>
          <w:divBdr>
            <w:top w:val="none" w:sz="0" w:space="0" w:color="auto"/>
            <w:left w:val="none" w:sz="0" w:space="0" w:color="auto"/>
            <w:bottom w:val="none" w:sz="0" w:space="0" w:color="auto"/>
            <w:right w:val="none" w:sz="0" w:space="0" w:color="auto"/>
          </w:divBdr>
        </w:div>
        <w:div w:id="1488746265">
          <w:marLeft w:val="0"/>
          <w:marRight w:val="0"/>
          <w:marTop w:val="0"/>
          <w:marBottom w:val="450"/>
          <w:divBdr>
            <w:top w:val="none" w:sz="0" w:space="0" w:color="auto"/>
            <w:left w:val="none" w:sz="0" w:space="0" w:color="auto"/>
            <w:bottom w:val="none" w:sz="0" w:space="0" w:color="auto"/>
            <w:right w:val="none" w:sz="0" w:space="0" w:color="auto"/>
          </w:divBdr>
          <w:divsChild>
            <w:div w:id="839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7958">
      <w:bodyDiv w:val="1"/>
      <w:marLeft w:val="0"/>
      <w:marRight w:val="0"/>
      <w:marTop w:val="0"/>
      <w:marBottom w:val="0"/>
      <w:divBdr>
        <w:top w:val="none" w:sz="0" w:space="0" w:color="auto"/>
        <w:left w:val="none" w:sz="0" w:space="0" w:color="auto"/>
        <w:bottom w:val="none" w:sz="0" w:space="0" w:color="auto"/>
        <w:right w:val="none" w:sz="0" w:space="0" w:color="auto"/>
      </w:divBdr>
    </w:div>
    <w:div w:id="1075854147">
      <w:bodyDiv w:val="1"/>
      <w:marLeft w:val="0"/>
      <w:marRight w:val="0"/>
      <w:marTop w:val="0"/>
      <w:marBottom w:val="0"/>
      <w:divBdr>
        <w:top w:val="none" w:sz="0" w:space="0" w:color="auto"/>
        <w:left w:val="none" w:sz="0" w:space="0" w:color="auto"/>
        <w:bottom w:val="none" w:sz="0" w:space="0" w:color="auto"/>
        <w:right w:val="none" w:sz="0" w:space="0" w:color="auto"/>
      </w:divBdr>
    </w:div>
    <w:div w:id="1130049820">
      <w:bodyDiv w:val="1"/>
      <w:marLeft w:val="0"/>
      <w:marRight w:val="0"/>
      <w:marTop w:val="0"/>
      <w:marBottom w:val="0"/>
      <w:divBdr>
        <w:top w:val="none" w:sz="0" w:space="0" w:color="auto"/>
        <w:left w:val="none" w:sz="0" w:space="0" w:color="auto"/>
        <w:bottom w:val="none" w:sz="0" w:space="0" w:color="auto"/>
        <w:right w:val="none" w:sz="0" w:space="0" w:color="auto"/>
      </w:divBdr>
    </w:div>
    <w:div w:id="1457601704">
      <w:bodyDiv w:val="1"/>
      <w:marLeft w:val="0"/>
      <w:marRight w:val="0"/>
      <w:marTop w:val="0"/>
      <w:marBottom w:val="0"/>
      <w:divBdr>
        <w:top w:val="none" w:sz="0" w:space="0" w:color="auto"/>
        <w:left w:val="none" w:sz="0" w:space="0" w:color="auto"/>
        <w:bottom w:val="none" w:sz="0" w:space="0" w:color="auto"/>
        <w:right w:val="none" w:sz="0" w:space="0" w:color="auto"/>
      </w:divBdr>
      <w:divsChild>
        <w:div w:id="392120818">
          <w:marLeft w:val="0"/>
          <w:marRight w:val="0"/>
          <w:marTop w:val="0"/>
          <w:marBottom w:val="0"/>
          <w:divBdr>
            <w:top w:val="none" w:sz="0" w:space="0" w:color="auto"/>
            <w:left w:val="none" w:sz="0" w:space="0" w:color="auto"/>
            <w:bottom w:val="none" w:sz="0" w:space="0" w:color="auto"/>
            <w:right w:val="none" w:sz="0" w:space="0" w:color="auto"/>
          </w:divBdr>
        </w:div>
        <w:div w:id="1014651729">
          <w:marLeft w:val="0"/>
          <w:marRight w:val="0"/>
          <w:marTop w:val="0"/>
          <w:marBottom w:val="0"/>
          <w:divBdr>
            <w:top w:val="none" w:sz="0" w:space="0" w:color="auto"/>
            <w:left w:val="none" w:sz="0" w:space="0" w:color="auto"/>
            <w:bottom w:val="none" w:sz="0" w:space="0" w:color="auto"/>
            <w:right w:val="none" w:sz="0" w:space="0" w:color="auto"/>
          </w:divBdr>
        </w:div>
      </w:divsChild>
    </w:div>
    <w:div w:id="1540193899">
      <w:bodyDiv w:val="1"/>
      <w:marLeft w:val="0"/>
      <w:marRight w:val="0"/>
      <w:marTop w:val="0"/>
      <w:marBottom w:val="0"/>
      <w:divBdr>
        <w:top w:val="none" w:sz="0" w:space="0" w:color="auto"/>
        <w:left w:val="none" w:sz="0" w:space="0" w:color="auto"/>
        <w:bottom w:val="none" w:sz="0" w:space="0" w:color="auto"/>
        <w:right w:val="none" w:sz="0" w:space="0" w:color="auto"/>
      </w:divBdr>
    </w:div>
    <w:div w:id="1652758683">
      <w:bodyDiv w:val="1"/>
      <w:marLeft w:val="0"/>
      <w:marRight w:val="0"/>
      <w:marTop w:val="0"/>
      <w:marBottom w:val="0"/>
      <w:divBdr>
        <w:top w:val="none" w:sz="0" w:space="0" w:color="auto"/>
        <w:left w:val="none" w:sz="0" w:space="0" w:color="auto"/>
        <w:bottom w:val="none" w:sz="0" w:space="0" w:color="auto"/>
        <w:right w:val="none" w:sz="0" w:space="0" w:color="auto"/>
      </w:divBdr>
    </w:div>
    <w:div w:id="1661108193">
      <w:bodyDiv w:val="1"/>
      <w:marLeft w:val="0"/>
      <w:marRight w:val="0"/>
      <w:marTop w:val="0"/>
      <w:marBottom w:val="0"/>
      <w:divBdr>
        <w:top w:val="none" w:sz="0" w:space="0" w:color="auto"/>
        <w:left w:val="none" w:sz="0" w:space="0" w:color="auto"/>
        <w:bottom w:val="none" w:sz="0" w:space="0" w:color="auto"/>
        <w:right w:val="none" w:sz="0" w:space="0" w:color="auto"/>
      </w:divBdr>
    </w:div>
    <w:div w:id="1755592049">
      <w:bodyDiv w:val="1"/>
      <w:marLeft w:val="0"/>
      <w:marRight w:val="0"/>
      <w:marTop w:val="0"/>
      <w:marBottom w:val="0"/>
      <w:divBdr>
        <w:top w:val="none" w:sz="0" w:space="0" w:color="auto"/>
        <w:left w:val="none" w:sz="0" w:space="0" w:color="auto"/>
        <w:bottom w:val="none" w:sz="0" w:space="0" w:color="auto"/>
        <w:right w:val="none" w:sz="0" w:space="0" w:color="auto"/>
      </w:divBdr>
      <w:divsChild>
        <w:div w:id="402870099">
          <w:marLeft w:val="0"/>
          <w:marRight w:val="0"/>
          <w:marTop w:val="0"/>
          <w:marBottom w:val="0"/>
          <w:divBdr>
            <w:top w:val="none" w:sz="0" w:space="0" w:color="auto"/>
            <w:left w:val="none" w:sz="0" w:space="0" w:color="auto"/>
            <w:bottom w:val="none" w:sz="0" w:space="0" w:color="auto"/>
            <w:right w:val="none" w:sz="0" w:space="0" w:color="auto"/>
          </w:divBdr>
        </w:div>
        <w:div w:id="541328564">
          <w:marLeft w:val="0"/>
          <w:marRight w:val="0"/>
          <w:marTop w:val="0"/>
          <w:marBottom w:val="0"/>
          <w:divBdr>
            <w:top w:val="none" w:sz="0" w:space="0" w:color="auto"/>
            <w:left w:val="none" w:sz="0" w:space="0" w:color="auto"/>
            <w:bottom w:val="none" w:sz="0" w:space="0" w:color="auto"/>
            <w:right w:val="none" w:sz="0" w:space="0" w:color="auto"/>
          </w:divBdr>
        </w:div>
        <w:div w:id="617102514">
          <w:marLeft w:val="0"/>
          <w:marRight w:val="0"/>
          <w:marTop w:val="0"/>
          <w:marBottom w:val="0"/>
          <w:divBdr>
            <w:top w:val="none" w:sz="0" w:space="0" w:color="auto"/>
            <w:left w:val="none" w:sz="0" w:space="0" w:color="auto"/>
            <w:bottom w:val="none" w:sz="0" w:space="0" w:color="auto"/>
            <w:right w:val="none" w:sz="0" w:space="0" w:color="auto"/>
          </w:divBdr>
        </w:div>
        <w:div w:id="719862561">
          <w:marLeft w:val="0"/>
          <w:marRight w:val="0"/>
          <w:marTop w:val="0"/>
          <w:marBottom w:val="0"/>
          <w:divBdr>
            <w:top w:val="none" w:sz="0" w:space="0" w:color="auto"/>
            <w:left w:val="none" w:sz="0" w:space="0" w:color="auto"/>
            <w:bottom w:val="none" w:sz="0" w:space="0" w:color="auto"/>
            <w:right w:val="none" w:sz="0" w:space="0" w:color="auto"/>
          </w:divBdr>
          <w:divsChild>
            <w:div w:id="974062688">
              <w:marLeft w:val="0"/>
              <w:marRight w:val="0"/>
              <w:marTop w:val="0"/>
              <w:marBottom w:val="0"/>
              <w:divBdr>
                <w:top w:val="none" w:sz="0" w:space="0" w:color="auto"/>
                <w:left w:val="none" w:sz="0" w:space="0" w:color="auto"/>
                <w:bottom w:val="none" w:sz="0" w:space="0" w:color="auto"/>
                <w:right w:val="none" w:sz="0" w:space="0" w:color="auto"/>
              </w:divBdr>
            </w:div>
            <w:div w:id="1601643667">
              <w:marLeft w:val="0"/>
              <w:marRight w:val="0"/>
              <w:marTop w:val="0"/>
              <w:marBottom w:val="0"/>
              <w:divBdr>
                <w:top w:val="none" w:sz="0" w:space="0" w:color="auto"/>
                <w:left w:val="none" w:sz="0" w:space="0" w:color="auto"/>
                <w:bottom w:val="none" w:sz="0" w:space="0" w:color="auto"/>
                <w:right w:val="none" w:sz="0" w:space="0" w:color="auto"/>
              </w:divBdr>
            </w:div>
          </w:divsChild>
        </w:div>
        <w:div w:id="821196385">
          <w:marLeft w:val="0"/>
          <w:marRight w:val="0"/>
          <w:marTop w:val="0"/>
          <w:marBottom w:val="0"/>
          <w:divBdr>
            <w:top w:val="none" w:sz="0" w:space="0" w:color="auto"/>
            <w:left w:val="none" w:sz="0" w:space="0" w:color="auto"/>
            <w:bottom w:val="none" w:sz="0" w:space="0" w:color="auto"/>
            <w:right w:val="none" w:sz="0" w:space="0" w:color="auto"/>
          </w:divBdr>
        </w:div>
        <w:div w:id="1093864702">
          <w:marLeft w:val="0"/>
          <w:marRight w:val="0"/>
          <w:marTop w:val="0"/>
          <w:marBottom w:val="0"/>
          <w:divBdr>
            <w:top w:val="none" w:sz="0" w:space="0" w:color="auto"/>
            <w:left w:val="none" w:sz="0" w:space="0" w:color="auto"/>
            <w:bottom w:val="none" w:sz="0" w:space="0" w:color="auto"/>
            <w:right w:val="none" w:sz="0" w:space="0" w:color="auto"/>
          </w:divBdr>
          <w:divsChild>
            <w:div w:id="577909949">
              <w:marLeft w:val="0"/>
              <w:marRight w:val="0"/>
              <w:marTop w:val="0"/>
              <w:marBottom w:val="0"/>
              <w:divBdr>
                <w:top w:val="none" w:sz="0" w:space="0" w:color="auto"/>
                <w:left w:val="none" w:sz="0" w:space="0" w:color="auto"/>
                <w:bottom w:val="none" w:sz="0" w:space="0" w:color="auto"/>
                <w:right w:val="none" w:sz="0" w:space="0" w:color="auto"/>
              </w:divBdr>
            </w:div>
            <w:div w:id="904022987">
              <w:marLeft w:val="0"/>
              <w:marRight w:val="0"/>
              <w:marTop w:val="0"/>
              <w:marBottom w:val="0"/>
              <w:divBdr>
                <w:top w:val="none" w:sz="0" w:space="0" w:color="auto"/>
                <w:left w:val="none" w:sz="0" w:space="0" w:color="auto"/>
                <w:bottom w:val="none" w:sz="0" w:space="0" w:color="auto"/>
                <w:right w:val="none" w:sz="0" w:space="0" w:color="auto"/>
              </w:divBdr>
            </w:div>
            <w:div w:id="1282610309">
              <w:marLeft w:val="0"/>
              <w:marRight w:val="0"/>
              <w:marTop w:val="0"/>
              <w:marBottom w:val="0"/>
              <w:divBdr>
                <w:top w:val="none" w:sz="0" w:space="0" w:color="auto"/>
                <w:left w:val="none" w:sz="0" w:space="0" w:color="auto"/>
                <w:bottom w:val="none" w:sz="0" w:space="0" w:color="auto"/>
                <w:right w:val="none" w:sz="0" w:space="0" w:color="auto"/>
              </w:divBdr>
            </w:div>
            <w:div w:id="1625650960">
              <w:marLeft w:val="0"/>
              <w:marRight w:val="0"/>
              <w:marTop w:val="0"/>
              <w:marBottom w:val="0"/>
              <w:divBdr>
                <w:top w:val="none" w:sz="0" w:space="0" w:color="auto"/>
                <w:left w:val="none" w:sz="0" w:space="0" w:color="auto"/>
                <w:bottom w:val="none" w:sz="0" w:space="0" w:color="auto"/>
                <w:right w:val="none" w:sz="0" w:space="0" w:color="auto"/>
              </w:divBdr>
            </w:div>
          </w:divsChild>
        </w:div>
        <w:div w:id="1298947226">
          <w:marLeft w:val="0"/>
          <w:marRight w:val="0"/>
          <w:marTop w:val="0"/>
          <w:marBottom w:val="0"/>
          <w:divBdr>
            <w:top w:val="none" w:sz="0" w:space="0" w:color="auto"/>
            <w:left w:val="none" w:sz="0" w:space="0" w:color="auto"/>
            <w:bottom w:val="none" w:sz="0" w:space="0" w:color="auto"/>
            <w:right w:val="none" w:sz="0" w:space="0" w:color="auto"/>
          </w:divBdr>
          <w:divsChild>
            <w:div w:id="81535487">
              <w:marLeft w:val="0"/>
              <w:marRight w:val="0"/>
              <w:marTop w:val="0"/>
              <w:marBottom w:val="0"/>
              <w:divBdr>
                <w:top w:val="none" w:sz="0" w:space="0" w:color="auto"/>
                <w:left w:val="none" w:sz="0" w:space="0" w:color="auto"/>
                <w:bottom w:val="none" w:sz="0" w:space="0" w:color="auto"/>
                <w:right w:val="none" w:sz="0" w:space="0" w:color="auto"/>
              </w:divBdr>
            </w:div>
            <w:div w:id="454567497">
              <w:marLeft w:val="0"/>
              <w:marRight w:val="0"/>
              <w:marTop w:val="0"/>
              <w:marBottom w:val="0"/>
              <w:divBdr>
                <w:top w:val="none" w:sz="0" w:space="0" w:color="auto"/>
                <w:left w:val="none" w:sz="0" w:space="0" w:color="auto"/>
                <w:bottom w:val="none" w:sz="0" w:space="0" w:color="auto"/>
                <w:right w:val="none" w:sz="0" w:space="0" w:color="auto"/>
              </w:divBdr>
            </w:div>
          </w:divsChild>
        </w:div>
        <w:div w:id="1408109563">
          <w:marLeft w:val="0"/>
          <w:marRight w:val="0"/>
          <w:marTop w:val="0"/>
          <w:marBottom w:val="0"/>
          <w:divBdr>
            <w:top w:val="none" w:sz="0" w:space="0" w:color="auto"/>
            <w:left w:val="none" w:sz="0" w:space="0" w:color="auto"/>
            <w:bottom w:val="none" w:sz="0" w:space="0" w:color="auto"/>
            <w:right w:val="none" w:sz="0" w:space="0" w:color="auto"/>
          </w:divBdr>
        </w:div>
        <w:div w:id="1448231210">
          <w:marLeft w:val="0"/>
          <w:marRight w:val="0"/>
          <w:marTop w:val="0"/>
          <w:marBottom w:val="0"/>
          <w:divBdr>
            <w:top w:val="none" w:sz="0" w:space="0" w:color="auto"/>
            <w:left w:val="none" w:sz="0" w:space="0" w:color="auto"/>
            <w:bottom w:val="none" w:sz="0" w:space="0" w:color="auto"/>
            <w:right w:val="none" w:sz="0" w:space="0" w:color="auto"/>
          </w:divBdr>
          <w:divsChild>
            <w:div w:id="696586828">
              <w:marLeft w:val="0"/>
              <w:marRight w:val="0"/>
              <w:marTop w:val="0"/>
              <w:marBottom w:val="0"/>
              <w:divBdr>
                <w:top w:val="none" w:sz="0" w:space="0" w:color="auto"/>
                <w:left w:val="none" w:sz="0" w:space="0" w:color="auto"/>
                <w:bottom w:val="none" w:sz="0" w:space="0" w:color="auto"/>
                <w:right w:val="none" w:sz="0" w:space="0" w:color="auto"/>
              </w:divBdr>
            </w:div>
            <w:div w:id="1497845371">
              <w:marLeft w:val="0"/>
              <w:marRight w:val="0"/>
              <w:marTop w:val="0"/>
              <w:marBottom w:val="0"/>
              <w:divBdr>
                <w:top w:val="none" w:sz="0" w:space="0" w:color="auto"/>
                <w:left w:val="none" w:sz="0" w:space="0" w:color="auto"/>
                <w:bottom w:val="none" w:sz="0" w:space="0" w:color="auto"/>
                <w:right w:val="none" w:sz="0" w:space="0" w:color="auto"/>
              </w:divBdr>
            </w:div>
            <w:div w:id="2144157853">
              <w:marLeft w:val="0"/>
              <w:marRight w:val="0"/>
              <w:marTop w:val="0"/>
              <w:marBottom w:val="0"/>
              <w:divBdr>
                <w:top w:val="none" w:sz="0" w:space="0" w:color="auto"/>
                <w:left w:val="none" w:sz="0" w:space="0" w:color="auto"/>
                <w:bottom w:val="none" w:sz="0" w:space="0" w:color="auto"/>
                <w:right w:val="none" w:sz="0" w:space="0" w:color="auto"/>
              </w:divBdr>
            </w:div>
          </w:divsChild>
        </w:div>
        <w:div w:id="1614896424">
          <w:marLeft w:val="0"/>
          <w:marRight w:val="0"/>
          <w:marTop w:val="0"/>
          <w:marBottom w:val="0"/>
          <w:divBdr>
            <w:top w:val="none" w:sz="0" w:space="0" w:color="auto"/>
            <w:left w:val="none" w:sz="0" w:space="0" w:color="auto"/>
            <w:bottom w:val="none" w:sz="0" w:space="0" w:color="auto"/>
            <w:right w:val="none" w:sz="0" w:space="0" w:color="auto"/>
          </w:divBdr>
        </w:div>
        <w:div w:id="1882008531">
          <w:marLeft w:val="0"/>
          <w:marRight w:val="0"/>
          <w:marTop w:val="0"/>
          <w:marBottom w:val="0"/>
          <w:divBdr>
            <w:top w:val="none" w:sz="0" w:space="0" w:color="auto"/>
            <w:left w:val="none" w:sz="0" w:space="0" w:color="auto"/>
            <w:bottom w:val="none" w:sz="0" w:space="0" w:color="auto"/>
            <w:right w:val="none" w:sz="0" w:space="0" w:color="auto"/>
          </w:divBdr>
        </w:div>
        <w:div w:id="2010403623">
          <w:marLeft w:val="0"/>
          <w:marRight w:val="0"/>
          <w:marTop w:val="0"/>
          <w:marBottom w:val="0"/>
          <w:divBdr>
            <w:top w:val="none" w:sz="0" w:space="0" w:color="auto"/>
            <w:left w:val="none" w:sz="0" w:space="0" w:color="auto"/>
            <w:bottom w:val="none" w:sz="0" w:space="0" w:color="auto"/>
            <w:right w:val="none" w:sz="0" w:space="0" w:color="auto"/>
          </w:divBdr>
        </w:div>
        <w:div w:id="2054192958">
          <w:marLeft w:val="0"/>
          <w:marRight w:val="0"/>
          <w:marTop w:val="0"/>
          <w:marBottom w:val="0"/>
          <w:divBdr>
            <w:top w:val="none" w:sz="0" w:space="0" w:color="auto"/>
            <w:left w:val="none" w:sz="0" w:space="0" w:color="auto"/>
            <w:bottom w:val="none" w:sz="0" w:space="0" w:color="auto"/>
            <w:right w:val="none" w:sz="0" w:space="0" w:color="auto"/>
          </w:divBdr>
        </w:div>
      </w:divsChild>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ta@health.gov.au" TargetMode="External"/><Relationship Id="rId17" Type="http://schemas.openxmlformats.org/officeDocument/2006/relationships/hyperlink" Target="http://ghr.nlm.nih.gov/gene=fh" TargetMode="External"/><Relationship Id="rId2" Type="http://schemas.openxmlformats.org/officeDocument/2006/relationships/customXml" Target="../customXml/item2.xml"/><Relationship Id="rId16" Type="http://schemas.openxmlformats.org/officeDocument/2006/relationships/hyperlink" Target="https://www.eviq.org.au/cancer-genetics/adult/risk-management/1657-fh-hereditary-leiomyomatosis-and-renal-ce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viq.org.au/cancer-genetics/adult/risk-management/161-flcn-birt-hogg-dube-risk-management"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2B577DBF214FA52890CC43EE32FE" ma:contentTypeVersion="4" ma:contentTypeDescription="Create a new document." ma:contentTypeScope="" ma:versionID="b098829482a6dd85066c5024756eea47">
  <xsd:schema xmlns:xsd="http://www.w3.org/2001/XMLSchema" xmlns:xs="http://www.w3.org/2001/XMLSchema" xmlns:p="http://schemas.microsoft.com/office/2006/metadata/properties" xmlns:ns2="0de1a02d-9c2f-4987-96eb-f691ae81a7e2" targetNamespace="http://schemas.microsoft.com/office/2006/metadata/properties" ma:root="true" ma:fieldsID="b6e71a61d199c05465828c8fd1c568a7" ns2:_="">
    <xsd:import namespace="0de1a02d-9c2f-4987-96eb-f691ae81a7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1a02d-9c2f-4987-96eb-f691ae81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FC13C-5075-422B-BEDC-11B4D4A8F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1a02d-9c2f-4987-96eb-f691ae81a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BA30F-85D6-4629-8B8D-28A0B46E67A0}">
  <ds:schemaRefs>
    <ds:schemaRef ds:uri="http://schemas.openxmlformats.org/officeDocument/2006/bibliography"/>
  </ds:schemaRefs>
</ds:datastoreItem>
</file>

<file path=customXml/itemProps3.xml><?xml version="1.0" encoding="utf-8"?>
<ds:datastoreItem xmlns:ds="http://schemas.openxmlformats.org/officeDocument/2006/customXml" ds:itemID="{2DFCE6E8-C056-4016-AA90-83920F75CD2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de1a02d-9c2f-4987-96eb-f691ae81a7e2"/>
    <ds:schemaRef ds:uri="http://www.w3.org/XML/1998/namespace"/>
  </ds:schemaRefs>
</ds:datastoreItem>
</file>

<file path=customXml/itemProps4.xml><?xml version="1.0" encoding="utf-8"?>
<ds:datastoreItem xmlns:ds="http://schemas.openxmlformats.org/officeDocument/2006/customXml" ds:itemID="{B7CDF520-3FD1-4D55-9DCF-900E88A5B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6253</Words>
  <Characters>35645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41815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cp:lastModifiedBy>Department of Health</cp:lastModifiedBy>
  <cp:revision>3</cp:revision>
  <cp:lastPrinted>2021-05-10T01:34:00Z</cp:lastPrinted>
  <dcterms:created xsi:type="dcterms:W3CDTF">2021-11-30T03:26:00Z</dcterms:created>
  <dcterms:modified xsi:type="dcterms:W3CDTF">2021-12-02T05:08:00Z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0x01010018662B577DBF214FA52890CC43EE32FE</vt:lpwstr>
  </property>
</Properties>
</file>