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F0943"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1D7D18A4" wp14:editId="632712FC">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86304EA" w14:textId="77777777" w:rsidR="00BC1364" w:rsidRPr="008D5885" w:rsidRDefault="00BC1364" w:rsidP="008D5885"/>
    <w:p w14:paraId="69C059F9" w14:textId="77777777" w:rsidR="00C67DD2" w:rsidRPr="008D5885" w:rsidRDefault="00C67DD2" w:rsidP="008D5885"/>
    <w:p w14:paraId="1348A4EA" w14:textId="77777777"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14:paraId="64EB575C" w14:textId="77777777" w:rsidR="00BC1364" w:rsidRPr="007B32D1" w:rsidRDefault="00BC1364" w:rsidP="007B32D1"/>
    <w:p w14:paraId="338340A9" w14:textId="77777777"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F9695B" w:rsidRPr="00C57E7B">
        <w:rPr>
          <w:rStyle w:val="Style1Char"/>
          <w:color w:val="002060"/>
        </w:rPr>
        <w:t xml:space="preserve">1361 – </w:t>
      </w:r>
      <w:r w:rsidR="00F9695B" w:rsidRPr="00C57E7B">
        <w:rPr>
          <w:rFonts w:ascii="Arial" w:hAnsi="Arial" w:cs="Arial"/>
          <w:b/>
          <w:i/>
          <w:color w:val="002060"/>
          <w:sz w:val="28"/>
          <w:szCs w:val="28"/>
        </w:rPr>
        <w:t>Transcatheter Aortic Valve Implantation (TAVI) via transfemoral or transapical delivery</w:t>
      </w:r>
    </w:p>
    <w:p w14:paraId="38A222FB" w14:textId="77777777" w:rsidR="00BC1364" w:rsidRDefault="00BC1364" w:rsidP="00D305C7">
      <w:pPr>
        <w:tabs>
          <w:tab w:val="left" w:pos="3600"/>
        </w:tabs>
        <w:rPr>
          <w:szCs w:val="24"/>
        </w:rPr>
      </w:pPr>
    </w:p>
    <w:p w14:paraId="5A46B2EB" w14:textId="77777777" w:rsidR="005B6A25" w:rsidRPr="00707064" w:rsidRDefault="005B6A25" w:rsidP="00D305C7">
      <w:pPr>
        <w:tabs>
          <w:tab w:val="left" w:pos="3600"/>
        </w:tabs>
        <w:rPr>
          <w:szCs w:val="24"/>
        </w:rPr>
      </w:pPr>
    </w:p>
    <w:p w14:paraId="3F24D166" w14:textId="0BCDBE7D" w:rsidR="00BC1364" w:rsidRDefault="00B35595" w:rsidP="000D6899">
      <w:pPr>
        <w:ind w:left="3595" w:hanging="3595"/>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0D6899">
        <w:rPr>
          <w:rFonts w:ascii="Arial" w:hAnsi="Arial" w:cs="Arial"/>
          <w:b/>
          <w:szCs w:val="24"/>
        </w:rPr>
        <w:tab/>
      </w:r>
      <w:r w:rsidR="00F9695B" w:rsidRPr="00C57E7B">
        <w:rPr>
          <w:rFonts w:ascii="Arial" w:hAnsi="Arial" w:cs="Arial"/>
          <w:b/>
          <w:szCs w:val="24"/>
        </w:rPr>
        <w:t xml:space="preserve">Edwards </w:t>
      </w:r>
      <w:proofErr w:type="spellStart"/>
      <w:r w:rsidR="00F9695B" w:rsidRPr="00C57E7B">
        <w:rPr>
          <w:rFonts w:ascii="Arial" w:hAnsi="Arial" w:cs="Arial"/>
          <w:b/>
          <w:szCs w:val="24"/>
        </w:rPr>
        <w:t>LifeSciences</w:t>
      </w:r>
      <w:proofErr w:type="spellEnd"/>
      <w:r w:rsidR="00F9695B" w:rsidRPr="00C57E7B">
        <w:rPr>
          <w:rFonts w:ascii="Arial" w:hAnsi="Arial" w:cs="Arial"/>
          <w:b/>
          <w:szCs w:val="24"/>
        </w:rPr>
        <w:t xml:space="preserve"> Pty Ltd</w:t>
      </w:r>
    </w:p>
    <w:p w14:paraId="02820435" w14:textId="77777777" w:rsidR="00F9695B" w:rsidRPr="00D90A38" w:rsidRDefault="00F9695B" w:rsidP="00F9695B">
      <w:pPr>
        <w:rPr>
          <w:rFonts w:ascii="Arial" w:hAnsi="Arial" w:cs="Arial"/>
          <w:b/>
        </w:rPr>
      </w:pPr>
    </w:p>
    <w:p w14:paraId="50E82A0A" w14:textId="77777777"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F9695B">
        <w:rPr>
          <w:rFonts w:ascii="Arial" w:hAnsi="Arial" w:cs="Arial"/>
          <w:b/>
          <w:szCs w:val="24"/>
        </w:rPr>
        <w:t>63</w:t>
      </w:r>
      <w:r w:rsidR="00F9695B" w:rsidRPr="00F9695B">
        <w:rPr>
          <w:rFonts w:ascii="Arial" w:hAnsi="Arial" w:cs="Arial"/>
          <w:b/>
          <w:szCs w:val="24"/>
          <w:vertAlign w:val="superscript"/>
        </w:rPr>
        <w:t>rd</w:t>
      </w:r>
      <w:r w:rsidR="00F9695B">
        <w:rPr>
          <w:rFonts w:ascii="Arial" w:hAnsi="Arial" w:cs="Arial"/>
          <w:b/>
          <w:szCs w:val="24"/>
        </w:rPr>
        <w:t xml:space="preserve"> </w:t>
      </w:r>
      <w:r w:rsidRPr="00D90A38">
        <w:rPr>
          <w:rFonts w:ascii="Arial" w:hAnsi="Arial" w:cs="Arial"/>
          <w:b/>
          <w:szCs w:val="24"/>
        </w:rPr>
        <w:t xml:space="preserve">Meeting, </w:t>
      </w:r>
      <w:r w:rsidR="00F9695B">
        <w:rPr>
          <w:rFonts w:ascii="Arial" w:hAnsi="Arial" w:cs="Arial"/>
          <w:b/>
          <w:szCs w:val="24"/>
        </w:rPr>
        <w:t>1-2 April 2015</w:t>
      </w:r>
    </w:p>
    <w:p w14:paraId="75A191BB" w14:textId="77777777" w:rsidR="00BC1364" w:rsidRDefault="00BC1364" w:rsidP="00065623">
      <w:pPr>
        <w:rPr>
          <w:szCs w:val="24"/>
        </w:rPr>
      </w:pPr>
    </w:p>
    <w:p w14:paraId="5260AA72" w14:textId="06EAFEE0" w:rsidR="0041758C" w:rsidRDefault="006A0D97" w:rsidP="00065623">
      <w:pPr>
        <w:rPr>
          <w:szCs w:val="24"/>
        </w:rPr>
      </w:pPr>
      <w:r>
        <w:rPr>
          <w:szCs w:val="24"/>
        </w:rPr>
        <w:t xml:space="preserve">Context for decision: MSAC makes its advice in accordance with its Terms of Reference, see at </w:t>
      </w:r>
      <w:hyperlink r:id="rId10" w:tooltip="Link to MSAC website" w:history="1">
        <w:r w:rsidRPr="000A74FE">
          <w:rPr>
            <w:rStyle w:val="Hyperlink"/>
            <w:szCs w:val="24"/>
          </w:rPr>
          <w:t>www.msac.gov.au</w:t>
        </w:r>
      </w:hyperlink>
    </w:p>
    <w:p w14:paraId="6177A676" w14:textId="77777777" w:rsidR="0041758C" w:rsidRDefault="0041758C" w:rsidP="00065623">
      <w:pPr>
        <w:rPr>
          <w:szCs w:val="24"/>
        </w:rPr>
      </w:pPr>
    </w:p>
    <w:p w14:paraId="4639EEE8" w14:textId="77777777" w:rsidR="00F41812" w:rsidRDefault="00F41812" w:rsidP="00065623">
      <w:pPr>
        <w:rPr>
          <w:szCs w:val="24"/>
        </w:rPr>
      </w:pPr>
    </w:p>
    <w:p w14:paraId="378F25A8" w14:textId="77777777"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14:paraId="09A45CAD" w14:textId="77777777" w:rsidR="003D7F29" w:rsidRPr="00074392" w:rsidRDefault="003D7F29" w:rsidP="00074392">
      <w:pPr>
        <w:tabs>
          <w:tab w:val="left" w:pos="720"/>
          <w:tab w:val="left" w:pos="1140"/>
        </w:tabs>
        <w:rPr>
          <w:bCs/>
          <w:szCs w:val="24"/>
        </w:rPr>
      </w:pPr>
    </w:p>
    <w:p w14:paraId="018406A2" w14:textId="77777777" w:rsidR="00F9695B" w:rsidRPr="008B63C2" w:rsidRDefault="001160A7" w:rsidP="00F9695B">
      <w:r>
        <w:t>An application</w:t>
      </w:r>
      <w:r w:rsidRPr="008B63C2">
        <w:t xml:space="preserve"> requesting new MBS listing of TAVI for use in patients who are symptomatic with severe aortic stenosis and who are determined to be at high risk for surgical aortic valve replacement or non-operable was received from Edwards </w:t>
      </w:r>
      <w:proofErr w:type="spellStart"/>
      <w:r w:rsidRPr="008B63C2">
        <w:t>Life</w:t>
      </w:r>
      <w:r>
        <w:t>S</w:t>
      </w:r>
      <w:r w:rsidRPr="008B63C2">
        <w:t>ciences</w:t>
      </w:r>
      <w:proofErr w:type="spellEnd"/>
      <w:r w:rsidRPr="008B63C2">
        <w:t xml:space="preserve"> Pty Ltd by the Department of Health in </w:t>
      </w:r>
      <w:r>
        <w:t>May 2013.</w:t>
      </w:r>
    </w:p>
    <w:p w14:paraId="17A1115B" w14:textId="77777777" w:rsidR="00F9695B" w:rsidRPr="008B63C2" w:rsidRDefault="00F9695B" w:rsidP="00F9695B"/>
    <w:p w14:paraId="19238D47" w14:textId="77777777" w:rsidR="00E977EE" w:rsidRDefault="00E977EE" w:rsidP="00E977EE">
      <w:pPr>
        <w:pStyle w:val="Heading1"/>
        <w:numPr>
          <w:ilvl w:val="0"/>
          <w:numId w:val="23"/>
        </w:numPr>
        <w:ind w:hanging="720"/>
      </w:pPr>
      <w:r w:rsidRPr="008D5885">
        <w:t>MSAC’s advice to the Minister</w:t>
      </w:r>
    </w:p>
    <w:p w14:paraId="03EF9FA2" w14:textId="77777777" w:rsidR="008C4EFA" w:rsidRDefault="008C4EFA" w:rsidP="008C4EFA"/>
    <w:p w14:paraId="1ACBBE3B" w14:textId="385E7E22" w:rsidR="0082448C" w:rsidRDefault="008C4EFA" w:rsidP="0082448C">
      <w:r>
        <w:t xml:space="preserve">After considering the available evidence presented in relation to safety, clinical effectiveness and cost-effectiveness of </w:t>
      </w:r>
      <w:r w:rsidR="0082448C">
        <w:t>transcatheter aortic valve im</w:t>
      </w:r>
      <w:r>
        <w:t xml:space="preserve">plantation (TAVI) via transfemoral or transapical delivery for patients with symptomatic severe aortic stenosis who are determined to be at high risk for surgical aortic valve replacement (SAVR) or </w:t>
      </w:r>
      <w:r w:rsidR="0082448C">
        <w:t xml:space="preserve">who </w:t>
      </w:r>
      <w:r>
        <w:t>are inoperable</w:t>
      </w:r>
      <w:r w:rsidR="0082448C">
        <w:t xml:space="preserve">, </w:t>
      </w:r>
      <w:r w:rsidR="0082448C" w:rsidRPr="006E369E">
        <w:t xml:space="preserve">MSAC </w:t>
      </w:r>
      <w:r w:rsidR="0082448C">
        <w:t xml:space="preserve">deferred the application to allow the applicant to re-present its economic model. The updated economic model would need to address the concerns raised by </w:t>
      </w:r>
      <w:r w:rsidR="00195715">
        <w:t xml:space="preserve">the critique and </w:t>
      </w:r>
      <w:r w:rsidR="0082448C">
        <w:t>ESC, and would also need particular emphasis on the following:</w:t>
      </w:r>
    </w:p>
    <w:p w14:paraId="154D8FA3" w14:textId="77777777" w:rsidR="0082448C" w:rsidRPr="006B35BA" w:rsidRDefault="0082448C" w:rsidP="0082448C">
      <w:pPr>
        <w:widowControl w:val="0"/>
        <w:numPr>
          <w:ilvl w:val="0"/>
          <w:numId w:val="36"/>
        </w:numPr>
        <w:ind w:left="374"/>
      </w:pPr>
      <w:r>
        <w:t>i</w:t>
      </w:r>
      <w:r w:rsidRPr="006B35BA">
        <w:t xml:space="preserve">ncorporate </w:t>
      </w:r>
      <w:r>
        <w:t xml:space="preserve">the recently published </w:t>
      </w:r>
      <w:r w:rsidRPr="006B35BA">
        <w:t xml:space="preserve">5-year </w:t>
      </w:r>
      <w:r w:rsidR="0051452B">
        <w:t xml:space="preserve">PARTNER </w:t>
      </w:r>
      <w:r>
        <w:t xml:space="preserve">trial </w:t>
      </w:r>
      <w:r w:rsidRPr="006B35BA">
        <w:t>data</w:t>
      </w:r>
      <w:r>
        <w:t>;</w:t>
      </w:r>
    </w:p>
    <w:p w14:paraId="6F95E404" w14:textId="1C19B113" w:rsidR="001512DB" w:rsidRDefault="0082448C" w:rsidP="001512DB">
      <w:pPr>
        <w:widowControl w:val="0"/>
        <w:numPr>
          <w:ilvl w:val="0"/>
          <w:numId w:val="36"/>
        </w:numPr>
        <w:ind w:left="374"/>
      </w:pPr>
      <w:r>
        <w:t>i</w:t>
      </w:r>
      <w:r w:rsidRPr="006B35BA">
        <w:t xml:space="preserve">ncorporate rehospitalisation </w:t>
      </w:r>
      <w:r>
        <w:t xml:space="preserve">appropriately </w:t>
      </w:r>
      <w:r w:rsidRPr="006B35BA">
        <w:t xml:space="preserve">in the </w:t>
      </w:r>
      <w:r>
        <w:t xml:space="preserve">estimate of </w:t>
      </w:r>
      <w:r w:rsidRPr="006B35BA">
        <w:t>costs</w:t>
      </w:r>
      <w:r>
        <w:t xml:space="preserve"> </w:t>
      </w:r>
      <w:r w:rsidR="001512DB">
        <w:t>in the economic model</w:t>
      </w:r>
      <w:r>
        <w:t>;</w:t>
      </w:r>
    </w:p>
    <w:p w14:paraId="5FD5C633" w14:textId="20AAEDC3" w:rsidR="001512DB" w:rsidRPr="006B35BA" w:rsidRDefault="001512DB" w:rsidP="001512DB">
      <w:pPr>
        <w:widowControl w:val="0"/>
        <w:numPr>
          <w:ilvl w:val="0"/>
          <w:numId w:val="36"/>
        </w:numPr>
        <w:ind w:left="374"/>
      </w:pPr>
      <w:r>
        <w:t>decrease the initial hospitalisation cost difference (compared with SAVR) in the economic model to reflect the current length of stays for TAVI and SAVR</w:t>
      </w:r>
      <w:r w:rsidR="006E5C6B">
        <w:t>;</w:t>
      </w:r>
    </w:p>
    <w:p w14:paraId="2BE150AD" w14:textId="3B30AC73" w:rsidR="0082448C" w:rsidRPr="006B35BA" w:rsidRDefault="0082448C" w:rsidP="0082448C">
      <w:pPr>
        <w:widowControl w:val="0"/>
        <w:numPr>
          <w:ilvl w:val="0"/>
          <w:numId w:val="36"/>
        </w:numPr>
        <w:ind w:left="374"/>
      </w:pPr>
      <w:r>
        <w:t>provide stronger j</w:t>
      </w:r>
      <w:r w:rsidRPr="006B35BA">
        <w:t>ustif</w:t>
      </w:r>
      <w:r>
        <w:t>ication for</w:t>
      </w:r>
      <w:r w:rsidRPr="006B35BA">
        <w:t xml:space="preserve"> assumptions </w:t>
      </w:r>
      <w:r>
        <w:t xml:space="preserve">relating to </w:t>
      </w:r>
      <w:r w:rsidRPr="006B35BA">
        <w:t>utilit</w:t>
      </w:r>
      <w:r>
        <w:t>ies;</w:t>
      </w:r>
    </w:p>
    <w:p w14:paraId="7DE0C4B3" w14:textId="77777777" w:rsidR="0082448C" w:rsidRDefault="0082448C" w:rsidP="0082448C">
      <w:pPr>
        <w:widowControl w:val="0"/>
        <w:numPr>
          <w:ilvl w:val="0"/>
          <w:numId w:val="36"/>
        </w:numPr>
        <w:ind w:left="374"/>
      </w:pPr>
      <w:r>
        <w:t>p</w:t>
      </w:r>
      <w:r w:rsidRPr="00F444BD">
        <w:t xml:space="preserve">erform </w:t>
      </w:r>
      <w:r>
        <w:t>multivariate sensitivity analyse</w:t>
      </w:r>
      <w:r w:rsidRPr="00F444BD">
        <w:t>s</w:t>
      </w:r>
      <w:r>
        <w:t xml:space="preserve"> as well as univariate sensitivity analyses</w:t>
      </w:r>
      <w:r w:rsidR="00F740F5">
        <w:t>;</w:t>
      </w:r>
    </w:p>
    <w:p w14:paraId="32E70EA6" w14:textId="77777777" w:rsidR="00F740F5" w:rsidRDefault="0082448C" w:rsidP="0082448C">
      <w:pPr>
        <w:widowControl w:val="0"/>
        <w:numPr>
          <w:ilvl w:val="0"/>
          <w:numId w:val="36"/>
        </w:numPr>
        <w:ind w:left="374"/>
      </w:pPr>
      <w:r>
        <w:t xml:space="preserve">consider using </w:t>
      </w:r>
      <w:r w:rsidRPr="006B35BA">
        <w:t xml:space="preserve">the </w:t>
      </w:r>
      <w:r w:rsidR="000052B4">
        <w:t xml:space="preserve">most recently updated </w:t>
      </w:r>
      <w:r w:rsidRPr="006B35BA">
        <w:t xml:space="preserve">data from the Medtronic </w:t>
      </w:r>
      <w:proofErr w:type="spellStart"/>
      <w:r w:rsidRPr="006B35BA">
        <w:t>CoreValve</w:t>
      </w:r>
      <w:proofErr w:type="spellEnd"/>
      <w:r w:rsidRPr="006B35BA">
        <w:t xml:space="preserve"> trial </w:t>
      </w:r>
      <w:r>
        <w:t>to also inform the</w:t>
      </w:r>
      <w:r w:rsidRPr="006B35BA">
        <w:t xml:space="preserve"> economic evaluation</w:t>
      </w:r>
      <w:r>
        <w:t>, at least in a sensitivity analysis</w:t>
      </w:r>
      <w:r w:rsidR="00F740F5">
        <w:t>; and</w:t>
      </w:r>
    </w:p>
    <w:p w14:paraId="6529C773" w14:textId="77777777" w:rsidR="0082448C" w:rsidRDefault="00F740F5" w:rsidP="0082448C">
      <w:pPr>
        <w:widowControl w:val="0"/>
        <w:numPr>
          <w:ilvl w:val="0"/>
          <w:numId w:val="36"/>
        </w:numPr>
        <w:ind w:left="374"/>
      </w:pPr>
      <w:proofErr w:type="gramStart"/>
      <w:r>
        <w:t>the</w:t>
      </w:r>
      <w:proofErr w:type="gramEnd"/>
      <w:r>
        <w:t xml:space="preserve"> economic model should examine transfemoral </w:t>
      </w:r>
      <w:r w:rsidR="002371F6">
        <w:t>delivery</w:t>
      </w:r>
      <w:r>
        <w:t xml:space="preserve"> only (not transapical) with a separate ICER comparing TAVI to only SAVR or only medical management</w:t>
      </w:r>
      <w:r w:rsidR="0082448C">
        <w:t>.</w:t>
      </w:r>
    </w:p>
    <w:p w14:paraId="0ED57C1E" w14:textId="77777777" w:rsidR="0082448C" w:rsidRDefault="0082448C" w:rsidP="0082448C">
      <w:pPr>
        <w:rPr>
          <w:szCs w:val="24"/>
        </w:rPr>
      </w:pPr>
    </w:p>
    <w:p w14:paraId="2F074F9C" w14:textId="77777777" w:rsidR="0082448C" w:rsidRDefault="0082448C" w:rsidP="0082448C">
      <w:r w:rsidRPr="006E369E">
        <w:lastRenderedPageBreak/>
        <w:t xml:space="preserve">MSAC considered that </w:t>
      </w:r>
      <w:r>
        <w:t xml:space="preserve">the updated economic model </w:t>
      </w:r>
      <w:r w:rsidRPr="007B7BEA">
        <w:rPr>
          <w:szCs w:val="24"/>
        </w:rPr>
        <w:t>should be made via ESC</w:t>
      </w:r>
      <w:r w:rsidR="00F740F5">
        <w:rPr>
          <w:szCs w:val="24"/>
        </w:rPr>
        <w:t>,</w:t>
      </w:r>
      <w:r w:rsidR="00F740F5" w:rsidRPr="007B7BEA">
        <w:rPr>
          <w:szCs w:val="24"/>
        </w:rPr>
        <w:t xml:space="preserve"> </w:t>
      </w:r>
      <w:r w:rsidR="00F740F5">
        <w:rPr>
          <w:szCs w:val="24"/>
        </w:rPr>
        <w:t>accompanied by a contracted critique of the resubmission</w:t>
      </w:r>
      <w:r w:rsidRPr="006E369E">
        <w:t>.</w:t>
      </w:r>
    </w:p>
    <w:p w14:paraId="4685DCCD" w14:textId="77777777" w:rsidR="008C4EFA" w:rsidRDefault="008C4EFA" w:rsidP="008C4EFA"/>
    <w:p w14:paraId="1874891B" w14:textId="77777777" w:rsidR="008C4EFA" w:rsidRDefault="008C4EFA" w:rsidP="008C4EFA">
      <w:pPr>
        <w:pStyle w:val="Heading1"/>
        <w:numPr>
          <w:ilvl w:val="0"/>
          <w:numId w:val="23"/>
        </w:numPr>
        <w:ind w:hanging="720"/>
      </w:pPr>
      <w:r w:rsidRPr="008D5885">
        <w:t>Summary of consideration and rationale for MSAC’s advice</w:t>
      </w:r>
      <w:r w:rsidRPr="00707064">
        <w:t xml:space="preserve"> </w:t>
      </w:r>
    </w:p>
    <w:p w14:paraId="49BC821C" w14:textId="77777777" w:rsidR="008C4EFA" w:rsidRDefault="008C4EFA" w:rsidP="008C4EFA">
      <w:pPr>
        <w:rPr>
          <w:szCs w:val="24"/>
        </w:rPr>
      </w:pPr>
    </w:p>
    <w:p w14:paraId="5FD859F1" w14:textId="79BCBD77" w:rsidR="008C4EFA" w:rsidRDefault="008C4EFA" w:rsidP="008C4EFA">
      <w:r>
        <w:t xml:space="preserve">MSAC </w:t>
      </w:r>
      <w:r w:rsidR="00D36F93">
        <w:t xml:space="preserve">discussed the </w:t>
      </w:r>
      <w:r>
        <w:t>propose</w:t>
      </w:r>
      <w:r w:rsidR="00D36F93">
        <w:t>d</w:t>
      </w:r>
      <w:r>
        <w:t xml:space="preserve"> new item descriptor to </w:t>
      </w:r>
      <w:r w:rsidR="00D36F93">
        <w:t xml:space="preserve">define what it </w:t>
      </w:r>
      <w:r w:rsidR="002B3546">
        <w:t xml:space="preserve">would </w:t>
      </w:r>
      <w:r w:rsidR="00D36F93">
        <w:t xml:space="preserve">consider appropriate </w:t>
      </w:r>
      <w:r w:rsidR="002B3546">
        <w:t>as part of</w:t>
      </w:r>
      <w:r w:rsidR="00D36F93">
        <w:t xml:space="preserve"> any subsequent advice for </w:t>
      </w:r>
      <w:r>
        <w:t>MBS funding</w:t>
      </w:r>
      <w:r w:rsidR="00D36F93">
        <w:t xml:space="preserve">. The </w:t>
      </w:r>
      <w:r w:rsidR="00454656">
        <w:t>C</w:t>
      </w:r>
      <w:r w:rsidR="00D36F93">
        <w:t xml:space="preserve">ommittee </w:t>
      </w:r>
      <w:r w:rsidR="00F56F93">
        <w:t xml:space="preserve">proposed to </w:t>
      </w:r>
      <w:r w:rsidR="00C16314">
        <w:t xml:space="preserve">define </w:t>
      </w:r>
      <w:r w:rsidR="00F56F93">
        <w:t xml:space="preserve">more tightly symptomatic severe aortic stenosis as </w:t>
      </w:r>
      <w:r w:rsidR="00F56F93" w:rsidRPr="00D36F93">
        <w:t>a mean gradient of &gt; 40 mmHg and an aortic valve area of &lt; 0.8 cm</w:t>
      </w:r>
      <w:r w:rsidR="00F56F93" w:rsidRPr="00D36F93">
        <w:rPr>
          <w:vertAlign w:val="superscript"/>
        </w:rPr>
        <w:t>2</w:t>
      </w:r>
      <w:r w:rsidR="00F56F93">
        <w:t xml:space="preserve">, in order to be consistent with the TGA approval of current TAVI devices, </w:t>
      </w:r>
      <w:r w:rsidR="002B3546">
        <w:t xml:space="preserve">the </w:t>
      </w:r>
      <w:r w:rsidR="00F56F93">
        <w:t xml:space="preserve">trial eligibility criteria and current </w:t>
      </w:r>
      <w:r w:rsidR="002B3546">
        <w:t xml:space="preserve">clinical </w:t>
      </w:r>
      <w:r w:rsidR="00F56F93">
        <w:t>practice guidelines.</w:t>
      </w:r>
      <w:r w:rsidR="00F56F93" w:rsidRPr="00F56F93">
        <w:t xml:space="preserve"> </w:t>
      </w:r>
      <w:r w:rsidR="00F56F93">
        <w:t xml:space="preserve">MSAC also </w:t>
      </w:r>
      <w:r w:rsidR="00981706">
        <w:t xml:space="preserve">considered whether </w:t>
      </w:r>
      <w:r w:rsidR="00D36F93">
        <w:t>to restrict eligibility</w:t>
      </w:r>
      <w:r>
        <w:t xml:space="preserve"> to TAVI via transfemoral </w:t>
      </w:r>
      <w:r w:rsidR="002371F6">
        <w:t xml:space="preserve">delivery </w:t>
      </w:r>
      <w:r>
        <w:t xml:space="preserve">due to </w:t>
      </w:r>
      <w:r w:rsidR="009E625C">
        <w:t xml:space="preserve">the </w:t>
      </w:r>
      <w:r w:rsidR="002B3546">
        <w:t xml:space="preserve">weak evidentiary support </w:t>
      </w:r>
      <w:r>
        <w:t xml:space="preserve">for the safety and effectiveness of </w:t>
      </w:r>
      <w:r w:rsidR="002371F6">
        <w:t xml:space="preserve">TAVI via </w:t>
      </w:r>
      <w:r>
        <w:t xml:space="preserve">transapical </w:t>
      </w:r>
      <w:r w:rsidR="002371F6">
        <w:t xml:space="preserve">delivery or </w:t>
      </w:r>
      <w:r w:rsidR="00D36F93">
        <w:t>other minimally invasive surgical approaches</w:t>
      </w:r>
      <w:r>
        <w:t xml:space="preserve">. </w:t>
      </w:r>
      <w:r w:rsidR="00770121">
        <w:t xml:space="preserve">However, MSAC </w:t>
      </w:r>
      <w:r w:rsidR="00981706">
        <w:t xml:space="preserve">concluded </w:t>
      </w:r>
      <w:r w:rsidR="00770121">
        <w:t xml:space="preserve">that this </w:t>
      </w:r>
      <w:r w:rsidR="00EE3BFE">
        <w:t xml:space="preserve">would </w:t>
      </w:r>
      <w:r w:rsidR="00770121">
        <w:t xml:space="preserve">be too restrictive and </w:t>
      </w:r>
      <w:r w:rsidR="00EE3BFE">
        <w:t xml:space="preserve">proposed that any </w:t>
      </w:r>
      <w:r w:rsidR="00770121">
        <w:t xml:space="preserve">item descriptor </w:t>
      </w:r>
      <w:r w:rsidR="00C16314">
        <w:t>sh</w:t>
      </w:r>
      <w:r w:rsidR="00EE3BFE">
        <w:t xml:space="preserve">ould </w:t>
      </w:r>
      <w:r w:rsidR="00770121">
        <w:t xml:space="preserve">specify transfemoral delivery of TAVI unless transfemoral </w:t>
      </w:r>
      <w:r w:rsidR="002371F6">
        <w:t>delivery</w:t>
      </w:r>
      <w:r w:rsidR="00770121">
        <w:t xml:space="preserve"> is contraindicated or not available</w:t>
      </w:r>
      <w:r w:rsidR="009F08CB">
        <w:t xml:space="preserve">, and that a note should explain the reasons for preferring </w:t>
      </w:r>
      <w:r w:rsidR="002371F6">
        <w:t>transfemoral delivery</w:t>
      </w:r>
      <w:r w:rsidR="00770121">
        <w:t>.</w:t>
      </w:r>
    </w:p>
    <w:p w14:paraId="09FF505D" w14:textId="77777777" w:rsidR="008C4EFA" w:rsidRDefault="008C4EFA" w:rsidP="008C4EFA"/>
    <w:p w14:paraId="22BAC326" w14:textId="032E6F5B" w:rsidR="00D36F93" w:rsidRDefault="00B43F62" w:rsidP="008C4EFA">
      <w:r>
        <w:t xml:space="preserve">MSAC preferred </w:t>
      </w:r>
      <w:r w:rsidR="00E80E7F">
        <w:t xml:space="preserve">not to specify any particular TAVI device, </w:t>
      </w:r>
      <w:r>
        <w:t xml:space="preserve">for example by brand name or by specifying any </w:t>
      </w:r>
      <w:r w:rsidR="002B3546">
        <w:t>particular</w:t>
      </w:r>
      <w:r>
        <w:t xml:space="preserve"> device characteristic</w:t>
      </w:r>
      <w:r w:rsidR="00C16314">
        <w:t>,</w:t>
      </w:r>
      <w:r>
        <w:t xml:space="preserve"> such as a balloon-expandable device (to signal a preference for the applicant’s S</w:t>
      </w:r>
      <w:r w:rsidR="00013785">
        <w:t>APIEN</w:t>
      </w:r>
      <w:r>
        <w:t xml:space="preserve"> device) or a self-expandable device (to signal a preference for Medtronic’s </w:t>
      </w:r>
      <w:proofErr w:type="spellStart"/>
      <w:r>
        <w:t>CoreValve</w:t>
      </w:r>
      <w:proofErr w:type="spellEnd"/>
      <w:r>
        <w:t xml:space="preserve"> device). </w:t>
      </w:r>
      <w:r w:rsidR="002B3546">
        <w:t xml:space="preserve">As noted below, the existing evidence does not justify discriminating against any particular device on clinical grounds, and there was no reason to inhibit price competition across device alternatives. In </w:t>
      </w:r>
      <w:r w:rsidR="00C16314">
        <w:t>addition, MSAC</w:t>
      </w:r>
      <w:r w:rsidR="00F56F93">
        <w:t xml:space="preserve"> </w:t>
      </w:r>
      <w:r w:rsidR="00D36F93">
        <w:t xml:space="preserve">considered </w:t>
      </w:r>
      <w:r w:rsidR="00C16314">
        <w:t>whether</w:t>
      </w:r>
      <w:r w:rsidR="00C16314" w:rsidRPr="00D36F93">
        <w:t xml:space="preserve"> </w:t>
      </w:r>
      <w:r w:rsidR="00D36F93" w:rsidRPr="00D36F93">
        <w:t>the delivery of TAVI w</w:t>
      </w:r>
      <w:r w:rsidR="00D36F93">
        <w:t>ould</w:t>
      </w:r>
      <w:r w:rsidR="00D36F93" w:rsidRPr="00D36F93">
        <w:t xml:space="preserve"> require a specialised environment and </w:t>
      </w:r>
      <w:r w:rsidR="00770121">
        <w:t xml:space="preserve">so </w:t>
      </w:r>
      <w:r w:rsidR="00D36F93" w:rsidRPr="00D36F93">
        <w:t>should only be adopted in centres of excellence</w:t>
      </w:r>
      <w:r w:rsidR="00770121">
        <w:t>,</w:t>
      </w:r>
      <w:r w:rsidR="00D36F93" w:rsidRPr="00D36F93">
        <w:t xml:space="preserve"> with other settings </w:t>
      </w:r>
      <w:r w:rsidR="00454656">
        <w:t xml:space="preserve">required to </w:t>
      </w:r>
      <w:r w:rsidR="00770121">
        <w:t xml:space="preserve">be successful in </w:t>
      </w:r>
      <w:r w:rsidR="00D36F93" w:rsidRPr="00D36F93">
        <w:t>applying for centre of excellence status</w:t>
      </w:r>
      <w:r w:rsidR="00770121">
        <w:t xml:space="preserve"> before delivering the service</w:t>
      </w:r>
      <w:r w:rsidR="00C16314">
        <w:t>.</w:t>
      </w:r>
      <w:r w:rsidR="00EE3BFE">
        <w:t xml:space="preserve"> </w:t>
      </w:r>
      <w:r w:rsidR="00C16314">
        <w:t>T</w:t>
      </w:r>
      <w:r w:rsidR="00EE3BFE">
        <w:t>he Committee</w:t>
      </w:r>
      <w:r w:rsidR="00F56F93">
        <w:t xml:space="preserve"> </w:t>
      </w:r>
      <w:r w:rsidR="00C16314">
        <w:t>however</w:t>
      </w:r>
      <w:r w:rsidR="006E5C6B">
        <w:t>,</w:t>
      </w:r>
      <w:r w:rsidR="00C16314">
        <w:t xml:space="preserve"> concluded </w:t>
      </w:r>
      <w:r w:rsidR="00F56F93">
        <w:t xml:space="preserve">that it would not be necessary </w:t>
      </w:r>
      <w:r w:rsidR="00EE3BFE">
        <w:t xml:space="preserve">for the item descriptor </w:t>
      </w:r>
      <w:r w:rsidR="00F56F93">
        <w:t xml:space="preserve">to </w:t>
      </w:r>
      <w:r w:rsidR="00EE3BFE">
        <w:t>specify the type of institution in which the TAVI procedure is undertaken</w:t>
      </w:r>
      <w:r w:rsidR="00C16314">
        <w:t xml:space="preserve"> due to </w:t>
      </w:r>
      <w:r w:rsidR="00D1210E">
        <w:t>complexity of the procedure only lending itself to being provided in certain hospitals</w:t>
      </w:r>
      <w:r w:rsidR="00C16314">
        <w:t xml:space="preserve"> being available at only those locations</w:t>
      </w:r>
      <w:r w:rsidR="00EE3BFE">
        <w:t>.</w:t>
      </w:r>
    </w:p>
    <w:p w14:paraId="71DD4798" w14:textId="77777777" w:rsidR="008C4EFA" w:rsidRDefault="008C4EFA" w:rsidP="008C4EFA"/>
    <w:p w14:paraId="5110744D" w14:textId="77777777" w:rsidR="00F740F5" w:rsidRDefault="00F740F5" w:rsidP="008C4EFA">
      <w:r>
        <w:t xml:space="preserve">MSAC </w:t>
      </w:r>
      <w:r w:rsidR="00DF3104">
        <w:t xml:space="preserve">thus </w:t>
      </w:r>
      <w:r>
        <w:t xml:space="preserve">foreshadowed consideration of the following </w:t>
      </w:r>
      <w:r w:rsidR="00C16314">
        <w:t xml:space="preserve">details being included in the </w:t>
      </w:r>
      <w:r w:rsidR="00454656">
        <w:t xml:space="preserve">MBS </w:t>
      </w:r>
      <w:r>
        <w:t>item descriptor:</w:t>
      </w:r>
    </w:p>
    <w:p w14:paraId="7F4A7EF7" w14:textId="77777777" w:rsidR="00F740F5" w:rsidRPr="008B63C2" w:rsidRDefault="00F740F5" w:rsidP="001F516C">
      <w:pPr>
        <w:ind w:left="284"/>
        <w:rPr>
          <w:snapToGrid w:val="0"/>
          <w:sz w:val="20"/>
        </w:rPr>
      </w:pPr>
      <w:r w:rsidRPr="008B63C2">
        <w:rPr>
          <w:snapToGrid w:val="0"/>
          <w:sz w:val="20"/>
        </w:rPr>
        <w:t>Transcatheter aortic valve replacement</w:t>
      </w:r>
      <w:r w:rsidR="00EE3BFE">
        <w:rPr>
          <w:snapToGrid w:val="0"/>
          <w:sz w:val="20"/>
        </w:rPr>
        <w:t>,</w:t>
      </w:r>
      <w:r w:rsidRPr="008B63C2">
        <w:rPr>
          <w:snapToGrid w:val="0"/>
          <w:sz w:val="20"/>
        </w:rPr>
        <w:t xml:space="preserve"> </w:t>
      </w:r>
      <w:r w:rsidR="001F516C">
        <w:rPr>
          <w:snapToGrid w:val="0"/>
          <w:sz w:val="20"/>
        </w:rPr>
        <w:t xml:space="preserve">via transfemoral </w:t>
      </w:r>
      <w:r w:rsidR="002371F6">
        <w:rPr>
          <w:snapToGrid w:val="0"/>
          <w:sz w:val="20"/>
        </w:rPr>
        <w:t>delivery</w:t>
      </w:r>
      <w:r w:rsidR="001F516C">
        <w:rPr>
          <w:snapToGrid w:val="0"/>
          <w:sz w:val="20"/>
        </w:rPr>
        <w:t xml:space="preserve"> </w:t>
      </w:r>
      <w:r w:rsidR="00EE3BFE" w:rsidRPr="00EE3BFE">
        <w:rPr>
          <w:snapToGrid w:val="0"/>
          <w:sz w:val="20"/>
        </w:rPr>
        <w:t xml:space="preserve">unless transfemoral </w:t>
      </w:r>
      <w:r w:rsidR="002371F6">
        <w:rPr>
          <w:snapToGrid w:val="0"/>
          <w:sz w:val="20"/>
        </w:rPr>
        <w:t>delivery</w:t>
      </w:r>
      <w:r w:rsidR="00EE3BFE" w:rsidRPr="00EE3BFE">
        <w:rPr>
          <w:snapToGrid w:val="0"/>
          <w:sz w:val="20"/>
        </w:rPr>
        <w:t xml:space="preserve"> is contraindicated or not available</w:t>
      </w:r>
      <w:r w:rsidR="00EE3BFE">
        <w:rPr>
          <w:snapToGrid w:val="0"/>
          <w:sz w:val="20"/>
        </w:rPr>
        <w:t>,</w:t>
      </w:r>
      <w:r w:rsidR="00EE3BFE" w:rsidRPr="00EE3BFE">
        <w:rPr>
          <w:snapToGrid w:val="0"/>
          <w:sz w:val="20"/>
        </w:rPr>
        <w:t xml:space="preserve"> </w:t>
      </w:r>
      <w:r w:rsidRPr="008B63C2">
        <w:rPr>
          <w:snapToGrid w:val="0"/>
          <w:sz w:val="20"/>
        </w:rPr>
        <w:t xml:space="preserve">for the treatment of symptomatic severe aortic stenosis in a suitable patient formally assessed by a heart </w:t>
      </w:r>
      <w:r w:rsidR="001F516C">
        <w:rPr>
          <w:snapToGrid w:val="0"/>
          <w:sz w:val="20"/>
        </w:rPr>
        <w:t xml:space="preserve">multidisciplinary team </w:t>
      </w:r>
      <w:r w:rsidRPr="008B63C2">
        <w:rPr>
          <w:snapToGrid w:val="0"/>
          <w:sz w:val="20"/>
        </w:rPr>
        <w:t>to have an unacceptably high risk for surgical aortic valve replacement.</w:t>
      </w:r>
      <w:r w:rsidR="00DF3104">
        <w:rPr>
          <w:snapToGrid w:val="0"/>
          <w:sz w:val="20"/>
        </w:rPr>
        <w:t xml:space="preserve"> </w:t>
      </w:r>
      <w:proofErr w:type="gramStart"/>
      <w:r>
        <w:rPr>
          <w:snapToGrid w:val="0"/>
          <w:sz w:val="20"/>
        </w:rPr>
        <w:t>(</w:t>
      </w:r>
      <w:proofErr w:type="spellStart"/>
      <w:r>
        <w:rPr>
          <w:snapToGrid w:val="0"/>
          <w:sz w:val="20"/>
        </w:rPr>
        <w:t>Anaes</w:t>
      </w:r>
      <w:proofErr w:type="spellEnd"/>
      <w:r>
        <w:rPr>
          <w:snapToGrid w:val="0"/>
          <w:sz w:val="20"/>
        </w:rPr>
        <w:t>.)</w:t>
      </w:r>
      <w:proofErr w:type="gramEnd"/>
      <w:r>
        <w:rPr>
          <w:snapToGrid w:val="0"/>
          <w:sz w:val="20"/>
        </w:rPr>
        <w:t xml:space="preserve"> (Assist.)</w:t>
      </w:r>
    </w:p>
    <w:p w14:paraId="67F5D77E" w14:textId="77777777" w:rsidR="00F740F5" w:rsidRPr="008B63C2" w:rsidRDefault="00F740F5" w:rsidP="001F516C">
      <w:pPr>
        <w:ind w:left="284"/>
        <w:rPr>
          <w:snapToGrid w:val="0"/>
          <w:sz w:val="20"/>
        </w:rPr>
      </w:pPr>
    </w:p>
    <w:p w14:paraId="5D58F016" w14:textId="77777777" w:rsidR="00F740F5" w:rsidRPr="008B63C2" w:rsidRDefault="00F740F5" w:rsidP="001F516C">
      <w:pPr>
        <w:ind w:left="284"/>
        <w:rPr>
          <w:snapToGrid w:val="0"/>
          <w:sz w:val="20"/>
        </w:rPr>
      </w:pPr>
      <w:r w:rsidRPr="008B63C2">
        <w:rPr>
          <w:snapToGrid w:val="0"/>
          <w:sz w:val="20"/>
        </w:rPr>
        <w:t xml:space="preserve">Explanatory notes </w:t>
      </w:r>
    </w:p>
    <w:p w14:paraId="37FF6ABD" w14:textId="77EAC3CD" w:rsidR="001F516C" w:rsidRDefault="001F516C" w:rsidP="001F516C">
      <w:pPr>
        <w:ind w:left="284"/>
        <w:rPr>
          <w:snapToGrid w:val="0"/>
          <w:sz w:val="20"/>
        </w:rPr>
      </w:pPr>
      <w:r>
        <w:rPr>
          <w:snapToGrid w:val="0"/>
          <w:sz w:val="20"/>
        </w:rPr>
        <w:t>S</w:t>
      </w:r>
      <w:r w:rsidRPr="001F516C">
        <w:rPr>
          <w:snapToGrid w:val="0"/>
          <w:sz w:val="20"/>
        </w:rPr>
        <w:t xml:space="preserve">ymptomatic severe aortic stenosis as </w:t>
      </w:r>
      <w:r>
        <w:rPr>
          <w:snapToGrid w:val="0"/>
          <w:sz w:val="20"/>
        </w:rPr>
        <w:t xml:space="preserve">defined as </w:t>
      </w:r>
      <w:r w:rsidRPr="001F516C">
        <w:rPr>
          <w:snapToGrid w:val="0"/>
          <w:sz w:val="20"/>
        </w:rPr>
        <w:t xml:space="preserve">an aortic valve area of </w:t>
      </w:r>
      <w:r>
        <w:rPr>
          <w:snapToGrid w:val="0"/>
          <w:sz w:val="20"/>
        </w:rPr>
        <w:t>less than</w:t>
      </w:r>
      <w:r w:rsidRPr="001F516C">
        <w:rPr>
          <w:snapToGrid w:val="0"/>
          <w:sz w:val="20"/>
        </w:rPr>
        <w:t xml:space="preserve"> 0.8</w:t>
      </w:r>
      <w:r>
        <w:rPr>
          <w:snapToGrid w:val="0"/>
          <w:sz w:val="20"/>
        </w:rPr>
        <w:t> </w:t>
      </w:r>
      <w:r w:rsidRPr="001F516C">
        <w:rPr>
          <w:snapToGrid w:val="0"/>
          <w:sz w:val="20"/>
        </w:rPr>
        <w:t>cm</w:t>
      </w:r>
      <w:r w:rsidRPr="001F516C">
        <w:rPr>
          <w:snapToGrid w:val="0"/>
          <w:sz w:val="20"/>
          <w:vertAlign w:val="superscript"/>
        </w:rPr>
        <w:t>2</w:t>
      </w:r>
      <w:r>
        <w:rPr>
          <w:snapToGrid w:val="0"/>
          <w:sz w:val="20"/>
        </w:rPr>
        <w:t xml:space="preserve"> and a mean </w:t>
      </w:r>
      <w:r w:rsidR="00792D3F">
        <w:rPr>
          <w:snapToGrid w:val="0"/>
          <w:sz w:val="20"/>
        </w:rPr>
        <w:t xml:space="preserve">transaortic </w:t>
      </w:r>
      <w:r>
        <w:rPr>
          <w:snapToGrid w:val="0"/>
          <w:sz w:val="20"/>
        </w:rPr>
        <w:t>gradient of greater than 40 mmHg.</w:t>
      </w:r>
    </w:p>
    <w:p w14:paraId="5CAE99F8" w14:textId="77777777" w:rsidR="002B3546" w:rsidRDefault="002B3546" w:rsidP="001F516C">
      <w:pPr>
        <w:ind w:left="284"/>
        <w:rPr>
          <w:snapToGrid w:val="0"/>
          <w:sz w:val="20"/>
        </w:rPr>
      </w:pPr>
    </w:p>
    <w:p w14:paraId="3155999C" w14:textId="77777777" w:rsidR="002B3546" w:rsidRDefault="002B3546" w:rsidP="001F516C">
      <w:pPr>
        <w:ind w:left="284"/>
        <w:rPr>
          <w:snapToGrid w:val="0"/>
          <w:sz w:val="20"/>
        </w:rPr>
      </w:pPr>
      <w:r w:rsidRPr="008B63C2">
        <w:rPr>
          <w:snapToGrid w:val="0"/>
          <w:sz w:val="20"/>
        </w:rPr>
        <w:t xml:space="preserve">In most cases, this item is claimable once per lifetime. In a small subset of patients where a repeat procedure is indicated; formal documentation of reassessment and consensus approval by the heart </w:t>
      </w:r>
      <w:r>
        <w:rPr>
          <w:snapToGrid w:val="0"/>
          <w:sz w:val="20"/>
        </w:rPr>
        <w:t xml:space="preserve">multidisciplinary </w:t>
      </w:r>
      <w:r w:rsidRPr="008B63C2">
        <w:rPr>
          <w:snapToGrid w:val="0"/>
          <w:sz w:val="20"/>
        </w:rPr>
        <w:t>team is required</w:t>
      </w:r>
      <w:r>
        <w:rPr>
          <w:snapToGrid w:val="0"/>
          <w:sz w:val="20"/>
        </w:rPr>
        <w:t>.</w:t>
      </w:r>
    </w:p>
    <w:p w14:paraId="3BF2B955" w14:textId="77777777" w:rsidR="002B3546" w:rsidRDefault="002B3546" w:rsidP="001F516C">
      <w:pPr>
        <w:ind w:left="284"/>
        <w:rPr>
          <w:snapToGrid w:val="0"/>
          <w:sz w:val="20"/>
        </w:rPr>
      </w:pPr>
    </w:p>
    <w:p w14:paraId="0AFFC219" w14:textId="43742F81" w:rsidR="001F516C" w:rsidRDefault="002B3546" w:rsidP="001F516C">
      <w:pPr>
        <w:ind w:left="284"/>
        <w:rPr>
          <w:snapToGrid w:val="0"/>
          <w:sz w:val="20"/>
        </w:rPr>
      </w:pPr>
      <w:r w:rsidRPr="002B3546">
        <w:rPr>
          <w:snapToGrid w:val="0"/>
          <w:sz w:val="20"/>
        </w:rPr>
        <w:t xml:space="preserve">Transfemoral delivery </w:t>
      </w:r>
      <w:r>
        <w:rPr>
          <w:snapToGrid w:val="0"/>
          <w:sz w:val="20"/>
        </w:rPr>
        <w:t xml:space="preserve">is preferred for TAVI </w:t>
      </w:r>
    </w:p>
    <w:p w14:paraId="5B4F2F6B" w14:textId="77777777" w:rsidR="006E5C6B" w:rsidRDefault="006E5C6B" w:rsidP="001F516C">
      <w:pPr>
        <w:ind w:left="284"/>
        <w:rPr>
          <w:snapToGrid w:val="0"/>
          <w:sz w:val="20"/>
        </w:rPr>
      </w:pPr>
    </w:p>
    <w:p w14:paraId="10C5E525" w14:textId="77777777" w:rsidR="00F740F5" w:rsidRPr="002B3546" w:rsidRDefault="00F740F5" w:rsidP="002B3546">
      <w:pPr>
        <w:ind w:left="284"/>
        <w:rPr>
          <w:snapToGrid w:val="0"/>
          <w:sz w:val="20"/>
        </w:rPr>
      </w:pPr>
      <w:r w:rsidRPr="008B63C2">
        <w:rPr>
          <w:snapToGrid w:val="0"/>
          <w:sz w:val="20"/>
        </w:rPr>
        <w:t xml:space="preserve">A </w:t>
      </w:r>
      <w:r w:rsidR="001F516C">
        <w:rPr>
          <w:snapToGrid w:val="0"/>
          <w:sz w:val="20"/>
        </w:rPr>
        <w:t xml:space="preserve">heart </w:t>
      </w:r>
      <w:r w:rsidRPr="008B63C2">
        <w:rPr>
          <w:snapToGrid w:val="0"/>
          <w:sz w:val="20"/>
        </w:rPr>
        <w:t xml:space="preserve">multidisciplinary </w:t>
      </w:r>
      <w:r>
        <w:rPr>
          <w:snapToGrid w:val="0"/>
          <w:sz w:val="20"/>
        </w:rPr>
        <w:t>team</w:t>
      </w:r>
      <w:r w:rsidRPr="008B63C2">
        <w:rPr>
          <w:snapToGrid w:val="0"/>
          <w:sz w:val="20"/>
        </w:rPr>
        <w:t xml:space="preserve"> is required to formally document approval regarding the patient’s suitability for treatment. The core personnel of th</w:t>
      </w:r>
      <w:r>
        <w:rPr>
          <w:snapToGrid w:val="0"/>
          <w:sz w:val="20"/>
        </w:rPr>
        <w:t xml:space="preserve">e heart team should include an </w:t>
      </w:r>
      <w:r w:rsidRPr="008B63C2">
        <w:rPr>
          <w:snapToGrid w:val="0"/>
          <w:sz w:val="20"/>
        </w:rPr>
        <w:t>interventional cardiologist, a cardiothoracic surgeon and a TAVI nurse / case manager. The multidisciplinary extended team could additionally include: a general cardiologist, a cardiac anaesthetist, an imaging cardiologist / radiologist, an intensive care physician, a geriatrician or general physici</w:t>
      </w:r>
      <w:r>
        <w:rPr>
          <w:snapToGrid w:val="0"/>
          <w:sz w:val="20"/>
        </w:rPr>
        <w:t>an and a vascular surgeon.</w:t>
      </w:r>
    </w:p>
    <w:p w14:paraId="12F4686D" w14:textId="77777777" w:rsidR="00F740F5" w:rsidRDefault="00F740F5" w:rsidP="008C4EFA"/>
    <w:p w14:paraId="4556E8FA" w14:textId="77777777" w:rsidR="00454656" w:rsidRDefault="00454656" w:rsidP="008C4EFA">
      <w:r>
        <w:lastRenderedPageBreak/>
        <w:t>MSAC noted the need for a corresponding separate MBS item for the proposed heart multidisciplinary team assessment</w:t>
      </w:r>
      <w:r w:rsidR="00CB317C">
        <w:t>, possibly modelled on current MBS items for case conferencing</w:t>
      </w:r>
      <w:r w:rsidR="008A12C8">
        <w:t xml:space="preserve"> such as MBS item 871 used for oncology case conferencing</w:t>
      </w:r>
      <w:r w:rsidR="00CB317C">
        <w:t>.</w:t>
      </w:r>
    </w:p>
    <w:p w14:paraId="32348E52" w14:textId="77777777" w:rsidR="00914FDD" w:rsidRDefault="00914FDD" w:rsidP="008C4EFA"/>
    <w:p w14:paraId="2544AEEA" w14:textId="77777777" w:rsidR="009670FC" w:rsidRDefault="009670FC" w:rsidP="009670FC">
      <w:r>
        <w:t>MSAC agreed that patient eligibility for TAVI via transfemoral delivery should be determined by evaluating symptoms such as chest pain, dyspnoea, syncope; using an echocardiogram to demonstrate severe aortic stenosis; assessing whether the patient is deemed high operative risk or inoperable; assessing whether the patient has suitable anatomy (aortic size and route); and assessing whether the patient would die within 12 months of the procedure and, if this is the case, the patient would not be suitable for the procedure.</w:t>
      </w:r>
    </w:p>
    <w:p w14:paraId="56F719A7" w14:textId="77777777" w:rsidR="009670FC" w:rsidRDefault="009670FC" w:rsidP="009670FC"/>
    <w:p w14:paraId="60A002EB" w14:textId="77777777" w:rsidR="0051452B" w:rsidRDefault="008C4EFA" w:rsidP="0051452B">
      <w:r>
        <w:t xml:space="preserve">MSAC accepted that there was an unmet clinical need for </w:t>
      </w:r>
      <w:r w:rsidR="00454656">
        <w:t>TAVI</w:t>
      </w:r>
      <w:r>
        <w:t xml:space="preserve">, particularly </w:t>
      </w:r>
      <w:r w:rsidR="00013785">
        <w:t>by</w:t>
      </w:r>
      <w:r>
        <w:t xml:space="preserve"> patients deemed to be at </w:t>
      </w:r>
      <w:r w:rsidR="00013785">
        <w:t xml:space="preserve">sufficiently </w:t>
      </w:r>
      <w:r>
        <w:t xml:space="preserve">high risk for surgical aortic valve replacement (SAVR) </w:t>
      </w:r>
      <w:r w:rsidR="001F516C">
        <w:t xml:space="preserve">that </w:t>
      </w:r>
      <w:r w:rsidR="00013785">
        <w:t xml:space="preserve">they </w:t>
      </w:r>
      <w:r w:rsidR="001F516C">
        <w:t xml:space="preserve">are inoperable. However, </w:t>
      </w:r>
      <w:r>
        <w:t xml:space="preserve">MSAC noted that the definition of patients </w:t>
      </w:r>
      <w:r w:rsidR="00013785">
        <w:t>who</w:t>
      </w:r>
      <w:r>
        <w:t xml:space="preserve"> are deemed to be inoper</w:t>
      </w:r>
      <w:r w:rsidR="00013785">
        <w:t xml:space="preserve">able </w:t>
      </w:r>
      <w:r w:rsidR="009670FC">
        <w:t>would need</w:t>
      </w:r>
      <w:r w:rsidR="00013785">
        <w:t xml:space="preserve"> to be made clear.</w:t>
      </w:r>
      <w:r w:rsidR="0051452B">
        <w:t xml:space="preserve"> MSAC requested that the inoperable group be more clearly defined by the applicant.</w:t>
      </w:r>
    </w:p>
    <w:p w14:paraId="759CD6BF" w14:textId="77777777" w:rsidR="0051452B" w:rsidRDefault="0051452B" w:rsidP="0051452B"/>
    <w:p w14:paraId="1CE75460" w14:textId="77777777" w:rsidR="009670FC" w:rsidRDefault="009670FC" w:rsidP="008C4EFA">
      <w:r>
        <w:t>MSAC agreed that there were two main comparators</w:t>
      </w:r>
      <w:r w:rsidR="00CE2BC5">
        <w:t xml:space="preserve"> for TAVI</w:t>
      </w:r>
      <w:r>
        <w:t>:</w:t>
      </w:r>
    </w:p>
    <w:p w14:paraId="719CAB6F" w14:textId="77777777" w:rsidR="00CE2BC5" w:rsidRDefault="00CE2BC5" w:rsidP="008C4EFA">
      <w:pPr>
        <w:widowControl w:val="0"/>
        <w:numPr>
          <w:ilvl w:val="0"/>
          <w:numId w:val="36"/>
        </w:numPr>
        <w:ind w:left="374"/>
      </w:pPr>
      <w:r>
        <w:t>a</w:t>
      </w:r>
      <w:r w:rsidR="009670FC">
        <w:t>s an alternative to SAVR in high operative-risk patients</w:t>
      </w:r>
    </w:p>
    <w:p w14:paraId="2269A2E2" w14:textId="77777777" w:rsidR="009670FC" w:rsidRDefault="00CE2BC5" w:rsidP="008C4EFA">
      <w:pPr>
        <w:widowControl w:val="0"/>
        <w:numPr>
          <w:ilvl w:val="0"/>
          <w:numId w:val="36"/>
        </w:numPr>
        <w:ind w:left="374"/>
      </w:pPr>
      <w:proofErr w:type="gramStart"/>
      <w:r>
        <w:t>a</w:t>
      </w:r>
      <w:r w:rsidR="009670FC">
        <w:t>s</w:t>
      </w:r>
      <w:proofErr w:type="gramEnd"/>
      <w:r w:rsidR="009670FC">
        <w:t xml:space="preserve"> an alternative to medical management</w:t>
      </w:r>
      <w:r>
        <w:t xml:space="preserve"> with or without balloon </w:t>
      </w:r>
      <w:proofErr w:type="spellStart"/>
      <w:r>
        <w:t>valvuloplasty</w:t>
      </w:r>
      <w:proofErr w:type="spellEnd"/>
      <w:r>
        <w:t xml:space="preserve"> in inoperable patients.</w:t>
      </w:r>
    </w:p>
    <w:p w14:paraId="499A7EC2" w14:textId="77777777" w:rsidR="009670FC" w:rsidRDefault="009670FC" w:rsidP="008C4EFA"/>
    <w:p w14:paraId="46FDBD54" w14:textId="084BBD13" w:rsidR="00DB146F" w:rsidRDefault="008C4EFA" w:rsidP="00DB146F">
      <w:r>
        <w:t xml:space="preserve">MSAC noted that data on safety and effectiveness of TAVI </w:t>
      </w:r>
      <w:r w:rsidR="00CE2BC5">
        <w:t xml:space="preserve">came mainly from two </w:t>
      </w:r>
      <w:r>
        <w:t>randomised controlled trial</w:t>
      </w:r>
      <w:r w:rsidR="00CE2BC5">
        <w:t>s</w:t>
      </w:r>
      <w:r>
        <w:t xml:space="preserve"> (PARTNER, Medtronic </w:t>
      </w:r>
      <w:proofErr w:type="spellStart"/>
      <w:r>
        <w:t>CoreValve</w:t>
      </w:r>
      <w:proofErr w:type="spellEnd"/>
      <w:r>
        <w:t>)</w:t>
      </w:r>
      <w:r w:rsidR="00D43CF7">
        <w:t>. Results from</w:t>
      </w:r>
      <w:r w:rsidR="00CE2BC5">
        <w:t xml:space="preserve"> observational registries </w:t>
      </w:r>
      <w:r w:rsidR="00D43CF7">
        <w:t>were also supplied, but these had limitations, including that patients were not necessarily at high risk</w:t>
      </w:r>
      <w:r>
        <w:t xml:space="preserve">. </w:t>
      </w:r>
      <w:r w:rsidR="00DB146F">
        <w:t>MSAC expressed concerns about a bias towards TAVI in the randomised trials arising from potential conflict of interest due to sponsor involvement in the site selection, data management and analysis of the study; greater withdrawal rates in the SAVR group</w:t>
      </w:r>
      <w:r w:rsidR="005D5137">
        <w:t xml:space="preserve"> (because consent was withdrawn after being randomised to SAVR)</w:t>
      </w:r>
      <w:r w:rsidR="00DB146F">
        <w:t xml:space="preserve">; </w:t>
      </w:r>
      <w:r w:rsidR="005D5137">
        <w:t xml:space="preserve">and </w:t>
      </w:r>
      <w:r w:rsidR="00DB146F">
        <w:t xml:space="preserve">longer delays to receive SAVR than TAVI. </w:t>
      </w:r>
      <w:r w:rsidR="0015667E">
        <w:t>MSAC also noted that, although participants were recruited into the PARTNER Cohort B trial because they were deemed to be inoperable, 150</w:t>
      </w:r>
      <w:r w:rsidR="00917EAD">
        <w:t> </w:t>
      </w:r>
      <w:r w:rsidR="0015667E">
        <w:t xml:space="preserve">(84%) of the 179 participants randomised to medical management received balloon </w:t>
      </w:r>
      <w:proofErr w:type="spellStart"/>
      <w:r w:rsidR="0015667E">
        <w:t>valvuloplasty</w:t>
      </w:r>
      <w:proofErr w:type="spellEnd"/>
      <w:r w:rsidR="0015667E">
        <w:t xml:space="preserve"> as a surgical intervention. </w:t>
      </w:r>
      <w:r w:rsidR="00DB146F">
        <w:t xml:space="preserve">MSAC was also concerned that the </w:t>
      </w:r>
      <w:r w:rsidR="005D5137">
        <w:t xml:space="preserve">trials presented </w:t>
      </w:r>
      <w:r w:rsidR="00DB146F">
        <w:t xml:space="preserve">were not sufficiently powered to assess the </w:t>
      </w:r>
      <w:r w:rsidR="005D5137">
        <w:t xml:space="preserve">comparative effectiveness or safety </w:t>
      </w:r>
      <w:r w:rsidR="00DB146F">
        <w:t xml:space="preserve">of TAVI via transapical </w:t>
      </w:r>
      <w:r w:rsidR="002371F6">
        <w:t>delivery</w:t>
      </w:r>
      <w:r w:rsidR="00DB146F">
        <w:t>.</w:t>
      </w:r>
    </w:p>
    <w:p w14:paraId="0F552C17" w14:textId="77777777" w:rsidR="00DB146F" w:rsidRDefault="00DB146F" w:rsidP="00DB146F"/>
    <w:p w14:paraId="51892966" w14:textId="1E481BF3" w:rsidR="008C4EFA" w:rsidRDefault="008C4EFA" w:rsidP="008C4EFA">
      <w:r>
        <w:t xml:space="preserve">MSAC </w:t>
      </w:r>
      <w:r w:rsidR="00DB146F">
        <w:t xml:space="preserve">accepted </w:t>
      </w:r>
      <w:r>
        <w:t>that</w:t>
      </w:r>
      <w:r w:rsidR="00DB146F">
        <w:t>,</w:t>
      </w:r>
      <w:r>
        <w:t xml:space="preserve"> compared to medical management, TAVI </w:t>
      </w:r>
      <w:r w:rsidR="00003020">
        <w:t xml:space="preserve">via transfemoral </w:t>
      </w:r>
      <w:r w:rsidR="002371F6">
        <w:t>delivery</w:t>
      </w:r>
      <w:r w:rsidR="00003020">
        <w:t xml:space="preserve"> </w:t>
      </w:r>
      <w:r>
        <w:t xml:space="preserve">was less safe </w:t>
      </w:r>
      <w:r w:rsidR="00DB146F">
        <w:t xml:space="preserve">after </w:t>
      </w:r>
      <w:r w:rsidR="001F10C3">
        <w:t xml:space="preserve">one </w:t>
      </w:r>
      <w:r w:rsidR="00DB146F">
        <w:t xml:space="preserve">year </w:t>
      </w:r>
      <w:r>
        <w:t>with increased stroke</w:t>
      </w:r>
      <w:r w:rsidR="00003020">
        <w:t>, vascular complications,</w:t>
      </w:r>
      <w:r w:rsidR="00DB146F">
        <w:t xml:space="preserve"> </w:t>
      </w:r>
      <w:r>
        <w:t xml:space="preserve">and major bleeding. However, compared to SAVR, </w:t>
      </w:r>
      <w:r w:rsidR="00DB146F">
        <w:t xml:space="preserve">MSAC accepted that </w:t>
      </w:r>
      <w:r>
        <w:t xml:space="preserve">TAVI </w:t>
      </w:r>
      <w:r w:rsidR="00003020">
        <w:t xml:space="preserve">via transfemoral </w:t>
      </w:r>
      <w:r w:rsidR="002371F6">
        <w:t>delivery</w:t>
      </w:r>
      <w:r w:rsidR="00003020">
        <w:t xml:space="preserve"> </w:t>
      </w:r>
      <w:r>
        <w:t xml:space="preserve">had a </w:t>
      </w:r>
      <w:r w:rsidR="00DB146F">
        <w:t xml:space="preserve">different </w:t>
      </w:r>
      <w:r>
        <w:t xml:space="preserve">safety profile </w:t>
      </w:r>
      <w:r w:rsidR="00003020">
        <w:t xml:space="preserve">after </w:t>
      </w:r>
      <w:r w:rsidR="001F10C3">
        <w:t xml:space="preserve">one </w:t>
      </w:r>
      <w:r w:rsidR="00003020">
        <w:t xml:space="preserve">year </w:t>
      </w:r>
      <w:r>
        <w:t xml:space="preserve">with </w:t>
      </w:r>
      <w:r w:rsidR="00DB146F">
        <w:t xml:space="preserve">decreased major bleeding, but </w:t>
      </w:r>
      <w:r>
        <w:t>increased vascular complications, permanent pacemaker implantation</w:t>
      </w:r>
      <w:r w:rsidR="00DB146F">
        <w:t>s</w:t>
      </w:r>
      <w:r w:rsidR="00D24542">
        <w:t xml:space="preserve"> (depending on device type)</w:t>
      </w:r>
      <w:r>
        <w:t xml:space="preserve">, and </w:t>
      </w:r>
      <w:proofErr w:type="spellStart"/>
      <w:r>
        <w:t>paravalvular</w:t>
      </w:r>
      <w:proofErr w:type="spellEnd"/>
      <w:r>
        <w:t xml:space="preserve"> </w:t>
      </w:r>
      <w:r w:rsidR="00003020">
        <w:t>a</w:t>
      </w:r>
      <w:r w:rsidR="00903186">
        <w:t>ortic regurgitation</w:t>
      </w:r>
      <w:r w:rsidR="00003020">
        <w:t>, and a trend to increased stroke</w:t>
      </w:r>
      <w:r>
        <w:t>.</w:t>
      </w:r>
      <w:r w:rsidR="00922B3F">
        <w:t xml:space="preserve"> MSAC noted that the recently published 5-year results for the PARTNER trial (</w:t>
      </w:r>
      <w:r w:rsidR="00435F60">
        <w:t>Kapadia</w:t>
      </w:r>
      <w:r w:rsidR="00922B3F">
        <w:t xml:space="preserve"> et al. Lancet, 2015 and Mack et al. Lancet 2015) did not </w:t>
      </w:r>
      <w:r w:rsidR="0088003B">
        <w:t xml:space="preserve">identify </w:t>
      </w:r>
      <w:r w:rsidR="00922B3F">
        <w:t>any new safety concerns</w:t>
      </w:r>
      <w:r w:rsidR="00894307">
        <w:t xml:space="preserve">, and </w:t>
      </w:r>
      <w:r w:rsidR="0088003B">
        <w:t xml:space="preserve">suggested </w:t>
      </w:r>
      <w:r w:rsidR="00894307">
        <w:t>that some early safety concerns, such as stroke, did not increase over time</w:t>
      </w:r>
      <w:r w:rsidR="00922B3F">
        <w:t>.</w:t>
      </w:r>
      <w:r w:rsidR="00CB317C">
        <w:t xml:space="preserve"> MSAC also accepted that,</w:t>
      </w:r>
      <w:r w:rsidR="00CB317C" w:rsidRPr="00CB317C">
        <w:t xml:space="preserve"> </w:t>
      </w:r>
      <w:r w:rsidR="00CB317C">
        <w:t xml:space="preserve">TAVI via transfemoral delivery </w:t>
      </w:r>
      <w:r w:rsidR="005C6127">
        <w:t xml:space="preserve">had a lower use of associated procedural </w:t>
      </w:r>
      <w:r w:rsidR="00CB317C">
        <w:t xml:space="preserve">healthcare resources </w:t>
      </w:r>
      <w:r w:rsidR="005C6127">
        <w:t>than SAVR</w:t>
      </w:r>
      <w:r w:rsidR="00CB317C">
        <w:t>.</w:t>
      </w:r>
    </w:p>
    <w:p w14:paraId="16060CFE" w14:textId="77777777" w:rsidR="008C4EFA" w:rsidRDefault="008C4EFA" w:rsidP="008C4EFA"/>
    <w:p w14:paraId="012D2513" w14:textId="5E0CB5D3" w:rsidR="00705E67" w:rsidRDefault="00705E67" w:rsidP="00705E67">
      <w:r>
        <w:t xml:space="preserve">MSAC accepted that the data </w:t>
      </w:r>
      <w:r w:rsidR="0015667E">
        <w:t xml:space="preserve">of all-cause mortality after </w:t>
      </w:r>
      <w:r w:rsidR="001F10C3">
        <w:t xml:space="preserve">one </w:t>
      </w:r>
      <w:r w:rsidR="0015667E">
        <w:t xml:space="preserve">year </w:t>
      </w:r>
      <w:r>
        <w:t xml:space="preserve">from the randomised trials showed TAVI via transfemoral </w:t>
      </w:r>
      <w:r w:rsidR="002371F6">
        <w:t>delivery</w:t>
      </w:r>
      <w:r>
        <w:t xml:space="preserve"> was more effective than medical management (PARTNER Cohort B, N=358) and non-inferior to SAVR (PARTNER Cohort A, N=699 and Medtronic </w:t>
      </w:r>
      <w:proofErr w:type="spellStart"/>
      <w:r>
        <w:t>CoreValve</w:t>
      </w:r>
      <w:proofErr w:type="spellEnd"/>
      <w:r>
        <w:t xml:space="preserve">, N=795). MSAC also noted that the STACCATO trial (N=70) </w:t>
      </w:r>
      <w:r>
        <w:lastRenderedPageBreak/>
        <w:t xml:space="preserve">comparing TAVI via transapical </w:t>
      </w:r>
      <w:r w:rsidR="002371F6">
        <w:t xml:space="preserve">delivery </w:t>
      </w:r>
      <w:r>
        <w:t>with SAVR was stopped early due to poor TAVI outcomes.</w:t>
      </w:r>
    </w:p>
    <w:p w14:paraId="3BF3F13E" w14:textId="77777777" w:rsidR="0065491D" w:rsidRDefault="0065491D" w:rsidP="00705E67"/>
    <w:p w14:paraId="187A98DD" w14:textId="77777777" w:rsidR="00CB317C" w:rsidRDefault="0065491D" w:rsidP="00705E67">
      <w:r>
        <w:t xml:space="preserve">MSAC noted that the recently published 5-year results for the PARTNER Cohort </w:t>
      </w:r>
      <w:r w:rsidR="00A16AFE">
        <w:t>B</w:t>
      </w:r>
      <w:r>
        <w:t xml:space="preserve"> trial (</w:t>
      </w:r>
      <w:r w:rsidR="00435F60">
        <w:t>Kapadia</w:t>
      </w:r>
      <w:r>
        <w:t xml:space="preserve"> et al</w:t>
      </w:r>
      <w:r w:rsidR="00922B3F">
        <w:t>.</w:t>
      </w:r>
      <w:r>
        <w:t xml:space="preserve"> Lancet, 2015) demonstrated a continuing superior all-cause mortality for TAVI</w:t>
      </w:r>
      <w:r w:rsidR="00A16AFE">
        <w:t xml:space="preserve"> via transfemoral </w:t>
      </w:r>
      <w:r w:rsidR="002371F6">
        <w:t>delivery</w:t>
      </w:r>
      <w:r>
        <w:t xml:space="preserve"> over medical management (at 2 years: 57% alive on TAVI vs 32% alive on medical management; at 5 years: 28% alive on TAVI vs 6% alive on medical management).</w:t>
      </w:r>
      <w:r w:rsidR="00A16AFE">
        <w:t xml:space="preserve"> Similarly, MSAC noted that the recently published 5-year results for the PARTNER Cohort A trial (Mack et al</w:t>
      </w:r>
      <w:r w:rsidR="00922B3F">
        <w:t>.</w:t>
      </w:r>
      <w:r w:rsidR="00A16AFE">
        <w:t xml:space="preserve"> Lancet, 2015) demonstrated </w:t>
      </w:r>
      <w:r w:rsidR="001160A7">
        <w:t>continuing</w:t>
      </w:r>
      <w:r w:rsidR="00A16AFE">
        <w:t xml:space="preserve"> non-inferior all-cause mortality between TAVI via transfemoral </w:t>
      </w:r>
      <w:r w:rsidR="002371F6">
        <w:t>delivery</w:t>
      </w:r>
      <w:r w:rsidR="00A16AFE">
        <w:t xml:space="preserve"> and SAVR (at 5 years: 37% alive on TAVI vs 36% alive on SAVR).</w:t>
      </w:r>
    </w:p>
    <w:p w14:paraId="32472436" w14:textId="77777777" w:rsidR="00CB317C" w:rsidRDefault="00CB317C" w:rsidP="00705E67"/>
    <w:p w14:paraId="6E4501DB" w14:textId="28A84029" w:rsidR="00705E67" w:rsidRDefault="00894307" w:rsidP="00705E67">
      <w:r>
        <w:t xml:space="preserve">MSAC </w:t>
      </w:r>
      <w:r w:rsidR="00CB317C">
        <w:t xml:space="preserve">considered that the 5-year results from the PARTNER trial strengthened the clinical case for </w:t>
      </w:r>
      <w:r w:rsidR="00D977EC">
        <w:t xml:space="preserve">public funding of </w:t>
      </w:r>
      <w:r w:rsidR="00CB317C">
        <w:t xml:space="preserve">TAVI, but </w:t>
      </w:r>
      <w:r>
        <w:t xml:space="preserve">noted that there was no update available for the Medtronic </w:t>
      </w:r>
      <w:proofErr w:type="spellStart"/>
      <w:r>
        <w:t>CoreValve</w:t>
      </w:r>
      <w:proofErr w:type="spellEnd"/>
      <w:r>
        <w:t xml:space="preserve"> trial </w:t>
      </w:r>
      <w:r w:rsidR="00D24542">
        <w:t xml:space="preserve">beyond 2 years </w:t>
      </w:r>
      <w:r>
        <w:t>to confirm whether the suggested superior all-cause mortality for TAVI over SAVR is sustained.</w:t>
      </w:r>
    </w:p>
    <w:p w14:paraId="68653162" w14:textId="77777777" w:rsidR="00435F60" w:rsidRDefault="00435F60" w:rsidP="008C4EFA"/>
    <w:p w14:paraId="0D245C23" w14:textId="77777777" w:rsidR="005D5137" w:rsidRDefault="00435F60" w:rsidP="008C4EFA">
      <w:r>
        <w:t xml:space="preserve">MSAC noted that the two TAVI devices were compared in a meta-analysis of mostly observational studies </w:t>
      </w:r>
      <w:r w:rsidR="00416E4B">
        <w:t xml:space="preserve">(Khatri et al. Ann Intern Med, 2013) </w:t>
      </w:r>
      <w:r w:rsidR="00F56F93">
        <w:t>and a</w:t>
      </w:r>
      <w:r>
        <w:t xml:space="preserve"> randomised trial </w:t>
      </w:r>
      <w:r w:rsidR="00F56F93">
        <w:t>(</w:t>
      </w:r>
      <w:r w:rsidR="00416E4B">
        <w:t>Abdel-</w:t>
      </w:r>
      <w:proofErr w:type="spellStart"/>
      <w:r w:rsidR="00416E4B">
        <w:t>Wahab</w:t>
      </w:r>
      <w:proofErr w:type="spellEnd"/>
      <w:r w:rsidR="00416E4B">
        <w:t xml:space="preserve"> et al. JAMA, 2014)</w:t>
      </w:r>
      <w:r w:rsidR="00F56F93">
        <w:t>,</w:t>
      </w:r>
      <w:r w:rsidR="00416E4B">
        <w:t xml:space="preserve"> </w:t>
      </w:r>
      <w:r w:rsidR="00F56F93">
        <w:t xml:space="preserve">which had an </w:t>
      </w:r>
      <w:r w:rsidR="004746F4">
        <w:t xml:space="preserve">intermediate </w:t>
      </w:r>
      <w:r w:rsidR="00F56F93">
        <w:t xml:space="preserve">endpoint as its primary outcome, and which was underpowered (N=238) to assess </w:t>
      </w:r>
      <w:r w:rsidR="004746F4">
        <w:t>directly patient-relevant endpoints</w:t>
      </w:r>
      <w:r w:rsidR="00F56F93">
        <w:t>. The Committee concluded that neither source of evidence</w:t>
      </w:r>
      <w:r w:rsidR="004746F4">
        <w:t xml:space="preserve"> provide</w:t>
      </w:r>
      <w:r w:rsidR="00F56F93">
        <w:t>d</w:t>
      </w:r>
      <w:r w:rsidR="004746F4">
        <w:t xml:space="preserve"> a confident basis to prefer one TAVI device over the other</w:t>
      </w:r>
      <w:r w:rsidR="00F56F93">
        <w:t xml:space="preserve"> in terms of effectiveness or safety</w:t>
      </w:r>
      <w:r w:rsidR="004746F4">
        <w:t>.</w:t>
      </w:r>
    </w:p>
    <w:p w14:paraId="46EF74E5" w14:textId="77777777" w:rsidR="004746F4" w:rsidRDefault="004746F4" w:rsidP="008C4EFA"/>
    <w:p w14:paraId="6B644849" w14:textId="307B110C" w:rsidR="008C4EFA" w:rsidRDefault="008C4EFA" w:rsidP="008C4EFA">
      <w:r>
        <w:t xml:space="preserve">MSAC noted that the economic modelling was a </w:t>
      </w:r>
      <w:r w:rsidR="003B6C13">
        <w:t>cost utility analysis with a 10-</w:t>
      </w:r>
      <w:r>
        <w:t xml:space="preserve">year time horizon </w:t>
      </w:r>
      <w:r w:rsidR="003B6C13">
        <w:t>extrapolated from data</w:t>
      </w:r>
      <w:r w:rsidR="00813800">
        <w:t xml:space="preserve"> </w:t>
      </w:r>
      <w:r w:rsidR="00016637">
        <w:t xml:space="preserve">from the PARTNER trial </w:t>
      </w:r>
      <w:r w:rsidR="00813800">
        <w:t>observed between the first 30 days and up to one year</w:t>
      </w:r>
      <w:r w:rsidR="003B6C13">
        <w:t xml:space="preserve">. The results suggested </w:t>
      </w:r>
      <w:r>
        <w:t>that TAVI w</w:t>
      </w:r>
      <w:r w:rsidR="003B6C13">
        <w:t>ould</w:t>
      </w:r>
      <w:r>
        <w:t xml:space="preserve"> </w:t>
      </w:r>
      <w:r w:rsidR="003B6C13">
        <w:t xml:space="preserve">be </w:t>
      </w:r>
      <w:r>
        <w:t xml:space="preserve">dominant, that is </w:t>
      </w:r>
      <w:r w:rsidR="003B6C13">
        <w:t xml:space="preserve">both </w:t>
      </w:r>
      <w:r>
        <w:t xml:space="preserve">cheaper and more effective, when compared to </w:t>
      </w:r>
      <w:r w:rsidR="00D24542">
        <w:t>SAVR</w:t>
      </w:r>
      <w:r w:rsidR="003B6C13">
        <w:t xml:space="preserve">; and would have an ICER/QALY of $42,000 - $61,000 when compared to </w:t>
      </w:r>
      <w:r w:rsidR="00D24542">
        <w:t>medical management</w:t>
      </w:r>
      <w:r>
        <w:t xml:space="preserve">. </w:t>
      </w:r>
      <w:r w:rsidR="000A1094">
        <w:t>According to the univariate s</w:t>
      </w:r>
      <w:r>
        <w:t>ensitivity analys</w:t>
      </w:r>
      <w:r w:rsidR="003B6C13">
        <w:t>e</w:t>
      </w:r>
      <w:r>
        <w:t>s</w:t>
      </w:r>
      <w:r w:rsidR="000A1094">
        <w:t>, the key drivers for the model</w:t>
      </w:r>
      <w:r>
        <w:t xml:space="preserve"> were </w:t>
      </w:r>
      <w:r w:rsidR="003B6C13">
        <w:t>the extent of survival gain</w:t>
      </w:r>
      <w:r w:rsidR="000A1094">
        <w:t>s</w:t>
      </w:r>
      <w:r w:rsidR="003B6C13">
        <w:t xml:space="preserve"> </w:t>
      </w:r>
      <w:r>
        <w:t>in inoperable and high risk population</w:t>
      </w:r>
      <w:r w:rsidR="003B6C13">
        <w:t xml:space="preserve">s, </w:t>
      </w:r>
      <w:r w:rsidR="000A1094">
        <w:t>and</w:t>
      </w:r>
      <w:r w:rsidR="003B6C13">
        <w:t xml:space="preserve"> the avoidance of </w:t>
      </w:r>
      <w:r w:rsidR="000A1094">
        <w:t>hospital</w:t>
      </w:r>
      <w:r w:rsidR="003B6C13">
        <w:t>-</w:t>
      </w:r>
      <w:r>
        <w:t xml:space="preserve">associated costs including extended stay, </w:t>
      </w:r>
      <w:proofErr w:type="spellStart"/>
      <w:r>
        <w:t>cannulation</w:t>
      </w:r>
      <w:proofErr w:type="spellEnd"/>
      <w:r>
        <w:t xml:space="preserve">, perfusion and </w:t>
      </w:r>
      <w:proofErr w:type="spellStart"/>
      <w:r>
        <w:t>cardioplegia</w:t>
      </w:r>
      <w:proofErr w:type="spellEnd"/>
      <w:r w:rsidR="000A1094">
        <w:t xml:space="preserve"> when compared with SAVR</w:t>
      </w:r>
      <w:r>
        <w:t xml:space="preserve">. It </w:t>
      </w:r>
      <w:r w:rsidR="003B6C13">
        <w:t>wa</w:t>
      </w:r>
      <w:r>
        <w:t>s unclear whether decreased hospitalisations compared to medical management were incorporate</w:t>
      </w:r>
      <w:r w:rsidR="00CD65CD">
        <w:t>d into the economic evaluation.</w:t>
      </w:r>
    </w:p>
    <w:p w14:paraId="01360339" w14:textId="77777777" w:rsidR="008C4EFA" w:rsidRDefault="008C4EFA" w:rsidP="008C4EFA"/>
    <w:p w14:paraId="10264800" w14:textId="4882F953" w:rsidR="008C4EFA" w:rsidRDefault="008C4EFA" w:rsidP="008C4EFA">
      <w:r>
        <w:t>However MSAC noted that</w:t>
      </w:r>
      <w:r w:rsidR="003B6C13">
        <w:t>, overall,</w:t>
      </w:r>
      <w:r>
        <w:t xml:space="preserve"> </w:t>
      </w:r>
      <w:r w:rsidR="003E19F8">
        <w:t xml:space="preserve">most of the assumptions in the </w:t>
      </w:r>
      <w:r>
        <w:t xml:space="preserve">economic model </w:t>
      </w:r>
      <w:r w:rsidR="003B6C13">
        <w:t xml:space="preserve">as presented </w:t>
      </w:r>
      <w:r>
        <w:t>w</w:t>
      </w:r>
      <w:r w:rsidR="003E19F8">
        <w:t>ere</w:t>
      </w:r>
      <w:r>
        <w:t xml:space="preserve"> </w:t>
      </w:r>
      <w:r w:rsidR="003B6C13">
        <w:t>biased in favour of TAVI, for the following reasons</w:t>
      </w:r>
      <w:r>
        <w:t>:</w:t>
      </w:r>
    </w:p>
    <w:p w14:paraId="27A4D483" w14:textId="63A3D34C" w:rsidR="00F265CB" w:rsidRDefault="00F265CB" w:rsidP="00A43007">
      <w:pPr>
        <w:widowControl w:val="0"/>
        <w:numPr>
          <w:ilvl w:val="0"/>
          <w:numId w:val="36"/>
        </w:numPr>
        <w:ind w:left="374"/>
      </w:pPr>
      <w:r>
        <w:t xml:space="preserve">without directly supporting evidence at the time of submission, incremental benefit was assumed to continue at the same rate beyond </w:t>
      </w:r>
      <w:r w:rsidR="005C736D">
        <w:t xml:space="preserve">one </w:t>
      </w:r>
      <w:r>
        <w:t>year</w:t>
      </w:r>
      <w:r w:rsidR="003E19F8">
        <w:t xml:space="preserve"> (based on the reported 5-year outcomes, this was biased in favour of TAVI when compared with SAVR, but was biased against TAVI when compared to medical management)</w:t>
      </w:r>
    </w:p>
    <w:p w14:paraId="79796085" w14:textId="1EEDE4E6" w:rsidR="00A43007" w:rsidRDefault="00A43007" w:rsidP="00A43007">
      <w:pPr>
        <w:widowControl w:val="0"/>
        <w:numPr>
          <w:ilvl w:val="0"/>
          <w:numId w:val="36"/>
        </w:numPr>
        <w:ind w:left="374"/>
      </w:pPr>
      <w:r>
        <w:t>hospital unit costs were different across model arms resulting in overestimated hospital cost offsets</w:t>
      </w:r>
      <w:r w:rsidR="00F265CB">
        <w:t xml:space="preserve">, especially in the comparison with </w:t>
      </w:r>
      <w:r w:rsidR="003E19F8">
        <w:t>SAVR</w:t>
      </w:r>
    </w:p>
    <w:p w14:paraId="4078B5FB" w14:textId="77777777" w:rsidR="006B46BF" w:rsidRDefault="006B46BF" w:rsidP="00A43007">
      <w:pPr>
        <w:widowControl w:val="0"/>
        <w:numPr>
          <w:ilvl w:val="0"/>
          <w:numId w:val="36"/>
        </w:numPr>
        <w:ind w:left="374"/>
      </w:pPr>
      <w:r>
        <w:t xml:space="preserve">utility </w:t>
      </w:r>
      <w:r w:rsidR="00DE4B0F">
        <w:t xml:space="preserve">gains for TAVI </w:t>
      </w:r>
      <w:r>
        <w:t>across arms appeared overestimated</w:t>
      </w:r>
      <w:r w:rsidR="00F265CB">
        <w:t>, for example the health state defined as “no complications”</w:t>
      </w:r>
      <w:r w:rsidR="001C2419">
        <w:t xml:space="preserve"> attract</w:t>
      </w:r>
      <w:r w:rsidR="00DE4B0F">
        <w:t>ed</w:t>
      </w:r>
      <w:r w:rsidR="001C2419">
        <w:t xml:space="preserve"> no decrement from the population normal utility despite the diagnosis of symptomatic severe aortic stenosis</w:t>
      </w:r>
      <w:r w:rsidR="00DE4B0F">
        <w:t>; and “other complications” attracted a hypertension disutility only, despite also including such complications as myocardial infarction and endocarditis</w:t>
      </w:r>
    </w:p>
    <w:p w14:paraId="71EA3061" w14:textId="77777777" w:rsidR="008C4EFA" w:rsidRDefault="00DE4B0F" w:rsidP="00455C03">
      <w:pPr>
        <w:widowControl w:val="0"/>
        <w:numPr>
          <w:ilvl w:val="0"/>
          <w:numId w:val="36"/>
        </w:numPr>
        <w:ind w:left="374"/>
      </w:pPr>
      <w:r>
        <w:t>other cost off-sets for TAVI across arms appeared overestimated, for example “other complications” only attracted a cost of “standard surveillance”</w:t>
      </w:r>
      <w:r w:rsidR="00195715">
        <w:t xml:space="preserve"> and major bleeds transit to “heart failure” only</w:t>
      </w:r>
    </w:p>
    <w:p w14:paraId="404EDD0B" w14:textId="06B94D84" w:rsidR="001C2419" w:rsidRDefault="001C2419" w:rsidP="001C2419">
      <w:pPr>
        <w:widowControl w:val="0"/>
        <w:numPr>
          <w:ilvl w:val="0"/>
          <w:numId w:val="36"/>
        </w:numPr>
        <w:ind w:left="374"/>
      </w:pPr>
      <w:r>
        <w:t xml:space="preserve">transitions from one health state to another were inconsistent across model arms, for </w:t>
      </w:r>
      <w:r>
        <w:lastRenderedPageBreak/>
        <w:t xml:space="preserve">example “vascular complications” transits to “other complications” for TAVI or SAVR, or to “HF follow-up” </w:t>
      </w:r>
      <w:r w:rsidR="00195715">
        <w:t xml:space="preserve">(which is associated with greater costs and </w:t>
      </w:r>
      <w:proofErr w:type="spellStart"/>
      <w:r w:rsidR="00195715">
        <w:t>disutilities</w:t>
      </w:r>
      <w:proofErr w:type="spellEnd"/>
      <w:r w:rsidR="00195715">
        <w:t xml:space="preserve">) </w:t>
      </w:r>
      <w:r>
        <w:t xml:space="preserve">for medical management; and “no complications” transits to “no complication” for TAVI or SAVR, or to “standard therapy follow-up” (which includes </w:t>
      </w:r>
      <w:r w:rsidR="00195715">
        <w:t xml:space="preserve">daily </w:t>
      </w:r>
      <w:r>
        <w:t>clopidogrel</w:t>
      </w:r>
      <w:r w:rsidR="00195715">
        <w:t>, annual specialist visit,</w:t>
      </w:r>
      <w:r>
        <w:t xml:space="preserve"> annual echocardiogram</w:t>
      </w:r>
      <w:r w:rsidR="00195715">
        <w:t xml:space="preserve"> transthoracic echocardiography</w:t>
      </w:r>
      <w:r>
        <w:t>) for medical management</w:t>
      </w:r>
    </w:p>
    <w:p w14:paraId="2C82C6BD" w14:textId="77777777" w:rsidR="0015704A" w:rsidRDefault="0015704A" w:rsidP="007A3C2F">
      <w:pPr>
        <w:widowControl w:val="0"/>
        <w:numPr>
          <w:ilvl w:val="0"/>
          <w:numId w:val="36"/>
        </w:numPr>
        <w:ind w:left="374"/>
      </w:pPr>
      <w:r>
        <w:t>assumptions built in to the economic model</w:t>
      </w:r>
      <w:r w:rsidR="00CD65CD">
        <w:t xml:space="preserve"> were not supported</w:t>
      </w:r>
      <w:r w:rsidR="007A3C2F">
        <w:t xml:space="preserve">, for example </w:t>
      </w:r>
      <w:r>
        <w:t xml:space="preserve">all subsequent aortic valve replacements </w:t>
      </w:r>
      <w:r w:rsidR="007A3C2F">
        <w:t xml:space="preserve">were assumed to </w:t>
      </w:r>
      <w:r>
        <w:t>occur in the first 30 days</w:t>
      </w:r>
    </w:p>
    <w:p w14:paraId="300F0F09" w14:textId="77777777" w:rsidR="00F265CB" w:rsidRDefault="0015704A" w:rsidP="00455C03">
      <w:pPr>
        <w:pStyle w:val="ListParagraph"/>
        <w:widowControl w:val="0"/>
        <w:numPr>
          <w:ilvl w:val="0"/>
          <w:numId w:val="36"/>
        </w:numPr>
        <w:ind w:left="374"/>
      </w:pPr>
      <w:r>
        <w:t xml:space="preserve">all major bleeds in the medical management group </w:t>
      </w:r>
      <w:r w:rsidR="00F265CB">
        <w:t>were treated with SAVR</w:t>
      </w:r>
    </w:p>
    <w:p w14:paraId="7A525A78" w14:textId="0DDF6B11" w:rsidR="001E747A" w:rsidRDefault="008C4EFA" w:rsidP="00455C03">
      <w:pPr>
        <w:pStyle w:val="ListParagraph"/>
        <w:widowControl w:val="0"/>
        <w:numPr>
          <w:ilvl w:val="0"/>
          <w:numId w:val="36"/>
        </w:numPr>
        <w:ind w:left="374"/>
      </w:pPr>
      <w:r>
        <w:t>aortic regurgitation</w:t>
      </w:r>
      <w:r w:rsidR="0015704A">
        <w:t xml:space="preserve"> </w:t>
      </w:r>
      <w:r w:rsidR="001C2419">
        <w:t xml:space="preserve">consequences </w:t>
      </w:r>
      <w:r w:rsidR="001E747A">
        <w:t xml:space="preserve">were not incorporated in the model, however </w:t>
      </w:r>
      <w:r w:rsidR="001C2419">
        <w:t xml:space="preserve">mortality </w:t>
      </w:r>
      <w:r w:rsidR="001E747A">
        <w:t>was already included in the model (and the 5-year data were reassuring)</w:t>
      </w:r>
    </w:p>
    <w:p w14:paraId="4CC0A5F5" w14:textId="4F1B21CC" w:rsidR="008C4EFA" w:rsidRDefault="000052B4" w:rsidP="00455C03">
      <w:pPr>
        <w:pStyle w:val="ListParagraph"/>
        <w:widowControl w:val="0"/>
        <w:numPr>
          <w:ilvl w:val="0"/>
          <w:numId w:val="36"/>
        </w:numPr>
        <w:ind w:left="374"/>
      </w:pPr>
      <w:r>
        <w:t>pacemakers were</w:t>
      </w:r>
      <w:r w:rsidR="0015704A">
        <w:t xml:space="preserve"> not included</w:t>
      </w:r>
      <w:r w:rsidR="001E747A">
        <w:t xml:space="preserve"> in the model</w:t>
      </w:r>
    </w:p>
    <w:p w14:paraId="15AB921B" w14:textId="7721E5E6" w:rsidR="008C4EFA" w:rsidRDefault="00CD65CD" w:rsidP="00455C03">
      <w:pPr>
        <w:widowControl w:val="0"/>
        <w:numPr>
          <w:ilvl w:val="0"/>
          <w:numId w:val="36"/>
        </w:numPr>
        <w:ind w:left="374"/>
      </w:pPr>
      <w:r>
        <w:t xml:space="preserve">the </w:t>
      </w:r>
      <w:r w:rsidR="008C4EFA">
        <w:t xml:space="preserve">inclusion of costs for </w:t>
      </w:r>
      <w:r w:rsidR="0015704A">
        <w:t xml:space="preserve">the </w:t>
      </w:r>
      <w:r w:rsidR="008C4EFA">
        <w:t xml:space="preserve">heart </w:t>
      </w:r>
      <w:r w:rsidR="00346E85">
        <w:t xml:space="preserve">multidisciplinary </w:t>
      </w:r>
      <w:r w:rsidR="008C4EFA">
        <w:t xml:space="preserve">team </w:t>
      </w:r>
      <w:r w:rsidR="00346E85">
        <w:t xml:space="preserve">across all arms </w:t>
      </w:r>
      <w:r w:rsidR="003B6C13">
        <w:t>wa</w:t>
      </w:r>
      <w:r w:rsidR="008C4EFA">
        <w:t>s inappropriate</w:t>
      </w:r>
      <w:r w:rsidR="001E747A">
        <w:t xml:space="preserve"> (</w:t>
      </w:r>
      <w:proofErr w:type="spellStart"/>
      <w:r w:rsidR="001E747A">
        <w:t>ie</w:t>
      </w:r>
      <w:proofErr w:type="spellEnd"/>
      <w:r w:rsidR="001E747A">
        <w:t>. this would not currently be standard care for a patient being treated medically or with SAVR)</w:t>
      </w:r>
    </w:p>
    <w:p w14:paraId="7210D113" w14:textId="77777777" w:rsidR="0015704A" w:rsidRDefault="0015704A" w:rsidP="0015704A">
      <w:pPr>
        <w:widowControl w:val="0"/>
        <w:numPr>
          <w:ilvl w:val="0"/>
          <w:numId w:val="36"/>
        </w:numPr>
        <w:ind w:left="374"/>
      </w:pPr>
      <w:proofErr w:type="gramStart"/>
      <w:r>
        <w:t>the</w:t>
      </w:r>
      <w:proofErr w:type="gramEnd"/>
      <w:r>
        <w:t xml:space="preserve"> rationale for the proportions receiving subsequent TAVI/SAVR was unclear</w:t>
      </w:r>
      <w:r w:rsidR="00346E85">
        <w:t>.</w:t>
      </w:r>
    </w:p>
    <w:p w14:paraId="0A31B9BF" w14:textId="77777777" w:rsidR="006B46BF" w:rsidRDefault="00346E85" w:rsidP="006B46BF">
      <w:pPr>
        <w:widowControl w:val="0"/>
        <w:ind w:left="14"/>
      </w:pPr>
      <w:r>
        <w:t>Although univariate sensitivity analyses suggested that, taken one by one, these concerns might not have large consequences for the ICER, no multivariate sensitivity analysis was provided to examine their cumulative effect despite the general consistency of the bias across these concerns.</w:t>
      </w:r>
    </w:p>
    <w:p w14:paraId="30AF80F8" w14:textId="77777777" w:rsidR="00346E85" w:rsidRDefault="00346E85" w:rsidP="006B46BF">
      <w:pPr>
        <w:widowControl w:val="0"/>
        <w:ind w:left="14"/>
      </w:pPr>
    </w:p>
    <w:p w14:paraId="57F386DB" w14:textId="77777777" w:rsidR="006B46BF" w:rsidRDefault="006B46BF" w:rsidP="006B46BF">
      <w:pPr>
        <w:widowControl w:val="0"/>
        <w:ind w:left="14"/>
      </w:pPr>
      <w:r>
        <w:t>Other concerns with the model included:</w:t>
      </w:r>
    </w:p>
    <w:p w14:paraId="34895474" w14:textId="77777777" w:rsidR="006B46BF" w:rsidRDefault="00CD65CD" w:rsidP="003B6C13">
      <w:pPr>
        <w:widowControl w:val="0"/>
        <w:numPr>
          <w:ilvl w:val="0"/>
          <w:numId w:val="36"/>
        </w:numPr>
        <w:ind w:left="374"/>
      </w:pPr>
      <w:r>
        <w:t xml:space="preserve">the </w:t>
      </w:r>
      <w:r w:rsidR="003B6C13">
        <w:t xml:space="preserve">exclusion of the larger Medtronic </w:t>
      </w:r>
      <w:proofErr w:type="spellStart"/>
      <w:r w:rsidR="003B6C13">
        <w:t>CoreValve</w:t>
      </w:r>
      <w:proofErr w:type="spellEnd"/>
      <w:r w:rsidR="003B6C13">
        <w:t xml:space="preserve"> study</w:t>
      </w:r>
    </w:p>
    <w:p w14:paraId="1379B844" w14:textId="77777777" w:rsidR="003B6C13" w:rsidRDefault="006B46BF" w:rsidP="003B6C13">
      <w:pPr>
        <w:widowControl w:val="0"/>
        <w:numPr>
          <w:ilvl w:val="0"/>
          <w:numId w:val="36"/>
        </w:numPr>
        <w:ind w:left="374"/>
      </w:pPr>
      <w:proofErr w:type="gramStart"/>
      <w:r>
        <w:t>the</w:t>
      </w:r>
      <w:proofErr w:type="gramEnd"/>
      <w:r>
        <w:t xml:space="preserve"> inclusion of results for transapical </w:t>
      </w:r>
      <w:r w:rsidR="002371F6">
        <w:t>delivery</w:t>
      </w:r>
      <w:r>
        <w:t>, despite insufficient evidence for effectiveness</w:t>
      </w:r>
      <w:r w:rsidR="00CD65CD">
        <w:t>.</w:t>
      </w:r>
    </w:p>
    <w:p w14:paraId="3F9EBF2D" w14:textId="77777777" w:rsidR="008C4EFA" w:rsidRDefault="008C4EFA" w:rsidP="008C4EFA"/>
    <w:p w14:paraId="4818FD36" w14:textId="70923056" w:rsidR="008C4EFA" w:rsidRDefault="008C4EFA" w:rsidP="008C4EFA">
      <w:r>
        <w:t xml:space="preserve">MSAC was concerned with the </w:t>
      </w:r>
      <w:r w:rsidR="0015704A">
        <w:t xml:space="preserve">cost </w:t>
      </w:r>
      <w:r>
        <w:t xml:space="preserve">of the TAVI device at $33,348 compared to the </w:t>
      </w:r>
      <w:r w:rsidR="0015704A">
        <w:t xml:space="preserve">cost </w:t>
      </w:r>
      <w:r>
        <w:t>of SAVR at $5,925</w:t>
      </w:r>
      <w:r w:rsidR="0015704A">
        <w:t>, and that the best value</w:t>
      </w:r>
      <w:r>
        <w:t xml:space="preserve"> solution from </w:t>
      </w:r>
      <w:r w:rsidR="001F14D9">
        <w:t xml:space="preserve">competition in the </w:t>
      </w:r>
      <w:r w:rsidR="0015704A">
        <w:t xml:space="preserve">market might not </w:t>
      </w:r>
      <w:r w:rsidR="000052B4">
        <w:t xml:space="preserve">have </w:t>
      </w:r>
      <w:r w:rsidR="0015704A">
        <w:t>be</w:t>
      </w:r>
      <w:r w:rsidR="000052B4">
        <w:t>en</w:t>
      </w:r>
      <w:r w:rsidR="0015704A">
        <w:t xml:space="preserve"> achieved</w:t>
      </w:r>
      <w:r w:rsidR="000052B4">
        <w:t xml:space="preserve"> yet</w:t>
      </w:r>
      <w:r>
        <w:t xml:space="preserve">. </w:t>
      </w:r>
    </w:p>
    <w:p w14:paraId="01B6CE9F" w14:textId="77777777" w:rsidR="008C4EFA" w:rsidRDefault="008C4EFA" w:rsidP="008C4EFA"/>
    <w:p w14:paraId="5D21609C" w14:textId="77777777" w:rsidR="008C4EFA" w:rsidRDefault="008C4EFA" w:rsidP="008C4EFA">
      <w:r>
        <w:t xml:space="preserve">MSAC was uncertain about the </w:t>
      </w:r>
      <w:r w:rsidR="000052B4">
        <w:t xml:space="preserve">estimated </w:t>
      </w:r>
      <w:r>
        <w:t>cost effectiveness of TAVI</w:t>
      </w:r>
      <w:r w:rsidR="001F14D9">
        <w:t>. The Committee</w:t>
      </w:r>
      <w:r w:rsidR="000052B4">
        <w:t xml:space="preserve"> </w:t>
      </w:r>
      <w:r w:rsidR="001F14D9">
        <w:t>considered</w:t>
      </w:r>
      <w:r>
        <w:t xml:space="preserve"> that inclusion of the </w:t>
      </w:r>
      <w:r w:rsidR="0015704A">
        <w:t xml:space="preserve">recently published </w:t>
      </w:r>
      <w:r>
        <w:t>5</w:t>
      </w:r>
      <w:r w:rsidR="0015704A">
        <w:t>-</w:t>
      </w:r>
      <w:r>
        <w:t>year data w</w:t>
      </w:r>
      <w:r w:rsidR="0015704A">
        <w:t xml:space="preserve">ould </w:t>
      </w:r>
      <w:r w:rsidR="00CD65CD">
        <w:t xml:space="preserve">improve confidence in the results of the model. These </w:t>
      </w:r>
      <w:r w:rsidR="00EC0791">
        <w:t xml:space="preserve">trial </w:t>
      </w:r>
      <w:r w:rsidR="00CD65CD">
        <w:t xml:space="preserve">results </w:t>
      </w:r>
      <w:r w:rsidR="009F08CB">
        <w:t xml:space="preserve">suggest that </w:t>
      </w:r>
      <w:r w:rsidR="000A1094">
        <w:t xml:space="preserve">incremental overall survival </w:t>
      </w:r>
      <w:r w:rsidR="009F08CB">
        <w:t xml:space="preserve">might have been underestimated </w:t>
      </w:r>
      <w:r w:rsidR="00EC0791">
        <w:t xml:space="preserve">by the model </w:t>
      </w:r>
      <w:r w:rsidR="009F08CB">
        <w:t>for this 5-year period</w:t>
      </w:r>
      <w:r w:rsidR="000A1094">
        <w:t xml:space="preserve"> in the comparison with medical management, but overestimated in the comparison with SAVR</w:t>
      </w:r>
      <w:r w:rsidR="000052B4">
        <w:t xml:space="preserve">. </w:t>
      </w:r>
      <w:r w:rsidR="00EC0791">
        <w:t xml:space="preserve">Overall, </w:t>
      </w:r>
      <w:r w:rsidR="000052B4">
        <w:t xml:space="preserve">MSAC agreed that </w:t>
      </w:r>
      <w:r w:rsidR="009F08CB">
        <w:t xml:space="preserve">the overall </w:t>
      </w:r>
      <w:r w:rsidR="00EC0791">
        <w:t xml:space="preserve">consequences of improving these overall survival </w:t>
      </w:r>
      <w:r w:rsidR="009F08CB">
        <w:t>estimate</w:t>
      </w:r>
      <w:r w:rsidR="00EC0791">
        <w:t>s</w:t>
      </w:r>
      <w:r w:rsidR="009F08CB">
        <w:t xml:space="preserve"> and </w:t>
      </w:r>
      <w:r w:rsidR="00EC0791">
        <w:t xml:space="preserve">correcting </w:t>
      </w:r>
      <w:r w:rsidR="009F08CB">
        <w:t>the o</w:t>
      </w:r>
      <w:r w:rsidR="000052B4">
        <w:t>th</w:t>
      </w:r>
      <w:r w:rsidR="009F08CB">
        <w:t>er biases favour</w:t>
      </w:r>
      <w:r w:rsidR="000052B4">
        <w:t>ing</w:t>
      </w:r>
      <w:r w:rsidR="009F08CB">
        <w:t xml:space="preserve"> TAVI </w:t>
      </w:r>
      <w:r w:rsidR="000052B4">
        <w:t xml:space="preserve">in the model </w:t>
      </w:r>
      <w:r w:rsidR="009F08CB">
        <w:t>w</w:t>
      </w:r>
      <w:r w:rsidR="00EC0791">
        <w:t>ere</w:t>
      </w:r>
      <w:r w:rsidR="009F08CB">
        <w:t xml:space="preserve"> not clear</w:t>
      </w:r>
      <w:r>
        <w:t>.</w:t>
      </w:r>
    </w:p>
    <w:p w14:paraId="64841903" w14:textId="77777777" w:rsidR="0051452B" w:rsidRDefault="0051452B" w:rsidP="0051452B"/>
    <w:p w14:paraId="3AC07EDA" w14:textId="7C865ED5" w:rsidR="0051452B" w:rsidRDefault="000052B4" w:rsidP="0051452B">
      <w:r>
        <w:t xml:space="preserve">In relation to recalculating the </w:t>
      </w:r>
      <w:r w:rsidR="0051452B">
        <w:t>economic modelling</w:t>
      </w:r>
      <w:r w:rsidR="001F14D9">
        <w:t xml:space="preserve"> in response to the deferral</w:t>
      </w:r>
      <w:r>
        <w:t>, MSAC requested that the</w:t>
      </w:r>
      <w:r w:rsidR="0051452B">
        <w:t xml:space="preserve"> </w:t>
      </w:r>
      <w:r>
        <w:t xml:space="preserve">estimate of costs and outcomes be limited to five years, and reflect the recently published 5-year PARTNER </w:t>
      </w:r>
      <w:r w:rsidR="0051452B">
        <w:t xml:space="preserve">trial </w:t>
      </w:r>
      <w:r>
        <w:t>data as closely as possible</w:t>
      </w:r>
      <w:r w:rsidR="00CB317C">
        <w:t>, particularly for health outcomes,</w:t>
      </w:r>
      <w:r>
        <w:t xml:space="preserve"> whilst appropriately reflecting Australian unit costs</w:t>
      </w:r>
      <w:r w:rsidR="001F14D9">
        <w:t xml:space="preserve"> and system</w:t>
      </w:r>
      <w:r w:rsidR="00CB317C">
        <w:t>s</w:t>
      </w:r>
      <w:r w:rsidR="001F14D9">
        <w:t xml:space="preserve"> of providing health care resources</w:t>
      </w:r>
      <w:r>
        <w:t>.</w:t>
      </w:r>
      <w:r w:rsidR="00D43CF7">
        <w:t xml:space="preserve"> A sensitivity analysis extrapolating the economic model out to 10 years would also be informative.</w:t>
      </w:r>
    </w:p>
    <w:p w14:paraId="05CF4738" w14:textId="77777777" w:rsidR="0051452B" w:rsidRDefault="0051452B" w:rsidP="0051452B"/>
    <w:p w14:paraId="7BEBD089" w14:textId="2C498FF3" w:rsidR="008C4EFA" w:rsidRDefault="008C4EFA" w:rsidP="008C4EFA">
      <w:r>
        <w:t xml:space="preserve">MSAC noted that the </w:t>
      </w:r>
      <w:r w:rsidR="0051452B">
        <w:t xml:space="preserve">net annual </w:t>
      </w:r>
      <w:r>
        <w:t>financial imp</w:t>
      </w:r>
      <w:r w:rsidR="0051452B">
        <w:t xml:space="preserve">lications to government health budgets and private health insurance </w:t>
      </w:r>
      <w:r>
        <w:t xml:space="preserve">of funding TAVI </w:t>
      </w:r>
      <w:r w:rsidR="0051452B">
        <w:t xml:space="preserve">were estimated </w:t>
      </w:r>
      <w:r>
        <w:t xml:space="preserve">to be </w:t>
      </w:r>
      <w:r w:rsidR="0051452B">
        <w:t xml:space="preserve">between </w:t>
      </w:r>
      <w:r>
        <w:t>$33 million</w:t>
      </w:r>
      <w:r w:rsidR="0051452B">
        <w:t xml:space="preserve"> and $38 million</w:t>
      </w:r>
      <w:r>
        <w:t>.</w:t>
      </w:r>
      <w:r w:rsidR="0051452B">
        <w:t xml:space="preserve"> However,</w:t>
      </w:r>
      <w:r w:rsidR="0051452B" w:rsidRPr="0051452B">
        <w:t xml:space="preserve"> </w:t>
      </w:r>
      <w:r w:rsidR="0051452B">
        <w:t xml:space="preserve">MSAC was unsure about the </w:t>
      </w:r>
      <w:r w:rsidR="001523B6">
        <w:t xml:space="preserve">associated </w:t>
      </w:r>
      <w:r w:rsidR="0051452B">
        <w:t>volume of uptake with a range of 700-</w:t>
      </w:r>
      <w:r w:rsidR="001523B6">
        <w:t>8</w:t>
      </w:r>
      <w:r w:rsidR="0051452B">
        <w:t xml:space="preserve">00 patients </w:t>
      </w:r>
      <w:r w:rsidR="001523B6">
        <w:t xml:space="preserve">receiving TAVI </w:t>
      </w:r>
      <w:r w:rsidR="0051452B">
        <w:t>per year</w:t>
      </w:r>
      <w:r w:rsidR="001523B6">
        <w:t>. From a</w:t>
      </w:r>
      <w:r w:rsidR="00813800">
        <w:t xml:space="preserve"> prevalence </w:t>
      </w:r>
      <w:r w:rsidR="001523B6">
        <w:t xml:space="preserve">perspective, some 4,200 patients are </w:t>
      </w:r>
      <w:r w:rsidR="00C83CBF">
        <w:t xml:space="preserve">currently </w:t>
      </w:r>
      <w:r w:rsidR="00813800">
        <w:t xml:space="preserve">being medically managed, so estimating that the uptake of TAVI would be limited to 593 could only be considered reasonable by noting the current </w:t>
      </w:r>
      <w:r w:rsidR="00F265CB">
        <w:t xml:space="preserve">limited </w:t>
      </w:r>
      <w:r w:rsidR="00F265CB" w:rsidRPr="0006787A">
        <w:rPr>
          <w:szCs w:val="24"/>
          <w:lang w:eastAsia="en-US"/>
        </w:rPr>
        <w:t>capacity of the specialist cardiac centre</w:t>
      </w:r>
      <w:r w:rsidR="00F265CB">
        <w:rPr>
          <w:szCs w:val="24"/>
          <w:lang w:eastAsia="en-US"/>
        </w:rPr>
        <w:t>s</w:t>
      </w:r>
      <w:r w:rsidR="00F265CB" w:rsidRPr="0006787A">
        <w:rPr>
          <w:szCs w:val="24"/>
          <w:lang w:eastAsia="en-US"/>
        </w:rPr>
        <w:t xml:space="preserve"> to perform the procedure</w:t>
      </w:r>
      <w:r w:rsidR="0051452B">
        <w:t>.</w:t>
      </w:r>
      <w:r w:rsidR="00F265CB">
        <w:t xml:space="preserve"> The financial analyses may also </w:t>
      </w:r>
      <w:r w:rsidR="00F265CB">
        <w:lastRenderedPageBreak/>
        <w:t>need to be updated in a resubmission to retain alignment with related changes to the economic model.</w:t>
      </w:r>
    </w:p>
    <w:p w14:paraId="20AC0385" w14:textId="77777777" w:rsidR="008C4EFA" w:rsidRDefault="008C4EFA" w:rsidP="008C4EFA"/>
    <w:p w14:paraId="020FC097" w14:textId="77777777" w:rsidR="0051452B" w:rsidRDefault="0051452B" w:rsidP="0051452B">
      <w:r>
        <w:t>In deciding to defer the application, MSAC noted that</w:t>
      </w:r>
      <w:r w:rsidR="00EC0791">
        <w:t>,</w:t>
      </w:r>
      <w:r>
        <w:t xml:space="preserve"> </w:t>
      </w:r>
      <w:r w:rsidR="00EC0791">
        <w:t xml:space="preserve">due to imprecision in distinguishing between the two requested groups of patients, it would not be appropriate to support funding one group and not the other. In addition, </w:t>
      </w:r>
      <w:r>
        <w:t>patients currently have access to TAVI</w:t>
      </w:r>
      <w:r w:rsidR="00EC0791">
        <w:t>, so d</w:t>
      </w:r>
      <w:r>
        <w:t>eferral of the application would not have any significant consequences for patient management.</w:t>
      </w:r>
    </w:p>
    <w:p w14:paraId="32AA87E5" w14:textId="77777777" w:rsidR="008C4EFA" w:rsidRPr="00707064" w:rsidRDefault="008C4EFA" w:rsidP="00550354">
      <w:pPr>
        <w:rPr>
          <w:szCs w:val="24"/>
        </w:rPr>
      </w:pPr>
    </w:p>
    <w:p w14:paraId="532C1BA8" w14:textId="77777777" w:rsidR="00BC1364" w:rsidRPr="00D90A38" w:rsidRDefault="00BC1364" w:rsidP="007B32D1">
      <w:pPr>
        <w:pStyle w:val="Heading1"/>
        <w:numPr>
          <w:ilvl w:val="0"/>
          <w:numId w:val="23"/>
        </w:numPr>
        <w:ind w:hanging="720"/>
      </w:pPr>
      <w:r w:rsidRPr="00D90A38">
        <w:t>Background</w:t>
      </w:r>
    </w:p>
    <w:p w14:paraId="5E2DD019" w14:textId="77777777" w:rsidR="00BC1364" w:rsidRPr="00074392" w:rsidRDefault="00BC1364" w:rsidP="00DD2858">
      <w:pPr>
        <w:rPr>
          <w:szCs w:val="24"/>
        </w:rPr>
      </w:pPr>
    </w:p>
    <w:p w14:paraId="1E9547A5" w14:textId="77777777" w:rsidR="00F9695B" w:rsidRPr="008B63C2" w:rsidRDefault="00F9695B" w:rsidP="00F9695B">
      <w:pPr>
        <w:rPr>
          <w:szCs w:val="24"/>
        </w:rPr>
      </w:pPr>
      <w:r w:rsidRPr="008B63C2">
        <w:rPr>
          <w:szCs w:val="24"/>
        </w:rPr>
        <w:t xml:space="preserve">The proposed medical service </w:t>
      </w:r>
      <w:r w:rsidR="00074392">
        <w:rPr>
          <w:szCs w:val="24"/>
        </w:rPr>
        <w:t>wa</w:t>
      </w:r>
      <w:r w:rsidRPr="008B63C2">
        <w:rPr>
          <w:szCs w:val="24"/>
        </w:rPr>
        <w:t>s currently not funded under the MBS and ha</w:t>
      </w:r>
      <w:r w:rsidR="00074392">
        <w:rPr>
          <w:szCs w:val="24"/>
        </w:rPr>
        <w:t>d</w:t>
      </w:r>
      <w:r w:rsidRPr="008B63C2">
        <w:rPr>
          <w:szCs w:val="24"/>
        </w:rPr>
        <w:t xml:space="preserve"> not been previously considered by MSAC. However, legal access to TAVI has been provided to patients under the following avenues:</w:t>
      </w:r>
    </w:p>
    <w:p w14:paraId="5FEA4262" w14:textId="77777777" w:rsidR="00F9695B" w:rsidRPr="008B63C2" w:rsidRDefault="00074392" w:rsidP="00455C03">
      <w:pPr>
        <w:pStyle w:val="ListParagraph"/>
        <w:numPr>
          <w:ilvl w:val="0"/>
          <w:numId w:val="1"/>
        </w:numPr>
        <w:rPr>
          <w:szCs w:val="24"/>
        </w:rPr>
      </w:pPr>
      <w:r>
        <w:rPr>
          <w:szCs w:val="24"/>
        </w:rPr>
        <w:t>s</w:t>
      </w:r>
      <w:r w:rsidR="00F9695B" w:rsidRPr="008B63C2">
        <w:rPr>
          <w:szCs w:val="24"/>
        </w:rPr>
        <w:t>pecial access scheme and authorised prescribers; and</w:t>
      </w:r>
    </w:p>
    <w:p w14:paraId="39018158" w14:textId="77777777" w:rsidR="00074392" w:rsidRPr="00074392" w:rsidRDefault="00074392" w:rsidP="00455C03">
      <w:pPr>
        <w:pStyle w:val="ListParagraph"/>
        <w:numPr>
          <w:ilvl w:val="0"/>
          <w:numId w:val="1"/>
        </w:numPr>
        <w:rPr>
          <w:szCs w:val="24"/>
        </w:rPr>
      </w:pPr>
      <w:proofErr w:type="gramStart"/>
      <w:r>
        <w:rPr>
          <w:szCs w:val="24"/>
        </w:rPr>
        <w:t>p</w:t>
      </w:r>
      <w:r w:rsidR="00F9695B" w:rsidRPr="008B63C2">
        <w:rPr>
          <w:szCs w:val="24"/>
        </w:rPr>
        <w:t>articipation</w:t>
      </w:r>
      <w:proofErr w:type="gramEnd"/>
      <w:r w:rsidR="00F9695B" w:rsidRPr="008B63C2">
        <w:rPr>
          <w:szCs w:val="24"/>
        </w:rPr>
        <w:t xml:space="preserve"> in clinical trials and clinical registries.</w:t>
      </w:r>
    </w:p>
    <w:p w14:paraId="6CAA98A8" w14:textId="77777777" w:rsidR="007B32D1" w:rsidRPr="007B32D1" w:rsidRDefault="007B32D1" w:rsidP="007B32D1"/>
    <w:p w14:paraId="67AF4F21" w14:textId="77777777" w:rsidR="00BC1364" w:rsidRPr="00D90A38" w:rsidRDefault="00BC1364" w:rsidP="007B32D1">
      <w:pPr>
        <w:pStyle w:val="Heading1"/>
        <w:numPr>
          <w:ilvl w:val="0"/>
          <w:numId w:val="23"/>
        </w:numPr>
        <w:ind w:hanging="720"/>
      </w:pPr>
      <w:r w:rsidRPr="00D90A38">
        <w:t>Prerequisites to implementation of any funding advice</w:t>
      </w:r>
    </w:p>
    <w:p w14:paraId="4B7B869F" w14:textId="77777777" w:rsidR="00BC1364" w:rsidRPr="00074392" w:rsidRDefault="00BC1364" w:rsidP="00074392">
      <w:pPr>
        <w:tabs>
          <w:tab w:val="left" w:pos="720"/>
          <w:tab w:val="left" w:pos="1140"/>
        </w:tabs>
        <w:rPr>
          <w:szCs w:val="24"/>
        </w:rPr>
      </w:pPr>
    </w:p>
    <w:p w14:paraId="7131F1A6" w14:textId="77777777" w:rsidR="00917EAD" w:rsidRDefault="00917EAD" w:rsidP="00917EAD">
      <w:r>
        <w:t xml:space="preserve">Several devices are listed on the Australian Register of Therapeutic Goods </w:t>
      </w:r>
      <w:r w:rsidRPr="008B63C2">
        <w:t>for use in patients with symptomatic aortic stenosis (aortic valve area &lt;0.8cm</w:t>
      </w:r>
      <w:r w:rsidRPr="00455C03">
        <w:rPr>
          <w:vertAlign w:val="superscript"/>
        </w:rPr>
        <w:t>2</w:t>
      </w:r>
      <w:r w:rsidRPr="008B63C2">
        <w:t xml:space="preserve">) requiring aortic valve replacement who have high risk for operative mortality, or are "non-operable", as determined by an objectively predicted operative mortality of at least 10% according to STS or an equivalent validated scoring system. </w:t>
      </w:r>
      <w:r>
        <w:t>D</w:t>
      </w:r>
      <w:r w:rsidRPr="008B63C2">
        <w:t>ecision for use should be reviewed by three independent medical specialists, including one cardiologist and one cardiothoracic surgeon.</w:t>
      </w:r>
    </w:p>
    <w:p w14:paraId="241072FB" w14:textId="77777777" w:rsidR="00917EAD" w:rsidRDefault="00917EAD" w:rsidP="00917EAD"/>
    <w:p w14:paraId="1A68EAD5" w14:textId="2617BC76" w:rsidR="00F9695B" w:rsidRDefault="00917EAD" w:rsidP="00917EAD">
      <w:r>
        <w:t>The ARTG listing for some devices also states that i</w:t>
      </w:r>
      <w:r w:rsidRPr="008B63C2">
        <w:t>mplantation is intended to be performed via transfemoral access without cardiopulmonary bypass.</w:t>
      </w:r>
    </w:p>
    <w:p w14:paraId="4605A427" w14:textId="77777777" w:rsidR="00074392" w:rsidRPr="00074392" w:rsidRDefault="00074392" w:rsidP="00A46563">
      <w:pPr>
        <w:tabs>
          <w:tab w:val="left" w:pos="720"/>
        </w:tabs>
        <w:rPr>
          <w:szCs w:val="24"/>
        </w:rPr>
      </w:pPr>
    </w:p>
    <w:p w14:paraId="61773D8A" w14:textId="77777777" w:rsidR="00BC1364" w:rsidRPr="007B32D1" w:rsidRDefault="00BC1364" w:rsidP="007B32D1">
      <w:pPr>
        <w:pStyle w:val="Heading1"/>
        <w:numPr>
          <w:ilvl w:val="0"/>
          <w:numId w:val="23"/>
        </w:numPr>
        <w:ind w:hanging="720"/>
      </w:pPr>
      <w:r w:rsidRPr="007B32D1">
        <w:t>Proposal for public funding</w:t>
      </w:r>
    </w:p>
    <w:p w14:paraId="3680BB03" w14:textId="77777777" w:rsidR="00BC1364" w:rsidRDefault="00BC1364" w:rsidP="00AB3BFC">
      <w:pPr>
        <w:tabs>
          <w:tab w:val="left" w:pos="720"/>
          <w:tab w:val="left" w:pos="1140"/>
        </w:tabs>
        <w:rPr>
          <w:sz w:val="23"/>
          <w:szCs w:val="23"/>
        </w:rPr>
      </w:pPr>
    </w:p>
    <w:p w14:paraId="039340CE" w14:textId="77777777" w:rsidR="00F9695B" w:rsidRDefault="00F9695B" w:rsidP="00F9695B">
      <w:r w:rsidRPr="008B63C2">
        <w:t xml:space="preserve">It </w:t>
      </w:r>
      <w:r w:rsidR="00074392">
        <w:t>wa</w:t>
      </w:r>
      <w:r w:rsidRPr="008B63C2">
        <w:t>s proposed that TAVI be used in patients with symptomatic aortic stenosis (aortic valve area</w:t>
      </w:r>
      <w:r w:rsidR="00074392">
        <w:t xml:space="preserve"> </w:t>
      </w:r>
      <w:r w:rsidRPr="008B63C2">
        <w:t>&lt;</w:t>
      </w:r>
      <w:r w:rsidR="00074392">
        <w:t> </w:t>
      </w:r>
      <w:r w:rsidRPr="008B63C2">
        <w:t>1.0</w:t>
      </w:r>
      <w:r w:rsidR="00074392">
        <w:t> </w:t>
      </w:r>
      <w:r w:rsidRPr="008B63C2">
        <w:t>cm</w:t>
      </w:r>
      <w:r w:rsidRPr="008B63C2">
        <w:rPr>
          <w:vertAlign w:val="superscript"/>
        </w:rPr>
        <w:t>2</w:t>
      </w:r>
      <w:r w:rsidRPr="008B63C2">
        <w:t>) and who have been assessed by specialist medical team to have high risk for operative mortality, or are ‘non-operable’.</w:t>
      </w:r>
    </w:p>
    <w:p w14:paraId="342033A3" w14:textId="77777777" w:rsidR="00F9695B" w:rsidRPr="008B63C2" w:rsidRDefault="00F9695B" w:rsidP="00F26C06">
      <w:pPr>
        <w:pStyle w:val="Tabletextboldleft"/>
      </w:pPr>
      <w:r w:rsidRPr="008B63C2">
        <w:t>Proposed MBS item descriptor</w:t>
      </w:r>
      <w:r w:rsidR="00074392">
        <w:t>s</w:t>
      </w:r>
    </w:p>
    <w:tbl>
      <w:tblPr>
        <w:tblStyle w:val="Summarybox2"/>
        <w:tblW w:w="4918" w:type="pct"/>
        <w:tblLook w:val="04A0" w:firstRow="1" w:lastRow="0" w:firstColumn="1" w:lastColumn="0" w:noHBand="0" w:noVBand="1"/>
        <w:tblCaption w:val="Proposed MBS item descriptors"/>
        <w:tblDescription w:val="Proposed MBS item descriptors"/>
      </w:tblPr>
      <w:tblGrid>
        <w:gridCol w:w="9090"/>
      </w:tblGrid>
      <w:tr w:rsidR="00F9695B" w:rsidRPr="008B63C2" w14:paraId="3C3BACFD" w14:textId="77777777" w:rsidTr="00F26C06">
        <w:trPr>
          <w:tblHeader/>
        </w:trPr>
        <w:tc>
          <w:tcPr>
            <w:tcW w:w="5000" w:type="pct"/>
          </w:tcPr>
          <w:p w14:paraId="5269B46D" w14:textId="77777777" w:rsidR="00F9695B" w:rsidRPr="008B63C2" w:rsidRDefault="00F9695B" w:rsidP="00F9695B">
            <w:pPr>
              <w:keepNext/>
              <w:tabs>
                <w:tab w:val="left" w:pos="864"/>
                <w:tab w:val="right" w:pos="8874"/>
              </w:tabs>
            </w:pPr>
            <w:r w:rsidRPr="008B63C2">
              <w:rPr>
                <w:sz w:val="20"/>
              </w:rPr>
              <w:tab/>
            </w:r>
            <w:r w:rsidRPr="008B63C2">
              <w:rPr>
                <w:sz w:val="20"/>
              </w:rPr>
              <w:tab/>
              <w:t>Category 3 – Therapeutic Procedures</w:t>
            </w:r>
          </w:p>
        </w:tc>
      </w:tr>
      <w:tr w:rsidR="00F9695B" w:rsidRPr="008B63C2" w14:paraId="76844345" w14:textId="77777777" w:rsidTr="00F26C06">
        <w:trPr>
          <w:tblHeader/>
        </w:trPr>
        <w:tc>
          <w:tcPr>
            <w:tcW w:w="5000" w:type="pct"/>
          </w:tcPr>
          <w:p w14:paraId="58683542" w14:textId="77777777" w:rsidR="00F9695B" w:rsidRPr="008B63C2" w:rsidRDefault="00F9695B" w:rsidP="00F9695B">
            <w:pPr>
              <w:rPr>
                <w:snapToGrid w:val="0"/>
                <w:sz w:val="20"/>
              </w:rPr>
            </w:pPr>
            <w:r w:rsidRPr="008B63C2">
              <w:rPr>
                <w:snapToGrid w:val="0"/>
                <w:sz w:val="20"/>
              </w:rPr>
              <w:t xml:space="preserve">MBS XX </w:t>
            </w:r>
          </w:p>
          <w:p w14:paraId="30D00C87" w14:textId="77777777" w:rsidR="00F9695B" w:rsidRPr="008B63C2" w:rsidRDefault="00F9695B" w:rsidP="00F9695B">
            <w:pPr>
              <w:rPr>
                <w:snapToGrid w:val="0"/>
                <w:sz w:val="20"/>
              </w:rPr>
            </w:pPr>
            <w:r w:rsidRPr="008B63C2">
              <w:rPr>
                <w:snapToGrid w:val="0"/>
                <w:sz w:val="20"/>
              </w:rPr>
              <w:t xml:space="preserve">Transcatheter aortic valve replacement for the treatment of symptomatic severe aortic stenosis in a suitable patient formally assessed by a heart MDT to have an unacceptably high risk for surgical aortic valve replacement. </w:t>
            </w:r>
          </w:p>
          <w:p w14:paraId="387D71EF" w14:textId="77777777" w:rsidR="00F9695B" w:rsidRPr="008B63C2" w:rsidRDefault="00770121" w:rsidP="00F9695B">
            <w:pPr>
              <w:rPr>
                <w:snapToGrid w:val="0"/>
                <w:sz w:val="20"/>
              </w:rPr>
            </w:pPr>
            <w:r>
              <w:rPr>
                <w:snapToGrid w:val="0"/>
                <w:sz w:val="20"/>
              </w:rPr>
              <w:t>(Anaes.) (Assist.)</w:t>
            </w:r>
          </w:p>
          <w:p w14:paraId="3F889DF7" w14:textId="77777777" w:rsidR="00F9695B" w:rsidRPr="008B63C2" w:rsidRDefault="00770121" w:rsidP="00F9695B">
            <w:pPr>
              <w:rPr>
                <w:snapToGrid w:val="0"/>
                <w:sz w:val="20"/>
              </w:rPr>
            </w:pPr>
            <w:r>
              <w:rPr>
                <w:snapToGrid w:val="0"/>
                <w:sz w:val="20"/>
              </w:rPr>
              <w:t>(i) Percutaneous approach</w:t>
            </w:r>
          </w:p>
          <w:p w14:paraId="7720D2C9" w14:textId="77777777" w:rsidR="00F9695B" w:rsidRPr="008B63C2" w:rsidRDefault="00F9695B" w:rsidP="00F9695B">
            <w:pPr>
              <w:rPr>
                <w:snapToGrid w:val="0"/>
                <w:sz w:val="20"/>
              </w:rPr>
            </w:pPr>
          </w:p>
          <w:p w14:paraId="414362DA" w14:textId="77777777" w:rsidR="00F9695B" w:rsidRPr="008B63C2" w:rsidRDefault="00F9695B" w:rsidP="00F9695B">
            <w:pPr>
              <w:rPr>
                <w:snapToGrid w:val="0"/>
                <w:sz w:val="20"/>
              </w:rPr>
            </w:pPr>
            <w:r w:rsidRPr="008B63C2">
              <w:rPr>
                <w:snapToGrid w:val="0"/>
                <w:sz w:val="20"/>
              </w:rPr>
              <w:t xml:space="preserve">Explanatory notes </w:t>
            </w:r>
          </w:p>
          <w:p w14:paraId="51342C85" w14:textId="33555013" w:rsidR="00F9695B" w:rsidRPr="008B63C2" w:rsidRDefault="00F9695B" w:rsidP="00F9695B">
            <w:pPr>
              <w:rPr>
                <w:snapToGrid w:val="0"/>
                <w:sz w:val="20"/>
              </w:rPr>
            </w:pPr>
            <w:r w:rsidRPr="008B63C2">
              <w:rPr>
                <w:snapToGrid w:val="0"/>
                <w:sz w:val="20"/>
              </w:rPr>
              <w:t>A multidisciplinary ‘heart</w:t>
            </w:r>
            <w:r w:rsidR="001F516C">
              <w:rPr>
                <w:snapToGrid w:val="0"/>
                <w:sz w:val="20"/>
              </w:rPr>
              <w:t xml:space="preserve"> team</w:t>
            </w:r>
            <w:r w:rsidR="004746B0">
              <w:rPr>
                <w:snapToGrid w:val="0"/>
                <w:sz w:val="20"/>
              </w:rPr>
              <w:t>’</w:t>
            </w:r>
            <w:r w:rsidRPr="008B63C2">
              <w:rPr>
                <w:snapToGrid w:val="0"/>
                <w:sz w:val="20"/>
              </w:rPr>
              <w:t xml:space="preserve"> is required to formally document approval regarding the patient’s suitability for treatment. The core personnel of th</w:t>
            </w:r>
            <w:r w:rsidR="00770121">
              <w:rPr>
                <w:snapToGrid w:val="0"/>
                <w:sz w:val="20"/>
              </w:rPr>
              <w:t xml:space="preserve">e heart team should include an </w:t>
            </w:r>
            <w:r w:rsidRPr="008B63C2">
              <w:rPr>
                <w:snapToGrid w:val="0"/>
                <w:sz w:val="20"/>
              </w:rPr>
              <w:t>interventional cardiologist, a cardiothoracic surgeon and a TAVI nurse / case manager. The multi-disciplinary extended team could additionally include: a general cardiologist, a cardiac anaesthetist, an imaging cardiologist / radiologist, an intensive care physician, a geriatrician or general physici</w:t>
            </w:r>
            <w:r w:rsidR="00882BC7">
              <w:rPr>
                <w:snapToGrid w:val="0"/>
                <w:sz w:val="20"/>
              </w:rPr>
              <w:t>an and a vascular surgeon.</w:t>
            </w:r>
          </w:p>
          <w:p w14:paraId="599CD6A9" w14:textId="77777777" w:rsidR="00F9695B" w:rsidRPr="008B63C2" w:rsidRDefault="00F9695B" w:rsidP="00F9695B">
            <w:pPr>
              <w:rPr>
                <w:snapToGrid w:val="0"/>
                <w:sz w:val="20"/>
              </w:rPr>
            </w:pPr>
          </w:p>
          <w:p w14:paraId="00AB9573" w14:textId="77777777" w:rsidR="00F9695B" w:rsidRDefault="00F9695B" w:rsidP="004746B0">
            <w:pPr>
              <w:rPr>
                <w:snapToGrid w:val="0"/>
                <w:sz w:val="20"/>
              </w:rPr>
            </w:pPr>
            <w:r w:rsidRPr="008B63C2">
              <w:rPr>
                <w:snapToGrid w:val="0"/>
                <w:sz w:val="20"/>
              </w:rPr>
              <w:t>In most cases, this item is claimable once per lifetime. In a small subset of patients where a repeat procedure is indicated; formal documentation of reassessment and consensus approval by the heart team is required</w:t>
            </w:r>
            <w:r w:rsidR="00F740F5">
              <w:rPr>
                <w:snapToGrid w:val="0"/>
                <w:sz w:val="20"/>
              </w:rPr>
              <w:t>.</w:t>
            </w:r>
          </w:p>
          <w:p w14:paraId="70E40442" w14:textId="77777777" w:rsidR="00917EAD" w:rsidRPr="008B63C2" w:rsidRDefault="00917EAD" w:rsidP="004746B0">
            <w:pPr>
              <w:rPr>
                <w:snapToGrid w:val="0"/>
                <w:sz w:val="20"/>
              </w:rPr>
            </w:pPr>
          </w:p>
        </w:tc>
      </w:tr>
      <w:tr w:rsidR="00F9695B" w:rsidRPr="008B63C2" w14:paraId="49685BCC" w14:textId="77777777" w:rsidTr="00F26C06">
        <w:trPr>
          <w:tblHeader/>
        </w:trPr>
        <w:tc>
          <w:tcPr>
            <w:tcW w:w="5000" w:type="pct"/>
          </w:tcPr>
          <w:p w14:paraId="1D241BB2" w14:textId="0D473AE8" w:rsidR="00F9695B" w:rsidRPr="00917EAD" w:rsidRDefault="00F9695B" w:rsidP="00F9695B">
            <w:pPr>
              <w:rPr>
                <w:sz w:val="20"/>
              </w:rPr>
            </w:pPr>
            <w:r w:rsidRPr="008B63C2">
              <w:rPr>
                <w:sz w:val="20"/>
              </w:rPr>
              <w:t>Fee: $1,909.60</w:t>
            </w:r>
          </w:p>
          <w:p w14:paraId="1A6C5793" w14:textId="77777777" w:rsidR="00917EAD" w:rsidRPr="008B63C2" w:rsidRDefault="00917EAD" w:rsidP="00F9695B"/>
        </w:tc>
      </w:tr>
      <w:tr w:rsidR="00F9695B" w:rsidRPr="008B63C2" w14:paraId="7FC0C4E5" w14:textId="77777777" w:rsidTr="00F26C06">
        <w:trPr>
          <w:tblHeader/>
        </w:trPr>
        <w:tc>
          <w:tcPr>
            <w:tcW w:w="5000" w:type="pct"/>
          </w:tcPr>
          <w:p w14:paraId="43968032" w14:textId="77777777" w:rsidR="00F9695B" w:rsidRPr="008B63C2" w:rsidRDefault="00F9695B" w:rsidP="00F9695B">
            <w:pPr>
              <w:jc w:val="right"/>
              <w:rPr>
                <w:sz w:val="20"/>
              </w:rPr>
            </w:pPr>
            <w:r w:rsidRPr="008B63C2">
              <w:rPr>
                <w:sz w:val="20"/>
              </w:rPr>
              <w:lastRenderedPageBreak/>
              <w:t>Category 3 – Therapeutic Procedures</w:t>
            </w:r>
          </w:p>
        </w:tc>
      </w:tr>
      <w:tr w:rsidR="00F9695B" w:rsidRPr="008B63C2" w14:paraId="5394137A" w14:textId="77777777" w:rsidTr="00F26C06">
        <w:trPr>
          <w:tblHeader/>
        </w:trPr>
        <w:tc>
          <w:tcPr>
            <w:tcW w:w="5000" w:type="pct"/>
          </w:tcPr>
          <w:p w14:paraId="214E7104" w14:textId="77777777" w:rsidR="00F9695B" w:rsidRPr="008B63C2" w:rsidRDefault="00F9695B" w:rsidP="00F9695B">
            <w:pPr>
              <w:rPr>
                <w:sz w:val="20"/>
              </w:rPr>
            </w:pPr>
            <w:r w:rsidRPr="008B63C2">
              <w:rPr>
                <w:sz w:val="20"/>
              </w:rPr>
              <w:t xml:space="preserve">MBS XX </w:t>
            </w:r>
          </w:p>
          <w:p w14:paraId="5952689D" w14:textId="77777777" w:rsidR="00F9695B" w:rsidRPr="008B63C2" w:rsidRDefault="00F9695B" w:rsidP="00F9695B">
            <w:pPr>
              <w:rPr>
                <w:sz w:val="20"/>
              </w:rPr>
            </w:pPr>
            <w:r w:rsidRPr="008B63C2">
              <w:rPr>
                <w:sz w:val="20"/>
              </w:rPr>
              <w:t>Transcatheter aortic valve replacement for the treatment of symptomatic severe aortic stenosis in a suitable patient formally assessed by a heart MDT to have an unacceptably high risk for surgical aortic valve replacement.</w:t>
            </w:r>
          </w:p>
          <w:p w14:paraId="498437C9" w14:textId="77777777" w:rsidR="00F9695B" w:rsidRPr="008B63C2" w:rsidRDefault="00770121" w:rsidP="00F9695B">
            <w:pPr>
              <w:rPr>
                <w:sz w:val="20"/>
              </w:rPr>
            </w:pPr>
            <w:r>
              <w:rPr>
                <w:sz w:val="20"/>
              </w:rPr>
              <w:t>(Anaes.) (Assist.)</w:t>
            </w:r>
          </w:p>
          <w:p w14:paraId="705CF14F" w14:textId="77777777" w:rsidR="00F9695B" w:rsidRPr="008B63C2" w:rsidRDefault="00F9695B" w:rsidP="00F9695B">
            <w:pPr>
              <w:rPr>
                <w:sz w:val="20"/>
              </w:rPr>
            </w:pPr>
            <w:r w:rsidRPr="008B63C2">
              <w:rPr>
                <w:sz w:val="20"/>
              </w:rPr>
              <w:t>(i) Minimally invasive surgical approach</w:t>
            </w:r>
          </w:p>
          <w:p w14:paraId="38A254FE" w14:textId="77777777" w:rsidR="00F9695B" w:rsidRPr="008B63C2" w:rsidRDefault="00F9695B" w:rsidP="00F9695B">
            <w:pPr>
              <w:rPr>
                <w:sz w:val="20"/>
              </w:rPr>
            </w:pPr>
          </w:p>
          <w:p w14:paraId="46A36053" w14:textId="77777777" w:rsidR="00F9695B" w:rsidRPr="008B63C2" w:rsidRDefault="00F9695B" w:rsidP="00F9695B">
            <w:pPr>
              <w:rPr>
                <w:sz w:val="20"/>
              </w:rPr>
            </w:pPr>
            <w:r w:rsidRPr="008B63C2">
              <w:rPr>
                <w:sz w:val="20"/>
              </w:rPr>
              <w:t xml:space="preserve">Explanatory notes </w:t>
            </w:r>
          </w:p>
          <w:p w14:paraId="04B33802" w14:textId="6AEDB3E7" w:rsidR="00F9695B" w:rsidRPr="008B63C2" w:rsidRDefault="00F9695B" w:rsidP="00F9695B">
            <w:pPr>
              <w:rPr>
                <w:sz w:val="20"/>
              </w:rPr>
            </w:pPr>
            <w:r w:rsidRPr="008B63C2">
              <w:rPr>
                <w:sz w:val="20"/>
              </w:rPr>
              <w:t>A multidisciplinary ‘heart</w:t>
            </w:r>
            <w:r w:rsidR="001F516C">
              <w:rPr>
                <w:sz w:val="20"/>
              </w:rPr>
              <w:t xml:space="preserve"> team</w:t>
            </w:r>
            <w:r w:rsidR="004746B0">
              <w:rPr>
                <w:sz w:val="20"/>
              </w:rPr>
              <w:t>’</w:t>
            </w:r>
            <w:r w:rsidRPr="008B63C2">
              <w:rPr>
                <w:sz w:val="20"/>
              </w:rPr>
              <w:t xml:space="preserve"> is required to formally document approval regarding the patient’s suitability for treatment. The core personnel of the heart team should include an interventional cardiologist, a cardiothoracic surgeon and a TAVI nurse / case manager. The multi-disciplinary extended team could additionally include: a general cardiologist, a cardiac anaesthetist, an imaging cardiologist / radiologist, an intensive care physician, a geriatrician or general physician and a vascular surgeon.</w:t>
            </w:r>
          </w:p>
          <w:p w14:paraId="6A784EC2" w14:textId="77777777" w:rsidR="00F9695B" w:rsidRPr="008B63C2" w:rsidRDefault="00F9695B" w:rsidP="00F9695B">
            <w:pPr>
              <w:rPr>
                <w:sz w:val="20"/>
              </w:rPr>
            </w:pPr>
          </w:p>
          <w:p w14:paraId="247264DC" w14:textId="77777777" w:rsidR="00F9695B" w:rsidRPr="008B63C2" w:rsidRDefault="00F9695B" w:rsidP="004746B0">
            <w:pPr>
              <w:rPr>
                <w:sz w:val="20"/>
              </w:rPr>
            </w:pPr>
            <w:r w:rsidRPr="008B63C2">
              <w:rPr>
                <w:sz w:val="20"/>
              </w:rPr>
              <w:t>In most cases, this item i</w:t>
            </w:r>
            <w:r w:rsidR="006956EC">
              <w:rPr>
                <w:sz w:val="20"/>
              </w:rPr>
              <w:t xml:space="preserve">s claimable once per lifetime. </w:t>
            </w:r>
            <w:r w:rsidRPr="008B63C2">
              <w:rPr>
                <w:sz w:val="20"/>
              </w:rPr>
              <w:t>In a small subset of patients where a repeat procedure is indicated; formal documentation of reassessment and consensus approval by the heart team is required</w:t>
            </w:r>
            <w:r w:rsidR="00F740F5">
              <w:rPr>
                <w:sz w:val="20"/>
              </w:rPr>
              <w:t>.</w:t>
            </w:r>
          </w:p>
        </w:tc>
      </w:tr>
      <w:tr w:rsidR="00F9695B" w:rsidRPr="008B63C2" w14:paraId="35673CA9" w14:textId="77777777" w:rsidTr="00F26C06">
        <w:trPr>
          <w:tblHeader/>
        </w:trPr>
        <w:tc>
          <w:tcPr>
            <w:tcW w:w="5000" w:type="pct"/>
          </w:tcPr>
          <w:p w14:paraId="72BC1B10" w14:textId="77777777" w:rsidR="00F9695B" w:rsidRPr="008B63C2" w:rsidRDefault="00F9695B" w:rsidP="00F9695B">
            <w:pPr>
              <w:rPr>
                <w:sz w:val="20"/>
              </w:rPr>
            </w:pPr>
            <w:r w:rsidRPr="008B63C2">
              <w:rPr>
                <w:sz w:val="20"/>
              </w:rPr>
              <w:t>Fee: $1,909.60</w:t>
            </w:r>
          </w:p>
        </w:tc>
      </w:tr>
    </w:tbl>
    <w:p w14:paraId="548EDF02" w14:textId="77777777" w:rsidR="00F9695B" w:rsidRPr="008B63C2" w:rsidRDefault="00F9695B" w:rsidP="00F9695B">
      <w:pPr>
        <w:keepNext/>
        <w:keepLines/>
        <w:rPr>
          <w:sz w:val="18"/>
          <w:szCs w:val="18"/>
        </w:rPr>
      </w:pPr>
      <w:r w:rsidRPr="008B63C2">
        <w:rPr>
          <w:sz w:val="18"/>
          <w:szCs w:val="18"/>
        </w:rPr>
        <w:t>Source: Table 7, p</w:t>
      </w:r>
      <w:r w:rsidR="004746B0">
        <w:rPr>
          <w:sz w:val="18"/>
          <w:szCs w:val="18"/>
        </w:rPr>
        <w:t>30</w:t>
      </w:r>
      <w:r w:rsidRPr="008B63C2">
        <w:rPr>
          <w:sz w:val="18"/>
          <w:szCs w:val="18"/>
        </w:rPr>
        <w:t xml:space="preserve"> of the </w:t>
      </w:r>
      <w:r w:rsidR="004746B0">
        <w:rPr>
          <w:sz w:val="18"/>
          <w:szCs w:val="18"/>
        </w:rPr>
        <w:t xml:space="preserve">submission-based </w:t>
      </w:r>
      <w:r w:rsidRPr="008B63C2">
        <w:rPr>
          <w:sz w:val="18"/>
          <w:szCs w:val="18"/>
        </w:rPr>
        <w:t>assessment, MDT=multidisciplinary team</w:t>
      </w:r>
    </w:p>
    <w:p w14:paraId="080E31BD" w14:textId="77777777" w:rsidR="00074392" w:rsidRPr="00074392" w:rsidRDefault="00074392" w:rsidP="00074392">
      <w:pPr>
        <w:tabs>
          <w:tab w:val="left" w:pos="720"/>
        </w:tabs>
        <w:ind w:left="709" w:hanging="709"/>
        <w:rPr>
          <w:szCs w:val="24"/>
        </w:rPr>
      </w:pPr>
    </w:p>
    <w:p w14:paraId="2396C341" w14:textId="3C1B9E4D" w:rsidR="00F9695B" w:rsidRDefault="005C736D" w:rsidP="00F9695B">
      <w:pPr>
        <w:tabs>
          <w:tab w:val="left" w:pos="720"/>
          <w:tab w:val="left" w:pos="1140"/>
        </w:tabs>
        <w:rPr>
          <w:szCs w:val="24"/>
        </w:rPr>
      </w:pPr>
      <w:r>
        <w:rPr>
          <w:szCs w:val="24"/>
        </w:rPr>
        <w:t>It was noted that</w:t>
      </w:r>
      <w:r w:rsidR="00F9695B" w:rsidRPr="00070DB9">
        <w:rPr>
          <w:szCs w:val="24"/>
        </w:rPr>
        <w:t xml:space="preserve"> the cut-point for the aortic valve area in the proposed descriptor differs from the approved TGA use and the inclusion criterion for TAVI clinical trials, but that the nominated cut-point reflects that change in international guidelines for </w:t>
      </w:r>
      <w:r w:rsidR="00074392">
        <w:rPr>
          <w:szCs w:val="24"/>
        </w:rPr>
        <w:t>management of aortic stenosis.</w:t>
      </w:r>
    </w:p>
    <w:p w14:paraId="69CD52CD" w14:textId="77777777" w:rsidR="00074392" w:rsidRPr="00070DB9" w:rsidRDefault="00074392" w:rsidP="00F9695B">
      <w:pPr>
        <w:tabs>
          <w:tab w:val="left" w:pos="720"/>
          <w:tab w:val="left" w:pos="1140"/>
        </w:tabs>
        <w:rPr>
          <w:szCs w:val="24"/>
        </w:rPr>
      </w:pPr>
    </w:p>
    <w:p w14:paraId="04EE798A" w14:textId="77777777" w:rsidR="00F9695B" w:rsidRPr="008B63C2" w:rsidRDefault="00F9695B" w:rsidP="00F9695B">
      <w:pPr>
        <w:jc w:val="both"/>
        <w:rPr>
          <w:lang w:eastAsia="ja-JP"/>
        </w:rPr>
      </w:pPr>
      <w:r w:rsidRPr="008B63C2">
        <w:rPr>
          <w:lang w:eastAsia="ja-JP"/>
        </w:rPr>
        <w:t>TAVI should be undertaken with a multidisciplinary ‘heart team’, including an:</w:t>
      </w:r>
    </w:p>
    <w:p w14:paraId="4BB9484C" w14:textId="77777777" w:rsidR="00F9695B" w:rsidRPr="008B63C2" w:rsidRDefault="00074392" w:rsidP="00455C03">
      <w:pPr>
        <w:widowControl w:val="0"/>
        <w:numPr>
          <w:ilvl w:val="0"/>
          <w:numId w:val="36"/>
        </w:numPr>
        <w:ind w:left="374"/>
        <w:rPr>
          <w:lang w:eastAsia="ja-JP"/>
        </w:rPr>
      </w:pPr>
      <w:r w:rsidRPr="008B63C2">
        <w:t>i</w:t>
      </w:r>
      <w:r w:rsidR="00F9695B" w:rsidRPr="008B63C2">
        <w:t>nterventional</w:t>
      </w:r>
      <w:r w:rsidR="00F9695B" w:rsidRPr="008B63C2">
        <w:rPr>
          <w:lang w:eastAsia="ja-JP"/>
        </w:rPr>
        <w:t xml:space="preserve"> cardiologist;</w:t>
      </w:r>
    </w:p>
    <w:p w14:paraId="1E17690C" w14:textId="77777777" w:rsidR="00F9695B" w:rsidRPr="008B63C2" w:rsidRDefault="00074392" w:rsidP="00455C03">
      <w:pPr>
        <w:widowControl w:val="0"/>
        <w:numPr>
          <w:ilvl w:val="0"/>
          <w:numId w:val="36"/>
        </w:numPr>
        <w:ind w:left="374"/>
        <w:rPr>
          <w:lang w:eastAsia="ja-JP"/>
        </w:rPr>
      </w:pPr>
      <w:r w:rsidRPr="008B63C2">
        <w:t>c</w:t>
      </w:r>
      <w:r w:rsidR="00F9695B" w:rsidRPr="008B63C2">
        <w:t>ardiothoracic</w:t>
      </w:r>
      <w:r w:rsidR="00F9695B" w:rsidRPr="008B63C2">
        <w:rPr>
          <w:lang w:eastAsia="ja-JP"/>
        </w:rPr>
        <w:t xml:space="preserve"> surgeo</w:t>
      </w:r>
      <w:r>
        <w:rPr>
          <w:lang w:eastAsia="ja-JP"/>
        </w:rPr>
        <w:t>n; and</w:t>
      </w:r>
    </w:p>
    <w:p w14:paraId="0325B83F" w14:textId="77777777" w:rsidR="00F9695B" w:rsidRPr="008B63C2" w:rsidRDefault="00F9695B" w:rsidP="00455C03">
      <w:pPr>
        <w:widowControl w:val="0"/>
        <w:numPr>
          <w:ilvl w:val="0"/>
          <w:numId w:val="36"/>
        </w:numPr>
        <w:ind w:left="374"/>
        <w:rPr>
          <w:lang w:eastAsia="ja-JP"/>
        </w:rPr>
      </w:pPr>
      <w:r w:rsidRPr="008B63C2">
        <w:t>TAVI</w:t>
      </w:r>
      <w:r w:rsidRPr="008B63C2">
        <w:rPr>
          <w:lang w:eastAsia="ja-JP"/>
        </w:rPr>
        <w:t xml:space="preserve"> nurse case manager/co-ordinator.</w:t>
      </w:r>
    </w:p>
    <w:p w14:paraId="0A94D3B5" w14:textId="77777777" w:rsidR="006E5C6B" w:rsidRDefault="006E5C6B" w:rsidP="00F9695B">
      <w:pPr>
        <w:jc w:val="both"/>
        <w:rPr>
          <w:lang w:eastAsia="ja-JP"/>
        </w:rPr>
      </w:pPr>
    </w:p>
    <w:p w14:paraId="5919F5EB" w14:textId="77777777" w:rsidR="00F9695B" w:rsidRPr="008B63C2" w:rsidRDefault="00F9695B" w:rsidP="006E5C6B">
      <w:pPr>
        <w:rPr>
          <w:lang w:eastAsia="ja-JP"/>
        </w:rPr>
      </w:pPr>
      <w:r w:rsidRPr="008B63C2">
        <w:rPr>
          <w:lang w:eastAsia="ja-JP"/>
        </w:rPr>
        <w:t>The multidisciplinary team may also include: a general cardiologist, a cardiac anaesthetist, an imaging cardiologist/radiologist, an intensive care physician, a geriatrician or general physician and a vascular surgeon.</w:t>
      </w:r>
    </w:p>
    <w:p w14:paraId="53FC1895" w14:textId="77777777" w:rsidR="00F9695B" w:rsidRPr="00074392" w:rsidRDefault="00F9695B" w:rsidP="006E5C6B">
      <w:pPr>
        <w:rPr>
          <w:lang w:eastAsia="ja-JP"/>
        </w:rPr>
      </w:pPr>
    </w:p>
    <w:p w14:paraId="0947DF4E" w14:textId="77777777" w:rsidR="00F9695B" w:rsidRPr="008B63C2" w:rsidRDefault="00F9695B" w:rsidP="006E5C6B">
      <w:pPr>
        <w:rPr>
          <w:b/>
          <w:lang w:eastAsia="ja-JP"/>
        </w:rPr>
      </w:pPr>
      <w:r w:rsidRPr="008B63C2">
        <w:rPr>
          <w:b/>
          <w:lang w:eastAsia="ja-JP"/>
        </w:rPr>
        <w:t>Requirements for the interventional cardiologist</w:t>
      </w:r>
    </w:p>
    <w:p w14:paraId="254E5847" w14:textId="0A8A712B" w:rsidR="00F9695B" w:rsidRPr="008B63C2" w:rsidRDefault="00F9695B" w:rsidP="006E5C6B">
      <w:pPr>
        <w:rPr>
          <w:lang w:eastAsia="ja-JP"/>
        </w:rPr>
      </w:pPr>
      <w:r w:rsidRPr="008B63C2">
        <w:rPr>
          <w:lang w:eastAsia="ja-JP"/>
        </w:rPr>
        <w:t>The interventional cardiologist should be trained in accordance with the Cardiac Society of Australia and New Zealand (CSANZ) guidelines. The current generation of devices requires two operators (primary and secondary) and the recommendations should apply to both. A background in structural intervention is considered an important prerequis</w:t>
      </w:r>
      <w:r w:rsidR="00074392">
        <w:rPr>
          <w:lang w:eastAsia="ja-JP"/>
        </w:rPr>
        <w:t>ite for competency in TAVI.</w:t>
      </w:r>
    </w:p>
    <w:p w14:paraId="499D6453" w14:textId="77777777" w:rsidR="00F9695B" w:rsidRPr="00074392" w:rsidRDefault="00F9695B" w:rsidP="00F9695B">
      <w:pPr>
        <w:jc w:val="both"/>
        <w:rPr>
          <w:lang w:eastAsia="ja-JP"/>
        </w:rPr>
      </w:pPr>
    </w:p>
    <w:p w14:paraId="361E9766" w14:textId="77777777" w:rsidR="00F9695B" w:rsidRPr="008B63C2" w:rsidRDefault="00F9695B" w:rsidP="00F9695B">
      <w:pPr>
        <w:jc w:val="both"/>
        <w:rPr>
          <w:b/>
          <w:lang w:eastAsia="ja-JP"/>
        </w:rPr>
      </w:pPr>
      <w:r w:rsidRPr="008B63C2">
        <w:rPr>
          <w:b/>
          <w:lang w:eastAsia="ja-JP"/>
        </w:rPr>
        <w:t>Requirements for the cardiac surgeon</w:t>
      </w:r>
    </w:p>
    <w:p w14:paraId="4EA2F653" w14:textId="77777777" w:rsidR="00F9695B" w:rsidRPr="008B63C2" w:rsidRDefault="00F9695B" w:rsidP="00F9695B">
      <w:pPr>
        <w:jc w:val="both"/>
        <w:rPr>
          <w:lang w:eastAsia="ja-JP"/>
        </w:rPr>
      </w:pPr>
      <w:r w:rsidRPr="008B63C2">
        <w:rPr>
          <w:lang w:eastAsia="ja-JP"/>
        </w:rPr>
        <w:t>The TAVI surgeon should be experienced in surgical aortic valve replacement (</w:t>
      </w:r>
      <w:r w:rsidR="009C19BF">
        <w:rPr>
          <w:lang w:eastAsia="ja-JP"/>
        </w:rPr>
        <w:t>S</w:t>
      </w:r>
      <w:r w:rsidRPr="008B63C2">
        <w:rPr>
          <w:lang w:eastAsia="ja-JP"/>
        </w:rPr>
        <w:t xml:space="preserve">AVR) with experience in operating on high-risk </w:t>
      </w:r>
      <w:r w:rsidR="009C19BF">
        <w:rPr>
          <w:lang w:eastAsia="ja-JP"/>
        </w:rPr>
        <w:t>S</w:t>
      </w:r>
      <w:r w:rsidRPr="008B63C2">
        <w:rPr>
          <w:lang w:eastAsia="ja-JP"/>
        </w:rPr>
        <w:t xml:space="preserve">AVR patients. The surgeon should have experience in obtaining access via transapical and less invasive </w:t>
      </w:r>
      <w:r w:rsidR="00074392">
        <w:rPr>
          <w:lang w:eastAsia="ja-JP"/>
        </w:rPr>
        <w:t>routes such as hemi-</w:t>
      </w:r>
      <w:proofErr w:type="spellStart"/>
      <w:r w:rsidR="00074392">
        <w:rPr>
          <w:lang w:eastAsia="ja-JP"/>
        </w:rPr>
        <w:t>sternotomy</w:t>
      </w:r>
      <w:proofErr w:type="spellEnd"/>
      <w:r w:rsidR="00074392">
        <w:rPr>
          <w:lang w:eastAsia="ja-JP"/>
        </w:rPr>
        <w:t>.</w:t>
      </w:r>
    </w:p>
    <w:p w14:paraId="5CD0B8EC" w14:textId="77777777" w:rsidR="00F9695B" w:rsidRPr="008B63C2" w:rsidRDefault="00F9695B" w:rsidP="00F9695B">
      <w:pPr>
        <w:rPr>
          <w:lang w:eastAsia="ja-JP"/>
        </w:rPr>
      </w:pPr>
    </w:p>
    <w:p w14:paraId="4E532FB8" w14:textId="77777777" w:rsidR="00F9695B" w:rsidRDefault="00F9695B" w:rsidP="00F9695B">
      <w:pPr>
        <w:rPr>
          <w:lang w:eastAsia="ja-JP"/>
        </w:rPr>
      </w:pPr>
      <w:r w:rsidRPr="008B63C2">
        <w:rPr>
          <w:lang w:eastAsia="ja-JP"/>
        </w:rPr>
        <w:t xml:space="preserve">The applicant advised that it provides a comprehensive and hands-on training program. The whole team including: cardiac surgeons, interventional cardiologists, anaesthetists, </w:t>
      </w:r>
      <w:proofErr w:type="spellStart"/>
      <w:r w:rsidRPr="008B63C2">
        <w:rPr>
          <w:lang w:eastAsia="ja-JP"/>
        </w:rPr>
        <w:t>echocardiographers</w:t>
      </w:r>
      <w:proofErr w:type="spellEnd"/>
      <w:r w:rsidRPr="008B63C2">
        <w:rPr>
          <w:lang w:eastAsia="ja-JP"/>
        </w:rPr>
        <w:t>, nurses and te</w:t>
      </w:r>
      <w:r w:rsidR="00074392">
        <w:rPr>
          <w:lang w:eastAsia="ja-JP"/>
        </w:rPr>
        <w:t>chnicians are trained together.</w:t>
      </w:r>
    </w:p>
    <w:p w14:paraId="685A7497" w14:textId="77777777" w:rsidR="00F9695B" w:rsidRPr="008B63C2" w:rsidRDefault="00F9695B" w:rsidP="00F9695B">
      <w:pPr>
        <w:rPr>
          <w:lang w:eastAsia="ja-JP"/>
        </w:rPr>
      </w:pPr>
    </w:p>
    <w:p w14:paraId="7137C162" w14:textId="77777777" w:rsidR="00F9695B" w:rsidRDefault="00F9695B" w:rsidP="00F9695B">
      <w:pPr>
        <w:rPr>
          <w:lang w:eastAsia="ja-JP"/>
        </w:rPr>
      </w:pPr>
      <w:r w:rsidRPr="008B63C2">
        <w:rPr>
          <w:lang w:eastAsia="ja-JP"/>
        </w:rPr>
        <w:t>Upon completion of this educational program, each participant is certified to perform TAVI (transfemoral and minimally invasive surgery) procedures successfully.</w:t>
      </w:r>
    </w:p>
    <w:p w14:paraId="1CD11416" w14:textId="519114F9" w:rsidR="00917EAD" w:rsidRDefault="00917EAD">
      <w:pPr>
        <w:rPr>
          <w:lang w:eastAsia="ja-JP"/>
        </w:rPr>
      </w:pPr>
      <w:r>
        <w:rPr>
          <w:lang w:eastAsia="ja-JP"/>
        </w:rPr>
        <w:br w:type="page"/>
      </w:r>
    </w:p>
    <w:p w14:paraId="1BFC52D5" w14:textId="77777777" w:rsidR="00BC1364" w:rsidRPr="007B32D1" w:rsidRDefault="00BC1364" w:rsidP="007B32D1">
      <w:pPr>
        <w:pStyle w:val="Heading1"/>
        <w:numPr>
          <w:ilvl w:val="0"/>
          <w:numId w:val="23"/>
        </w:numPr>
        <w:ind w:hanging="720"/>
      </w:pPr>
      <w:r w:rsidRPr="007B32D1">
        <w:lastRenderedPageBreak/>
        <w:t xml:space="preserve">Summary of </w:t>
      </w:r>
      <w:r w:rsidR="003D7F29">
        <w:t>Public Consultation</w:t>
      </w:r>
      <w:r w:rsidRPr="007B32D1">
        <w:t xml:space="preserve"> Feedback</w:t>
      </w:r>
      <w:r w:rsidR="003D7F29">
        <w:t>/Consumer Issues</w:t>
      </w:r>
    </w:p>
    <w:p w14:paraId="3A0280C2" w14:textId="77777777" w:rsidR="00BC1364" w:rsidRPr="00074392" w:rsidRDefault="00BC1364" w:rsidP="00DD2858">
      <w:pPr>
        <w:rPr>
          <w:szCs w:val="24"/>
        </w:rPr>
      </w:pPr>
    </w:p>
    <w:p w14:paraId="0D1261FB" w14:textId="77777777" w:rsidR="00F9695B" w:rsidRDefault="00F9695B" w:rsidP="00F9695B">
      <w:pPr>
        <w:tabs>
          <w:tab w:val="left" w:pos="720"/>
          <w:tab w:val="left" w:pos="1140"/>
        </w:tabs>
        <w:rPr>
          <w:szCs w:val="24"/>
        </w:rPr>
      </w:pPr>
      <w:r>
        <w:rPr>
          <w:szCs w:val="24"/>
        </w:rPr>
        <w:t>No specific consumer impact statement was provided in the assessment. However ESC noted concerns of limited access to patients in rural and remote areas, the out of pocket costs currently incurred by patients pa</w:t>
      </w:r>
      <w:r w:rsidR="00074392">
        <w:rPr>
          <w:szCs w:val="24"/>
        </w:rPr>
        <w:t>ying for the service privately.</w:t>
      </w:r>
    </w:p>
    <w:p w14:paraId="26BD5090" w14:textId="77777777" w:rsidR="00247146" w:rsidRPr="00C932CC" w:rsidRDefault="00247146" w:rsidP="00F9695B">
      <w:pPr>
        <w:tabs>
          <w:tab w:val="left" w:pos="720"/>
          <w:tab w:val="left" w:pos="1140"/>
        </w:tabs>
        <w:rPr>
          <w:szCs w:val="24"/>
        </w:rPr>
      </w:pPr>
    </w:p>
    <w:p w14:paraId="47C86533" w14:textId="77777777" w:rsidR="00BC1364" w:rsidRDefault="00BC1364" w:rsidP="007B32D1">
      <w:pPr>
        <w:pStyle w:val="Heading1"/>
        <w:numPr>
          <w:ilvl w:val="0"/>
          <w:numId w:val="23"/>
        </w:numPr>
        <w:ind w:hanging="720"/>
      </w:pPr>
      <w:r w:rsidRPr="00D90A38">
        <w:t>Proposed intervention’s place in clinical management</w:t>
      </w:r>
    </w:p>
    <w:p w14:paraId="6DDF3AE7" w14:textId="77777777" w:rsidR="00074392" w:rsidRDefault="00074392" w:rsidP="00F9695B"/>
    <w:p w14:paraId="27E3A6E8" w14:textId="77777777" w:rsidR="00F9695B" w:rsidRPr="008B63C2" w:rsidRDefault="00F9695B" w:rsidP="00F9695B">
      <w:r w:rsidRPr="008B63C2">
        <w:t>The clinical management algorithm for the intended use of TAVI is presented below.</w:t>
      </w:r>
      <w:bookmarkStart w:id="0" w:name="_Ref405245699"/>
      <w:bookmarkEnd w:id="0"/>
    </w:p>
    <w:p w14:paraId="3D6A0A38" w14:textId="1E0B7C73" w:rsidR="006E5C6B" w:rsidRDefault="00F9695B" w:rsidP="00F9695B">
      <w:r w:rsidRPr="008B63C2">
        <w:t>The clinical management algorithm is based on the European Society of Cardiology and the European Association for Cardio-Thoracic Surgery (ECS-EACTS) 2012 guidelines for the management of severe aortic stenosis and concurs with the management algorithm of the main comparator.</w:t>
      </w:r>
    </w:p>
    <w:p w14:paraId="071A5B45" w14:textId="77777777" w:rsidR="00F9695B" w:rsidRPr="00C57E7B" w:rsidRDefault="00F9695B" w:rsidP="00F26C06">
      <w:pPr>
        <w:pStyle w:val="Tabletextboldleft"/>
      </w:pPr>
      <w:r w:rsidRPr="00C57E7B">
        <w:t>Proposed clinical management pathway for patients with symptomatic severe aortic stenosis</w:t>
      </w:r>
    </w:p>
    <w:p w14:paraId="4B6CA036" w14:textId="416BB1A2" w:rsidR="00F9695B" w:rsidRPr="00D305C7" w:rsidRDefault="00F9695B" w:rsidP="00D305C7">
      <w:pPr>
        <w:keepNext/>
        <w:jc w:val="center"/>
        <w:rPr>
          <w:rFonts w:ascii="Arial" w:hAnsi="Arial" w:cs="Arial"/>
        </w:rPr>
      </w:pPr>
      <w:r w:rsidRPr="00C57E7B">
        <w:rPr>
          <w:rFonts w:ascii="Arial" w:hAnsi="Arial" w:cs="Arial"/>
          <w:noProof/>
        </w:rPr>
        <w:drawing>
          <wp:inline distT="0" distB="0" distL="0" distR="0" wp14:anchorId="6D102B5B" wp14:editId="2DEECE38">
            <wp:extent cx="4664927" cy="5133975"/>
            <wp:effectExtent l="0" t="0" r="2540" b="0"/>
            <wp:docPr id="7" name="Picture 7" title="Proposed clinical management pathway for patients with symptomatic severe aortic ste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1">
                      <a:extLst>
                        <a:ext uri="{28A0092B-C50C-407E-A947-70E740481C1C}">
                          <a14:useLocalDpi xmlns:a14="http://schemas.microsoft.com/office/drawing/2010/main" val="0"/>
                        </a:ext>
                      </a:extLst>
                    </a:blip>
                    <a:stretch>
                      <a:fillRect/>
                    </a:stretch>
                  </pic:blipFill>
                  <pic:spPr>
                    <a:xfrm>
                      <a:off x="0" y="0"/>
                      <a:ext cx="4671069" cy="5140735"/>
                    </a:xfrm>
                    <a:prstGeom prst="rect">
                      <a:avLst/>
                    </a:prstGeom>
                  </pic:spPr>
                </pic:pic>
              </a:graphicData>
            </a:graphic>
          </wp:inline>
        </w:drawing>
      </w:r>
    </w:p>
    <w:p w14:paraId="214B1847" w14:textId="77777777" w:rsidR="00F9695B" w:rsidRDefault="00F9695B" w:rsidP="00F9695B">
      <w:pPr>
        <w:rPr>
          <w:szCs w:val="24"/>
        </w:rPr>
      </w:pPr>
      <w:r w:rsidRPr="008B63C2">
        <w:rPr>
          <w:szCs w:val="24"/>
        </w:rPr>
        <w:t>Patients with symptomatic severe aortic stenosis w</w:t>
      </w:r>
      <w:r w:rsidR="00074392">
        <w:rPr>
          <w:szCs w:val="24"/>
        </w:rPr>
        <w:t>ould</w:t>
      </w:r>
      <w:r w:rsidRPr="008B63C2">
        <w:rPr>
          <w:szCs w:val="24"/>
        </w:rPr>
        <w:t xml:space="preserve"> continue to require to be assessed as suitable or not suitable for </w:t>
      </w:r>
      <w:r w:rsidR="00744308" w:rsidRPr="008B63C2">
        <w:rPr>
          <w:rFonts w:eastAsiaTheme="minorHAnsi"/>
        </w:rPr>
        <w:t>SAVR</w:t>
      </w:r>
      <w:r w:rsidRPr="008B63C2">
        <w:rPr>
          <w:szCs w:val="24"/>
        </w:rPr>
        <w:t>. Once a patient with symptomatic severe aortic stenosis is assessed as suitable for SAVR, the proposed clinical management pathway requires that they then need further assessment to determine their surgical risks. Patients not considered high risk w</w:t>
      </w:r>
      <w:r w:rsidR="00074392">
        <w:rPr>
          <w:szCs w:val="24"/>
        </w:rPr>
        <w:t>ould</w:t>
      </w:r>
      <w:r w:rsidRPr="008B63C2">
        <w:rPr>
          <w:szCs w:val="24"/>
        </w:rPr>
        <w:t xml:space="preserve"> continue along the treatment pathway to SAVR. Patient assessed as ‘high risk’ w</w:t>
      </w:r>
      <w:r w:rsidR="00074392">
        <w:rPr>
          <w:szCs w:val="24"/>
        </w:rPr>
        <w:t>ould</w:t>
      </w:r>
      <w:r w:rsidRPr="008B63C2">
        <w:rPr>
          <w:szCs w:val="24"/>
        </w:rPr>
        <w:t>, after assessment by and discussion with their clinician, be of</w:t>
      </w:r>
      <w:r w:rsidR="00074392">
        <w:rPr>
          <w:szCs w:val="24"/>
        </w:rPr>
        <w:t>fered either TAVI or SAVR.</w:t>
      </w:r>
    </w:p>
    <w:p w14:paraId="67FB46C9" w14:textId="77777777" w:rsidR="00074392" w:rsidRDefault="00F9695B" w:rsidP="00F9695B">
      <w:pPr>
        <w:rPr>
          <w:szCs w:val="24"/>
        </w:rPr>
      </w:pPr>
      <w:r w:rsidRPr="008B63C2">
        <w:rPr>
          <w:szCs w:val="24"/>
        </w:rPr>
        <w:lastRenderedPageBreak/>
        <w:t>Patients offered TAVI w</w:t>
      </w:r>
      <w:r w:rsidR="00074392">
        <w:rPr>
          <w:szCs w:val="24"/>
        </w:rPr>
        <w:t>ould</w:t>
      </w:r>
      <w:r w:rsidRPr="008B63C2">
        <w:rPr>
          <w:szCs w:val="24"/>
        </w:rPr>
        <w:t xml:space="preserve"> require further assessment to indicate whether percutaneous access can be achieved through the femoral artery</w:t>
      </w:r>
      <w:r w:rsidRPr="008B63C2">
        <w:rPr>
          <w:color w:val="548DD4" w:themeColor="text2" w:themeTint="99"/>
          <w:szCs w:val="24"/>
        </w:rPr>
        <w:t xml:space="preserve">. </w:t>
      </w:r>
      <w:r w:rsidRPr="008B63C2">
        <w:rPr>
          <w:szCs w:val="24"/>
        </w:rPr>
        <w:t>If femoral artery access is not available, patients w</w:t>
      </w:r>
      <w:r w:rsidR="00074392">
        <w:rPr>
          <w:szCs w:val="24"/>
        </w:rPr>
        <w:t>ould</w:t>
      </w:r>
      <w:r w:rsidRPr="008B63C2">
        <w:rPr>
          <w:szCs w:val="24"/>
        </w:rPr>
        <w:t xml:space="preserve"> require minimally invasive surgery for the TAVI procedure.</w:t>
      </w:r>
    </w:p>
    <w:p w14:paraId="2DD77D57" w14:textId="77777777" w:rsidR="00F9695B" w:rsidRDefault="00F9695B" w:rsidP="00F9695B">
      <w:pPr>
        <w:rPr>
          <w:szCs w:val="24"/>
        </w:rPr>
      </w:pPr>
    </w:p>
    <w:p w14:paraId="3EF030CC" w14:textId="0E811552" w:rsidR="00F9695B" w:rsidRPr="008B63C2" w:rsidRDefault="00F9695B" w:rsidP="00F9695B">
      <w:pPr>
        <w:rPr>
          <w:szCs w:val="24"/>
        </w:rPr>
      </w:pPr>
      <w:r w:rsidRPr="008B63C2">
        <w:rPr>
          <w:szCs w:val="24"/>
        </w:rPr>
        <w:t>A patient with symptomatic severe aortic stenosis asses</w:t>
      </w:r>
      <w:r w:rsidR="00074392">
        <w:rPr>
          <w:szCs w:val="24"/>
        </w:rPr>
        <w:t>sed as not suitable for SAVR wou</w:t>
      </w:r>
      <w:r w:rsidRPr="008B63C2">
        <w:rPr>
          <w:szCs w:val="24"/>
        </w:rPr>
        <w:t>l</w:t>
      </w:r>
      <w:r w:rsidR="00074392">
        <w:rPr>
          <w:szCs w:val="24"/>
        </w:rPr>
        <w:t>d</w:t>
      </w:r>
      <w:r w:rsidRPr="008B63C2">
        <w:rPr>
          <w:szCs w:val="24"/>
        </w:rPr>
        <w:t>, under the proposed clinical management pathway, have further assessment to determine if they are suitable for TAVI or continue with medical management. For patients considered suitable for TAVI</w:t>
      </w:r>
      <w:r w:rsidR="00074392">
        <w:rPr>
          <w:szCs w:val="24"/>
        </w:rPr>
        <w:t>,</w:t>
      </w:r>
      <w:r w:rsidRPr="008B63C2">
        <w:rPr>
          <w:szCs w:val="24"/>
        </w:rPr>
        <w:t xml:space="preserve"> further assessment </w:t>
      </w:r>
      <w:r w:rsidR="00074392">
        <w:rPr>
          <w:szCs w:val="24"/>
        </w:rPr>
        <w:t>would</w:t>
      </w:r>
      <w:r w:rsidRPr="008B63C2">
        <w:rPr>
          <w:szCs w:val="24"/>
        </w:rPr>
        <w:t xml:space="preserve"> then </w:t>
      </w:r>
      <w:r w:rsidR="00074392">
        <w:rPr>
          <w:szCs w:val="24"/>
        </w:rPr>
        <w:t xml:space="preserve">be </w:t>
      </w:r>
      <w:r w:rsidRPr="008B63C2">
        <w:rPr>
          <w:szCs w:val="24"/>
        </w:rPr>
        <w:t>required to determine whether percutaneous access c</w:t>
      </w:r>
      <w:r w:rsidR="00074392">
        <w:rPr>
          <w:szCs w:val="24"/>
        </w:rPr>
        <w:t>ould</w:t>
      </w:r>
      <w:r w:rsidRPr="008B63C2">
        <w:rPr>
          <w:szCs w:val="24"/>
        </w:rPr>
        <w:t xml:space="preserve"> be achieved through the femoral artery. If femoral artery access is not available</w:t>
      </w:r>
      <w:r w:rsidR="000E76C4">
        <w:rPr>
          <w:szCs w:val="24"/>
        </w:rPr>
        <w:t>,</w:t>
      </w:r>
      <w:r w:rsidRPr="008B63C2">
        <w:rPr>
          <w:szCs w:val="24"/>
        </w:rPr>
        <w:t xml:space="preserve"> patients under the proposed clinical management pathway w</w:t>
      </w:r>
      <w:r w:rsidR="00074392">
        <w:rPr>
          <w:szCs w:val="24"/>
        </w:rPr>
        <w:t>ould</w:t>
      </w:r>
      <w:r w:rsidRPr="008B63C2">
        <w:rPr>
          <w:szCs w:val="24"/>
        </w:rPr>
        <w:t xml:space="preserve"> require minimally invasive surgery for the TAVI procedure.</w:t>
      </w:r>
    </w:p>
    <w:p w14:paraId="1F8CD2CF" w14:textId="77777777" w:rsidR="00F9695B" w:rsidRDefault="00F9695B" w:rsidP="00F9695B">
      <w:pPr>
        <w:rPr>
          <w:szCs w:val="24"/>
        </w:rPr>
      </w:pPr>
    </w:p>
    <w:p w14:paraId="78801AB9" w14:textId="77777777" w:rsidR="00744308" w:rsidRPr="00744308" w:rsidRDefault="00F9695B" w:rsidP="00247146">
      <w:pPr>
        <w:rPr>
          <w:szCs w:val="24"/>
        </w:rPr>
      </w:pPr>
      <w:r w:rsidRPr="008B63C2">
        <w:rPr>
          <w:szCs w:val="24"/>
        </w:rPr>
        <w:t xml:space="preserve">The critique noted that evidence in support of TAVI via minimally invasive surgery for inoperable patients </w:t>
      </w:r>
      <w:r w:rsidR="00074392">
        <w:rPr>
          <w:szCs w:val="24"/>
        </w:rPr>
        <w:t>wa</w:t>
      </w:r>
      <w:r w:rsidRPr="008B63C2">
        <w:rPr>
          <w:szCs w:val="24"/>
        </w:rPr>
        <w:t xml:space="preserve">s not provided in the </w:t>
      </w:r>
      <w:r w:rsidR="009D6442">
        <w:rPr>
          <w:szCs w:val="24"/>
        </w:rPr>
        <w:t xml:space="preserve">submission-based assessment </w:t>
      </w:r>
      <w:r w:rsidR="007C32E5">
        <w:rPr>
          <w:szCs w:val="24"/>
        </w:rPr>
        <w:t xml:space="preserve">(SBA) of </w:t>
      </w:r>
      <w:r w:rsidR="009D6442">
        <w:rPr>
          <w:szCs w:val="24"/>
        </w:rPr>
        <w:t xml:space="preserve">the </w:t>
      </w:r>
      <w:r w:rsidRPr="008B63C2">
        <w:rPr>
          <w:szCs w:val="24"/>
        </w:rPr>
        <w:t>application</w:t>
      </w:r>
      <w:r>
        <w:rPr>
          <w:color w:val="548DD4" w:themeColor="text2" w:themeTint="99"/>
          <w:szCs w:val="24"/>
        </w:rPr>
        <w:t>.</w:t>
      </w:r>
    </w:p>
    <w:p w14:paraId="658E2F01" w14:textId="77777777" w:rsidR="00744308" w:rsidRPr="00744308" w:rsidRDefault="00744308" w:rsidP="00247146">
      <w:pPr>
        <w:rPr>
          <w:szCs w:val="24"/>
        </w:rPr>
      </w:pPr>
    </w:p>
    <w:p w14:paraId="1AAE26B0" w14:textId="1D525F64" w:rsidR="00247146" w:rsidRPr="008B63C2" w:rsidRDefault="00247146" w:rsidP="00247146">
      <w:pPr>
        <w:rPr>
          <w:rFonts w:eastAsiaTheme="minorHAnsi"/>
        </w:rPr>
      </w:pPr>
      <w:r w:rsidRPr="008B63C2">
        <w:rPr>
          <w:rFonts w:eastAsiaTheme="minorHAnsi"/>
        </w:rPr>
        <w:t>Severe aortic stenosis (AS) remains the most common indication for aortic valve replacement (AVR) with rheumatic heart disease and degenerative calcification the main causes of AS. Degenerative calcific AS is most common and typically occurs in individuals &gt;</w:t>
      </w:r>
      <w:r w:rsidR="00074392">
        <w:rPr>
          <w:rFonts w:eastAsiaTheme="minorHAnsi"/>
        </w:rPr>
        <w:t> </w:t>
      </w:r>
      <w:r w:rsidRPr="008B63C2">
        <w:rPr>
          <w:rFonts w:eastAsiaTheme="minorHAnsi"/>
        </w:rPr>
        <w:t>65 years of age. Typically, patients with AS are free from cardiovascular symptoms (e.g. angina, syncope and/or heart failure) until late in the course of the disease. The severity and progression of AS ar</w:t>
      </w:r>
      <w:r w:rsidR="002A445B">
        <w:rPr>
          <w:rFonts w:eastAsiaTheme="minorHAnsi"/>
        </w:rPr>
        <w:t>e best described as a continuum;</w:t>
      </w:r>
      <w:r w:rsidRPr="008B63C2">
        <w:rPr>
          <w:rFonts w:eastAsiaTheme="minorHAnsi"/>
        </w:rPr>
        <w:t xml:space="preserve"> however, once symptoms manifest, the prognosis is poor with the presence of congestive heart failure indicative of low survival. Survival analys</w:t>
      </w:r>
      <w:r w:rsidR="00074392">
        <w:rPr>
          <w:rFonts w:eastAsiaTheme="minorHAnsi"/>
        </w:rPr>
        <w:t>e</w:t>
      </w:r>
      <w:r w:rsidRPr="008B63C2">
        <w:rPr>
          <w:rFonts w:eastAsiaTheme="minorHAnsi"/>
        </w:rPr>
        <w:t>s have demonstrated that the interval from the onset of symptoms to the time of death is approximately two years in patients with heart failure, three years in those with syncope, and five years in those with angina. Current treatments for severe AS include medical management or an aortic valve replacement.</w:t>
      </w:r>
    </w:p>
    <w:p w14:paraId="260EE1F1" w14:textId="77777777" w:rsidR="00247146" w:rsidRDefault="00247146" w:rsidP="00247146">
      <w:pPr>
        <w:rPr>
          <w:rFonts w:eastAsia="Calibri"/>
          <w:szCs w:val="24"/>
          <w:lang w:eastAsia="en-US"/>
        </w:rPr>
      </w:pPr>
    </w:p>
    <w:p w14:paraId="77F1B055" w14:textId="7D0EF220" w:rsidR="00247146" w:rsidRDefault="00247146" w:rsidP="00247146">
      <w:pPr>
        <w:rPr>
          <w:rFonts w:eastAsiaTheme="minorHAnsi"/>
        </w:rPr>
      </w:pPr>
      <w:r w:rsidRPr="00505214">
        <w:rPr>
          <w:rFonts w:eastAsia="Calibri"/>
          <w:szCs w:val="24"/>
          <w:lang w:eastAsia="en-US"/>
        </w:rPr>
        <w:t xml:space="preserve">The development of percutaneous </w:t>
      </w:r>
      <w:proofErr w:type="spellStart"/>
      <w:r w:rsidRPr="00505214">
        <w:rPr>
          <w:rFonts w:eastAsia="Calibri"/>
          <w:szCs w:val="24"/>
          <w:lang w:eastAsia="en-US"/>
        </w:rPr>
        <w:t>bioprosthetic</w:t>
      </w:r>
      <w:proofErr w:type="spellEnd"/>
      <w:r w:rsidRPr="00505214">
        <w:rPr>
          <w:rFonts w:eastAsia="Calibri"/>
          <w:szCs w:val="24"/>
          <w:lang w:eastAsia="en-US"/>
        </w:rPr>
        <w:t xml:space="preserve"> heart valve</w:t>
      </w:r>
      <w:r w:rsidR="000E76C4">
        <w:rPr>
          <w:rFonts w:eastAsia="Calibri"/>
          <w:szCs w:val="24"/>
          <w:lang w:eastAsia="en-US"/>
        </w:rPr>
        <w:t>s</w:t>
      </w:r>
      <w:r w:rsidRPr="00505214">
        <w:rPr>
          <w:rFonts w:eastAsia="Calibri"/>
          <w:szCs w:val="24"/>
          <w:lang w:eastAsia="en-US"/>
        </w:rPr>
        <w:t xml:space="preserve"> has provided a new surgical option for patients with severe aortic stenosis if the risk of open-heart surgery is prohibitively high or contraindicated.</w:t>
      </w:r>
      <w:r w:rsidRPr="00505214">
        <w:rPr>
          <w:rFonts w:eastAsiaTheme="minorHAnsi"/>
        </w:rPr>
        <w:t xml:space="preserve"> Two main percutaneous valves </w:t>
      </w:r>
      <w:r w:rsidR="00455C03">
        <w:rPr>
          <w:rFonts w:eastAsiaTheme="minorHAnsi"/>
        </w:rPr>
        <w:t xml:space="preserve">have become </w:t>
      </w:r>
      <w:r w:rsidRPr="00505214">
        <w:rPr>
          <w:rFonts w:eastAsiaTheme="minorHAnsi"/>
        </w:rPr>
        <w:t xml:space="preserve">available—the Edwards SAPIEN valve </w:t>
      </w:r>
      <w:r w:rsidR="00455C03">
        <w:rPr>
          <w:rFonts w:eastAsiaTheme="minorHAnsi"/>
        </w:rPr>
        <w:t xml:space="preserve">(TGA-approved) </w:t>
      </w:r>
      <w:r w:rsidR="001160A7">
        <w:rPr>
          <w:rFonts w:eastAsiaTheme="minorHAnsi"/>
        </w:rPr>
        <w:t xml:space="preserve">and the Medtronic </w:t>
      </w:r>
      <w:proofErr w:type="spellStart"/>
      <w:r w:rsidR="001160A7">
        <w:rPr>
          <w:rFonts w:eastAsiaTheme="minorHAnsi"/>
        </w:rPr>
        <w:t>CoreValve</w:t>
      </w:r>
      <w:proofErr w:type="spellEnd"/>
      <w:r w:rsidR="001160A7">
        <w:rPr>
          <w:rFonts w:eastAsiaTheme="minorHAnsi"/>
        </w:rPr>
        <w:t xml:space="preserve"> </w:t>
      </w:r>
      <w:proofErr w:type="spellStart"/>
      <w:r w:rsidR="001160A7">
        <w:rPr>
          <w:rFonts w:eastAsiaTheme="minorHAnsi"/>
        </w:rPr>
        <w:t>ReV</w:t>
      </w:r>
      <w:r w:rsidRPr="00505214">
        <w:rPr>
          <w:rFonts w:eastAsiaTheme="minorHAnsi"/>
        </w:rPr>
        <w:t>alving</w:t>
      </w:r>
      <w:proofErr w:type="spellEnd"/>
      <w:r w:rsidRPr="00505214">
        <w:rPr>
          <w:rFonts w:eastAsiaTheme="minorHAnsi"/>
        </w:rPr>
        <w:t xml:space="preserve"> System</w:t>
      </w:r>
      <w:r w:rsidR="00455C03">
        <w:rPr>
          <w:rFonts w:eastAsiaTheme="minorHAnsi"/>
        </w:rPr>
        <w:t xml:space="preserve"> (</w:t>
      </w:r>
      <w:r w:rsidR="00455C03" w:rsidRPr="00AA0259">
        <w:rPr>
          <w:rFonts w:eastAsiaTheme="minorHAnsi"/>
        </w:rPr>
        <w:t xml:space="preserve">not currently </w:t>
      </w:r>
      <w:r w:rsidR="00455C03">
        <w:rPr>
          <w:rFonts w:eastAsiaTheme="minorHAnsi"/>
        </w:rPr>
        <w:t>TGA-</w:t>
      </w:r>
      <w:r w:rsidR="00455C03" w:rsidRPr="00AA0259">
        <w:rPr>
          <w:rFonts w:eastAsiaTheme="minorHAnsi"/>
        </w:rPr>
        <w:t>approv</w:t>
      </w:r>
      <w:r w:rsidR="00455C03">
        <w:rPr>
          <w:rFonts w:eastAsiaTheme="minorHAnsi"/>
        </w:rPr>
        <w:t>ed)</w:t>
      </w:r>
      <w:r w:rsidRPr="00505214">
        <w:rPr>
          <w:rFonts w:eastAsiaTheme="minorHAnsi"/>
        </w:rPr>
        <w:t>. The technical specifications for each valve and the main differences between them are summarised in the table below</w:t>
      </w:r>
      <w:r w:rsidRPr="008B63C2">
        <w:rPr>
          <w:rFonts w:eastAsiaTheme="minorHAnsi"/>
        </w:rPr>
        <w:t>.</w:t>
      </w:r>
    </w:p>
    <w:p w14:paraId="0E06A418" w14:textId="77777777" w:rsidR="00247146" w:rsidRPr="008B63C2" w:rsidRDefault="00247146" w:rsidP="00F26C06">
      <w:pPr>
        <w:pStyle w:val="Tabletextboldleft"/>
      </w:pPr>
      <w:bookmarkStart w:id="1" w:name="_Ref405451428"/>
      <w:bookmarkEnd w:id="1"/>
      <w:r w:rsidRPr="008B63C2">
        <w:rPr>
          <w:noProof/>
        </w:rPr>
        <w:t xml:space="preserve">Technical </w:t>
      </w:r>
      <w:r w:rsidRPr="008B63C2">
        <w:t>specification of the available percutaneous aortic valve prostheses</w:t>
      </w:r>
    </w:p>
    <w:tbl>
      <w:tblPr>
        <w:tblStyle w:val="TableGrid"/>
        <w:tblW w:w="0" w:type="auto"/>
        <w:tblInd w:w="132" w:type="dxa"/>
        <w:tblLook w:val="04A0" w:firstRow="1" w:lastRow="0" w:firstColumn="1" w:lastColumn="0" w:noHBand="0" w:noVBand="1"/>
        <w:tblCaption w:val="Technical specificiation of the available percutaneous aortic valve prostheses"/>
      </w:tblPr>
      <w:tblGrid>
        <w:gridCol w:w="1536"/>
        <w:gridCol w:w="3827"/>
        <w:gridCol w:w="3747"/>
      </w:tblGrid>
      <w:tr w:rsidR="00247146" w:rsidRPr="008B63C2" w14:paraId="50726BC4" w14:textId="77777777" w:rsidTr="001472CD">
        <w:trPr>
          <w:trHeight w:val="392"/>
          <w:tblHeader/>
        </w:trPr>
        <w:tc>
          <w:tcPr>
            <w:tcW w:w="1536" w:type="dxa"/>
          </w:tcPr>
          <w:p w14:paraId="2FD1DFE5" w14:textId="77777777" w:rsidR="00247146" w:rsidRPr="008B63C2" w:rsidRDefault="00247146" w:rsidP="00013785">
            <w:pPr>
              <w:pStyle w:val="Tabletext"/>
              <w:spacing w:before="0" w:after="0"/>
              <w:rPr>
                <w:rFonts w:ascii="Times New Roman" w:eastAsiaTheme="minorHAnsi" w:hAnsi="Times New Roman"/>
                <w:sz w:val="18"/>
                <w:szCs w:val="18"/>
              </w:rPr>
            </w:pPr>
          </w:p>
        </w:tc>
        <w:tc>
          <w:tcPr>
            <w:tcW w:w="3827" w:type="dxa"/>
          </w:tcPr>
          <w:p w14:paraId="2187305B" w14:textId="77777777" w:rsidR="00247146" w:rsidRPr="008B63C2" w:rsidRDefault="00247146" w:rsidP="00013785">
            <w:pPr>
              <w:pStyle w:val="Tabletext"/>
              <w:spacing w:before="0" w:after="0"/>
              <w:jc w:val="center"/>
              <w:rPr>
                <w:rFonts w:ascii="Times New Roman" w:eastAsiaTheme="minorHAnsi" w:hAnsi="Times New Roman"/>
                <w:b/>
                <w:sz w:val="18"/>
                <w:szCs w:val="18"/>
              </w:rPr>
            </w:pPr>
            <w:r w:rsidRPr="008B63C2">
              <w:rPr>
                <w:rFonts w:ascii="Times New Roman" w:eastAsiaTheme="minorHAnsi" w:hAnsi="Times New Roman"/>
                <w:b/>
                <w:sz w:val="18"/>
                <w:szCs w:val="18"/>
              </w:rPr>
              <w:t>Edwards SAPIEN Transcatheter Heart Valve</w:t>
            </w:r>
          </w:p>
        </w:tc>
        <w:tc>
          <w:tcPr>
            <w:tcW w:w="3747" w:type="dxa"/>
          </w:tcPr>
          <w:p w14:paraId="5A56D691" w14:textId="77777777" w:rsidR="00247146" w:rsidRPr="008B63C2" w:rsidRDefault="00247146" w:rsidP="00013785">
            <w:pPr>
              <w:pStyle w:val="Tabletext"/>
              <w:spacing w:before="0" w:after="0"/>
              <w:jc w:val="center"/>
              <w:rPr>
                <w:rFonts w:ascii="Times New Roman" w:eastAsiaTheme="minorHAnsi" w:hAnsi="Times New Roman"/>
                <w:b/>
                <w:sz w:val="18"/>
                <w:szCs w:val="18"/>
              </w:rPr>
            </w:pPr>
            <w:proofErr w:type="spellStart"/>
            <w:r w:rsidRPr="008B63C2">
              <w:rPr>
                <w:rFonts w:ascii="Times New Roman" w:eastAsiaTheme="minorHAnsi" w:hAnsi="Times New Roman"/>
                <w:b/>
                <w:sz w:val="18"/>
                <w:szCs w:val="18"/>
              </w:rPr>
              <w:t>CoreValve</w:t>
            </w:r>
            <w:proofErr w:type="spellEnd"/>
            <w:r w:rsidRPr="008B63C2">
              <w:rPr>
                <w:rFonts w:ascii="Times New Roman" w:eastAsiaTheme="minorHAnsi" w:hAnsi="Times New Roman"/>
                <w:b/>
                <w:sz w:val="18"/>
                <w:szCs w:val="18"/>
              </w:rPr>
              <w:t xml:space="preserve"> </w:t>
            </w:r>
            <w:proofErr w:type="spellStart"/>
            <w:r w:rsidRPr="008B63C2">
              <w:rPr>
                <w:rFonts w:ascii="Times New Roman" w:eastAsiaTheme="minorHAnsi" w:hAnsi="Times New Roman"/>
                <w:b/>
                <w:sz w:val="18"/>
                <w:szCs w:val="18"/>
              </w:rPr>
              <w:t>ReValving</w:t>
            </w:r>
            <w:proofErr w:type="spellEnd"/>
            <w:r w:rsidRPr="008B63C2">
              <w:rPr>
                <w:rFonts w:ascii="Times New Roman" w:eastAsiaTheme="minorHAnsi" w:hAnsi="Times New Roman"/>
                <w:b/>
                <w:sz w:val="18"/>
                <w:szCs w:val="18"/>
              </w:rPr>
              <w:t xml:space="preserve"> System</w:t>
            </w:r>
          </w:p>
        </w:tc>
      </w:tr>
      <w:tr w:rsidR="00247146" w:rsidRPr="008B63C2" w14:paraId="79184BD0" w14:textId="77777777" w:rsidTr="00013785">
        <w:tc>
          <w:tcPr>
            <w:tcW w:w="1536" w:type="dxa"/>
          </w:tcPr>
          <w:p w14:paraId="509D180B" w14:textId="77777777" w:rsidR="00247146" w:rsidRPr="008B63C2" w:rsidRDefault="00247146" w:rsidP="00013785">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Valve specification</w:t>
            </w:r>
          </w:p>
        </w:tc>
        <w:tc>
          <w:tcPr>
            <w:tcW w:w="3827" w:type="dxa"/>
          </w:tcPr>
          <w:p w14:paraId="35B02FAB" w14:textId="77777777" w:rsidR="00247146" w:rsidRPr="008B63C2" w:rsidRDefault="00247146" w:rsidP="00013785">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 xml:space="preserve">Balloon-expandable, tubular, slotted, stainless steel stent with an attached bovine pericardial </w:t>
            </w:r>
            <w:proofErr w:type="spellStart"/>
            <w:r w:rsidRPr="008B63C2">
              <w:rPr>
                <w:rFonts w:ascii="Times New Roman" w:eastAsiaTheme="minorHAnsi" w:hAnsi="Times New Roman"/>
                <w:sz w:val="18"/>
                <w:szCs w:val="18"/>
              </w:rPr>
              <w:t>trileaflet</w:t>
            </w:r>
            <w:proofErr w:type="spellEnd"/>
            <w:r w:rsidRPr="008B63C2">
              <w:rPr>
                <w:rFonts w:ascii="Times New Roman" w:eastAsiaTheme="minorHAnsi" w:hAnsi="Times New Roman"/>
                <w:sz w:val="18"/>
                <w:szCs w:val="18"/>
              </w:rPr>
              <w:t xml:space="preserve"> valve and fabric sealing cuff</w:t>
            </w:r>
          </w:p>
        </w:tc>
        <w:tc>
          <w:tcPr>
            <w:tcW w:w="3747" w:type="dxa"/>
          </w:tcPr>
          <w:p w14:paraId="43218C83" w14:textId="77777777" w:rsidR="00247146" w:rsidRPr="008B63C2" w:rsidRDefault="00247146" w:rsidP="009670FC">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Self-expandable 50</w:t>
            </w:r>
            <w:r w:rsidR="009670FC">
              <w:rPr>
                <w:rFonts w:ascii="Times New Roman" w:eastAsiaTheme="minorHAnsi" w:hAnsi="Times New Roman"/>
                <w:sz w:val="18"/>
                <w:szCs w:val="18"/>
              </w:rPr>
              <w:t> </w:t>
            </w:r>
            <w:r w:rsidRPr="008B63C2">
              <w:rPr>
                <w:rFonts w:ascii="Times New Roman" w:eastAsiaTheme="minorHAnsi" w:hAnsi="Times New Roman"/>
                <w:sz w:val="18"/>
                <w:szCs w:val="18"/>
              </w:rPr>
              <w:t xml:space="preserve">mm </w:t>
            </w:r>
            <w:proofErr w:type="spellStart"/>
            <w:r w:rsidRPr="008B63C2">
              <w:rPr>
                <w:rFonts w:ascii="Times New Roman" w:eastAsiaTheme="minorHAnsi" w:hAnsi="Times New Roman"/>
                <w:sz w:val="18"/>
                <w:szCs w:val="18"/>
              </w:rPr>
              <w:t>nitinol</w:t>
            </w:r>
            <w:proofErr w:type="spellEnd"/>
            <w:r w:rsidRPr="008B63C2">
              <w:rPr>
                <w:rFonts w:ascii="Times New Roman" w:eastAsiaTheme="minorHAnsi" w:hAnsi="Times New Roman"/>
                <w:sz w:val="18"/>
                <w:szCs w:val="18"/>
              </w:rPr>
              <w:t xml:space="preserve"> (nickel titanium alloy) frame sewn to three </w:t>
            </w:r>
            <w:proofErr w:type="spellStart"/>
            <w:r w:rsidRPr="008B63C2">
              <w:rPr>
                <w:rFonts w:ascii="Times New Roman" w:eastAsiaTheme="minorHAnsi" w:hAnsi="Times New Roman"/>
                <w:sz w:val="18"/>
                <w:szCs w:val="18"/>
              </w:rPr>
              <w:t>procine</w:t>
            </w:r>
            <w:proofErr w:type="spellEnd"/>
            <w:r w:rsidRPr="008B63C2">
              <w:rPr>
                <w:rFonts w:ascii="Times New Roman" w:eastAsiaTheme="minorHAnsi" w:hAnsi="Times New Roman"/>
                <w:sz w:val="18"/>
                <w:szCs w:val="18"/>
              </w:rPr>
              <w:t xml:space="preserve"> pericardial leaflets; prosthesis has three separate structural elements (inlet, middle and outlet)</w:t>
            </w:r>
          </w:p>
        </w:tc>
      </w:tr>
      <w:tr w:rsidR="00247146" w:rsidRPr="008B63C2" w14:paraId="2804F55A" w14:textId="77777777" w:rsidTr="00013785">
        <w:tc>
          <w:tcPr>
            <w:tcW w:w="1536" w:type="dxa"/>
          </w:tcPr>
          <w:p w14:paraId="34215CAE" w14:textId="77777777" w:rsidR="00247146" w:rsidRPr="008B63C2" w:rsidRDefault="00247146" w:rsidP="00013785">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Delivery method</w:t>
            </w:r>
          </w:p>
        </w:tc>
        <w:tc>
          <w:tcPr>
            <w:tcW w:w="3827" w:type="dxa"/>
          </w:tcPr>
          <w:p w14:paraId="7EED4B42" w14:textId="77777777" w:rsidR="00247146" w:rsidRPr="008B63C2" w:rsidRDefault="00247146" w:rsidP="00013785">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Valve is mechanically crimped onto a balloon catheter immediately before implantation</w:t>
            </w:r>
          </w:p>
        </w:tc>
        <w:tc>
          <w:tcPr>
            <w:tcW w:w="3747" w:type="dxa"/>
          </w:tcPr>
          <w:p w14:paraId="706D3130" w14:textId="77777777" w:rsidR="00247146" w:rsidRPr="008B63C2" w:rsidRDefault="00247146" w:rsidP="00013785">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Preloaded valves; crimping to balloon is not required as it is a self-expanding valve</w:t>
            </w:r>
          </w:p>
        </w:tc>
      </w:tr>
      <w:tr w:rsidR="00247146" w:rsidRPr="008B63C2" w14:paraId="22C02D0A" w14:textId="77777777" w:rsidTr="00013785">
        <w:tc>
          <w:tcPr>
            <w:tcW w:w="1536" w:type="dxa"/>
          </w:tcPr>
          <w:p w14:paraId="61453B5C" w14:textId="77777777" w:rsidR="00247146" w:rsidRPr="008B63C2" w:rsidRDefault="00247146" w:rsidP="00013785">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Rapid ventricular pacing requirement</w:t>
            </w:r>
          </w:p>
        </w:tc>
        <w:tc>
          <w:tcPr>
            <w:tcW w:w="3827" w:type="dxa"/>
          </w:tcPr>
          <w:p w14:paraId="38032512" w14:textId="77777777" w:rsidR="00247146" w:rsidRPr="008B63C2" w:rsidRDefault="00247146" w:rsidP="00013785">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 xml:space="preserve">To </w:t>
            </w:r>
            <w:r w:rsidR="001160A7" w:rsidRPr="008B63C2">
              <w:rPr>
                <w:rFonts w:ascii="Times New Roman" w:eastAsiaTheme="minorHAnsi" w:hAnsi="Times New Roman"/>
                <w:sz w:val="18"/>
                <w:szCs w:val="18"/>
              </w:rPr>
              <w:t>stabilise</w:t>
            </w:r>
            <w:r w:rsidRPr="008B63C2">
              <w:rPr>
                <w:rFonts w:ascii="Times New Roman" w:eastAsiaTheme="minorHAnsi" w:hAnsi="Times New Roman"/>
                <w:sz w:val="18"/>
                <w:szCs w:val="18"/>
              </w:rPr>
              <w:t xml:space="preserve"> the prosthesis during balloon expansion, rapid pacing (220 beat/min) is needed for deployment</w:t>
            </w:r>
          </w:p>
        </w:tc>
        <w:tc>
          <w:tcPr>
            <w:tcW w:w="3747" w:type="dxa"/>
          </w:tcPr>
          <w:p w14:paraId="6BB1E58C" w14:textId="77777777" w:rsidR="00247146" w:rsidRPr="008B63C2" w:rsidRDefault="00247146" w:rsidP="00013785">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Not necessary for device deployment</w:t>
            </w:r>
          </w:p>
        </w:tc>
      </w:tr>
      <w:tr w:rsidR="00247146" w:rsidRPr="008B63C2" w14:paraId="311DA78F" w14:textId="77777777" w:rsidTr="00013785">
        <w:tc>
          <w:tcPr>
            <w:tcW w:w="1536" w:type="dxa"/>
          </w:tcPr>
          <w:p w14:paraId="418C91CE" w14:textId="77777777" w:rsidR="00247146" w:rsidRPr="008B63C2" w:rsidRDefault="00247146" w:rsidP="00013785">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Delivery sheath size</w:t>
            </w:r>
          </w:p>
        </w:tc>
        <w:tc>
          <w:tcPr>
            <w:tcW w:w="3827" w:type="dxa"/>
          </w:tcPr>
          <w:p w14:paraId="48C25604" w14:textId="77777777" w:rsidR="00247146" w:rsidRPr="008B63C2" w:rsidRDefault="00247146" w:rsidP="009670FC">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Most available data are for 22F (7.3</w:t>
            </w:r>
            <w:r w:rsidR="009670FC">
              <w:rPr>
                <w:rFonts w:ascii="Times New Roman" w:eastAsiaTheme="minorHAnsi" w:hAnsi="Times New Roman"/>
                <w:sz w:val="18"/>
                <w:szCs w:val="18"/>
              </w:rPr>
              <w:t> mm) and 24F (8 </w:t>
            </w:r>
            <w:r w:rsidRPr="008B63C2">
              <w:rPr>
                <w:rFonts w:ascii="Times New Roman" w:eastAsiaTheme="minorHAnsi" w:hAnsi="Times New Roman"/>
                <w:sz w:val="18"/>
                <w:szCs w:val="18"/>
              </w:rPr>
              <w:t xml:space="preserve">mm) devices; </w:t>
            </w:r>
          </w:p>
        </w:tc>
        <w:tc>
          <w:tcPr>
            <w:tcW w:w="3747" w:type="dxa"/>
          </w:tcPr>
          <w:p w14:paraId="626AAA8C" w14:textId="77777777" w:rsidR="00247146" w:rsidRPr="008B63C2" w:rsidRDefault="00247146" w:rsidP="00013785">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Most available data are for the third-genera</w:t>
            </w:r>
            <w:r w:rsidR="009670FC">
              <w:rPr>
                <w:rFonts w:ascii="Times New Roman" w:eastAsiaTheme="minorHAnsi" w:hAnsi="Times New Roman"/>
                <w:sz w:val="18"/>
                <w:szCs w:val="18"/>
              </w:rPr>
              <w:t xml:space="preserve">tion </w:t>
            </w:r>
            <w:proofErr w:type="spellStart"/>
            <w:r w:rsidR="009670FC">
              <w:rPr>
                <w:rFonts w:ascii="Times New Roman" w:eastAsiaTheme="minorHAnsi" w:hAnsi="Times New Roman"/>
                <w:sz w:val="18"/>
                <w:szCs w:val="18"/>
              </w:rPr>
              <w:t>CoreValve</w:t>
            </w:r>
            <w:proofErr w:type="spellEnd"/>
            <w:r w:rsidR="009670FC">
              <w:rPr>
                <w:rFonts w:ascii="Times New Roman" w:eastAsiaTheme="minorHAnsi" w:hAnsi="Times New Roman"/>
                <w:sz w:val="18"/>
                <w:szCs w:val="18"/>
              </w:rPr>
              <w:t>, which is 18F (6 </w:t>
            </w:r>
            <w:r w:rsidRPr="008B63C2">
              <w:rPr>
                <w:rFonts w:ascii="Times New Roman" w:eastAsiaTheme="minorHAnsi" w:hAnsi="Times New Roman"/>
                <w:sz w:val="18"/>
                <w:szCs w:val="18"/>
              </w:rPr>
              <w:t>mm)</w:t>
            </w:r>
          </w:p>
        </w:tc>
      </w:tr>
      <w:tr w:rsidR="00247146" w:rsidRPr="008B63C2" w14:paraId="6C5BA5DB" w14:textId="77777777" w:rsidTr="00013785">
        <w:tc>
          <w:tcPr>
            <w:tcW w:w="1536" w:type="dxa"/>
          </w:tcPr>
          <w:p w14:paraId="59B1E59A" w14:textId="77777777" w:rsidR="00247146" w:rsidRPr="008B63C2" w:rsidRDefault="00247146" w:rsidP="00013785">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Methods of deployment</w:t>
            </w:r>
          </w:p>
        </w:tc>
        <w:tc>
          <w:tcPr>
            <w:tcW w:w="3827" w:type="dxa"/>
          </w:tcPr>
          <w:p w14:paraId="18C217D2" w14:textId="77777777" w:rsidR="00247146" w:rsidRPr="008B63C2" w:rsidRDefault="00247146" w:rsidP="00013785">
            <w:pPr>
              <w:pStyle w:val="Tabletext"/>
              <w:spacing w:before="0" w:after="0"/>
              <w:rPr>
                <w:rFonts w:ascii="Times New Roman" w:eastAsiaTheme="minorHAnsi" w:hAnsi="Times New Roman"/>
                <w:sz w:val="18"/>
                <w:szCs w:val="18"/>
              </w:rPr>
            </w:pPr>
            <w:proofErr w:type="spellStart"/>
            <w:r w:rsidRPr="008B63C2">
              <w:rPr>
                <w:rFonts w:ascii="Times New Roman" w:eastAsiaTheme="minorHAnsi" w:hAnsi="Times New Roman"/>
                <w:sz w:val="18"/>
                <w:szCs w:val="18"/>
              </w:rPr>
              <w:t>Antegrade</w:t>
            </w:r>
            <w:proofErr w:type="spellEnd"/>
            <w:r w:rsidRPr="008B63C2">
              <w:rPr>
                <w:rFonts w:ascii="Times New Roman" w:eastAsiaTheme="minorHAnsi" w:hAnsi="Times New Roman"/>
                <w:sz w:val="18"/>
                <w:szCs w:val="18"/>
              </w:rPr>
              <w:t xml:space="preserve">, retrograde and </w:t>
            </w:r>
            <w:proofErr w:type="spellStart"/>
            <w:r w:rsidRPr="008B63C2">
              <w:rPr>
                <w:rFonts w:ascii="Times New Roman" w:eastAsiaTheme="minorHAnsi" w:hAnsi="Times New Roman"/>
                <w:sz w:val="18"/>
                <w:szCs w:val="18"/>
              </w:rPr>
              <w:t>transapical</w:t>
            </w:r>
            <w:proofErr w:type="spellEnd"/>
          </w:p>
        </w:tc>
        <w:tc>
          <w:tcPr>
            <w:tcW w:w="3747" w:type="dxa"/>
          </w:tcPr>
          <w:p w14:paraId="691882B7" w14:textId="77777777" w:rsidR="00247146" w:rsidRPr="008B63C2" w:rsidRDefault="00247146" w:rsidP="00013785">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 xml:space="preserve">Retrograde (transfemoral and subclavian); animal feasibility study for transapical </w:t>
            </w:r>
            <w:r w:rsidR="002371F6" w:rsidRPr="002371F6">
              <w:rPr>
                <w:rFonts w:ascii="Times New Roman" w:hAnsi="Times New Roman" w:cs="Times New Roman"/>
                <w:sz w:val="18"/>
                <w:szCs w:val="18"/>
              </w:rPr>
              <w:t>delivery</w:t>
            </w:r>
            <w:r w:rsidRPr="002371F6">
              <w:rPr>
                <w:rFonts w:ascii="Times New Roman" w:eastAsiaTheme="minorHAnsi" w:hAnsi="Times New Roman" w:cs="Times New Roman"/>
                <w:sz w:val="18"/>
                <w:szCs w:val="18"/>
              </w:rPr>
              <w:t xml:space="preserve"> </w:t>
            </w:r>
            <w:r w:rsidRPr="008B63C2">
              <w:rPr>
                <w:rFonts w:ascii="Times New Roman" w:eastAsiaTheme="minorHAnsi" w:hAnsi="Times New Roman"/>
                <w:sz w:val="18"/>
                <w:szCs w:val="18"/>
              </w:rPr>
              <w:t>recently published</w:t>
            </w:r>
          </w:p>
        </w:tc>
      </w:tr>
      <w:tr w:rsidR="00247146" w:rsidRPr="008B63C2" w14:paraId="31F4F567" w14:textId="77777777" w:rsidTr="00013785">
        <w:tc>
          <w:tcPr>
            <w:tcW w:w="1536" w:type="dxa"/>
          </w:tcPr>
          <w:p w14:paraId="12F6BAAC" w14:textId="77777777" w:rsidR="00247146" w:rsidRPr="008B63C2" w:rsidRDefault="00247146" w:rsidP="00013785">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Potential advantages</w:t>
            </w:r>
          </w:p>
        </w:tc>
        <w:tc>
          <w:tcPr>
            <w:tcW w:w="3827" w:type="dxa"/>
          </w:tcPr>
          <w:p w14:paraId="1E64128E" w14:textId="77777777" w:rsidR="00247146" w:rsidRPr="008B63C2" w:rsidRDefault="00247146" w:rsidP="00013785">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Prosthesis can be re-expanded if under-deployed initially</w:t>
            </w:r>
          </w:p>
        </w:tc>
        <w:tc>
          <w:tcPr>
            <w:tcW w:w="3747" w:type="dxa"/>
          </w:tcPr>
          <w:p w14:paraId="0028A2AA" w14:textId="77777777" w:rsidR="00247146" w:rsidRPr="008B63C2" w:rsidRDefault="00247146" w:rsidP="00013785">
            <w:pPr>
              <w:pStyle w:val="Tabletext"/>
              <w:spacing w:before="0" w:after="0"/>
              <w:rPr>
                <w:rFonts w:ascii="Times New Roman" w:eastAsiaTheme="minorHAnsi" w:hAnsi="Times New Roman"/>
                <w:sz w:val="18"/>
                <w:szCs w:val="18"/>
              </w:rPr>
            </w:pPr>
            <w:r w:rsidRPr="008B63C2">
              <w:rPr>
                <w:rFonts w:ascii="Times New Roman" w:eastAsiaTheme="minorHAnsi" w:hAnsi="Times New Roman"/>
                <w:sz w:val="18"/>
                <w:szCs w:val="18"/>
              </w:rPr>
              <w:t>More controlled deployment because stent is self-expanding; device can be retrieved with partial deployment</w:t>
            </w:r>
          </w:p>
        </w:tc>
      </w:tr>
    </w:tbl>
    <w:p w14:paraId="1D773941" w14:textId="77777777" w:rsidR="00247146" w:rsidRPr="008B63C2" w:rsidRDefault="00247146" w:rsidP="00247146">
      <w:r w:rsidRPr="008B63C2">
        <w:rPr>
          <w:rFonts w:eastAsiaTheme="minorHAnsi"/>
          <w:sz w:val="18"/>
          <w:szCs w:val="18"/>
        </w:rPr>
        <w:t xml:space="preserve">Source: </w:t>
      </w:r>
      <w:proofErr w:type="spellStart"/>
      <w:r w:rsidRPr="008B63C2">
        <w:rPr>
          <w:rFonts w:eastAsiaTheme="minorHAnsi"/>
          <w:sz w:val="18"/>
          <w:szCs w:val="18"/>
        </w:rPr>
        <w:t>Layland</w:t>
      </w:r>
      <w:proofErr w:type="spellEnd"/>
      <w:r w:rsidRPr="008B63C2">
        <w:rPr>
          <w:rFonts w:eastAsiaTheme="minorHAnsi"/>
          <w:sz w:val="18"/>
          <w:szCs w:val="18"/>
        </w:rPr>
        <w:t xml:space="preserve"> JJ et al, 2010</w:t>
      </w:r>
    </w:p>
    <w:p w14:paraId="754696AE" w14:textId="77777777" w:rsidR="00247146" w:rsidRPr="008B63C2" w:rsidRDefault="00247146" w:rsidP="00247146">
      <w:r w:rsidRPr="008B63C2">
        <w:lastRenderedPageBreak/>
        <w:t xml:space="preserve">TAVI can be delivered via two different approaches: </w:t>
      </w:r>
      <w:r w:rsidR="00DF3104">
        <w:t xml:space="preserve">the </w:t>
      </w:r>
      <w:r w:rsidRPr="008B63C2">
        <w:t xml:space="preserve">percutaneous peripheral access </w:t>
      </w:r>
      <w:r w:rsidR="00DF3104">
        <w:t xml:space="preserve">approach </w:t>
      </w:r>
      <w:r w:rsidRPr="008B63C2">
        <w:t xml:space="preserve">(i.e. transfemoral </w:t>
      </w:r>
      <w:r w:rsidR="002371F6">
        <w:t>delivery</w:t>
      </w:r>
      <w:r w:rsidRPr="008B63C2">
        <w:t xml:space="preserve">) or </w:t>
      </w:r>
      <w:r w:rsidR="00AF535C">
        <w:t xml:space="preserve">the </w:t>
      </w:r>
      <w:r w:rsidRPr="008B63C2">
        <w:t>minimally invasive surgical approach (</w:t>
      </w:r>
      <w:proofErr w:type="spellStart"/>
      <w:r w:rsidRPr="008B63C2">
        <w:t>transapical</w:t>
      </w:r>
      <w:proofErr w:type="spellEnd"/>
      <w:r w:rsidRPr="008B63C2">
        <w:t xml:space="preserve">, </w:t>
      </w:r>
      <w:proofErr w:type="spellStart"/>
      <w:r w:rsidRPr="008B63C2">
        <w:t>transaortic</w:t>
      </w:r>
      <w:proofErr w:type="spellEnd"/>
      <w:r w:rsidRPr="008B63C2">
        <w:t xml:space="preserve"> or sub-</w:t>
      </w:r>
      <w:proofErr w:type="spellStart"/>
      <w:r w:rsidRPr="008B63C2">
        <w:t>clavian</w:t>
      </w:r>
      <w:proofErr w:type="spellEnd"/>
      <w:r w:rsidR="002371F6" w:rsidRPr="002371F6">
        <w:t xml:space="preserve"> </w:t>
      </w:r>
      <w:r w:rsidR="002371F6">
        <w:t>delivery</w:t>
      </w:r>
      <w:r w:rsidRPr="008B63C2">
        <w:t xml:space="preserve">). TAVI is usually performed under general anaesthesia; however, sedation and analgesia may suffice for transfemoral </w:t>
      </w:r>
      <w:r w:rsidR="002371F6">
        <w:t>delivery</w:t>
      </w:r>
      <w:r w:rsidRPr="008B63C2">
        <w:t>.</w:t>
      </w:r>
    </w:p>
    <w:p w14:paraId="300F8BDF" w14:textId="77777777" w:rsidR="00247146" w:rsidRPr="008B63C2" w:rsidRDefault="00247146" w:rsidP="00247146"/>
    <w:p w14:paraId="5F75C1C0" w14:textId="77777777" w:rsidR="00247146" w:rsidRPr="008B63C2" w:rsidRDefault="00247146" w:rsidP="00247146">
      <w:r w:rsidRPr="008B63C2">
        <w:t xml:space="preserve">The transfemoral procedure is performed by the retrograde femoral approach with fluoroscopic and </w:t>
      </w:r>
      <w:proofErr w:type="spellStart"/>
      <w:r w:rsidRPr="008B63C2">
        <w:t>transoesophageal</w:t>
      </w:r>
      <w:proofErr w:type="spellEnd"/>
      <w:r w:rsidRPr="008B63C2">
        <w:t xml:space="preserve"> echocardiographic guidance and without cardiopulmonary bypass.</w:t>
      </w:r>
    </w:p>
    <w:p w14:paraId="4396D77D" w14:textId="77777777" w:rsidR="00247146" w:rsidRPr="008B63C2" w:rsidRDefault="00247146" w:rsidP="00247146"/>
    <w:p w14:paraId="0CD5B01A" w14:textId="293465F6" w:rsidR="00247146" w:rsidRPr="008B63C2" w:rsidRDefault="00247146" w:rsidP="00247146">
      <w:r w:rsidRPr="008B63C2">
        <w:t xml:space="preserve">Where peripheral access is not available, </w:t>
      </w:r>
      <w:proofErr w:type="spellStart"/>
      <w:r w:rsidRPr="008B63C2">
        <w:t>transapical</w:t>
      </w:r>
      <w:proofErr w:type="spellEnd"/>
      <w:r w:rsidRPr="008B63C2">
        <w:t xml:space="preserve">, </w:t>
      </w:r>
      <w:proofErr w:type="spellStart"/>
      <w:r w:rsidRPr="008B63C2">
        <w:t>transaortic</w:t>
      </w:r>
      <w:proofErr w:type="spellEnd"/>
      <w:r w:rsidRPr="008B63C2">
        <w:t xml:space="preserve"> </w:t>
      </w:r>
      <w:r w:rsidR="002371F6">
        <w:t>or</w:t>
      </w:r>
      <w:r w:rsidRPr="008B63C2">
        <w:t xml:space="preserve"> sub-</w:t>
      </w:r>
      <w:proofErr w:type="spellStart"/>
      <w:r w:rsidRPr="008B63C2">
        <w:t>clavian</w:t>
      </w:r>
      <w:proofErr w:type="spellEnd"/>
      <w:r w:rsidRPr="008B63C2">
        <w:t xml:space="preserve"> </w:t>
      </w:r>
      <w:r w:rsidR="002371F6">
        <w:t>delivery</w:t>
      </w:r>
      <w:r w:rsidR="002371F6" w:rsidRPr="008B63C2">
        <w:t xml:space="preserve"> </w:t>
      </w:r>
      <w:r w:rsidRPr="008B63C2">
        <w:t xml:space="preserve">can provide an alternative method. For the transapical procedure, access to the aortic valve is achieved surgically via an anterolateral mini-thoracotomy placed in the fifth or possibly sixth intercostal space, followed by apical puncture of the left ventricle. The </w:t>
      </w:r>
      <w:proofErr w:type="spellStart"/>
      <w:r w:rsidRPr="008B63C2">
        <w:t>transaortic</w:t>
      </w:r>
      <w:proofErr w:type="spellEnd"/>
      <w:r w:rsidRPr="008B63C2">
        <w:t xml:space="preserve"> and sub-</w:t>
      </w:r>
      <w:proofErr w:type="spellStart"/>
      <w:r w:rsidRPr="008B63C2">
        <w:t>clavian</w:t>
      </w:r>
      <w:proofErr w:type="spellEnd"/>
      <w:r w:rsidRPr="008B63C2">
        <w:t xml:space="preserve"> procedures are alternative surgical approaches if the patient’s anatomy prevents a transapical approach. The </w:t>
      </w:r>
      <w:proofErr w:type="spellStart"/>
      <w:r w:rsidRPr="008B63C2">
        <w:t>transaortic</w:t>
      </w:r>
      <w:proofErr w:type="spellEnd"/>
      <w:r w:rsidRPr="008B63C2">
        <w:t xml:space="preserve"> procedure involves either a transverse sub-</w:t>
      </w:r>
      <w:proofErr w:type="spellStart"/>
      <w:r w:rsidRPr="008B63C2">
        <w:t>clavian</w:t>
      </w:r>
      <w:proofErr w:type="spellEnd"/>
      <w:r w:rsidRPr="008B63C2">
        <w:t xml:space="preserve"> incision through an intercostal muscle or a mini-</w:t>
      </w:r>
      <w:proofErr w:type="spellStart"/>
      <w:r w:rsidRPr="008B63C2">
        <w:t>sternotomy</w:t>
      </w:r>
      <w:proofErr w:type="spellEnd"/>
      <w:r w:rsidRPr="008B63C2">
        <w:t xml:space="preserve"> where 2-3</w:t>
      </w:r>
      <w:r w:rsidR="00744308">
        <w:t> </w:t>
      </w:r>
      <w:r w:rsidRPr="008B63C2">
        <w:t>cm of the sternum is removed. Access to the aortic valve is navigated through this incision to the aorta, which is punctured allowing direct access to implant the valve.</w:t>
      </w:r>
    </w:p>
    <w:p w14:paraId="7CD1992D" w14:textId="77777777" w:rsidR="00247146" w:rsidRPr="008B63C2" w:rsidRDefault="00247146" w:rsidP="00247146"/>
    <w:p w14:paraId="0FEE5B59" w14:textId="77777777" w:rsidR="00247146" w:rsidRDefault="00247146" w:rsidP="00247146">
      <w:r w:rsidRPr="008B63C2">
        <w:t>The proposed intervention is likely to substitute SAVR in patients not contraindicated for SAVR but who have a high risk of complications or death from SAVR. These patients can undergo SAVR or TAVI based on the assessment</w:t>
      </w:r>
      <w:r w:rsidR="00744308">
        <w:t xml:space="preserve"> by the multidisciplinary team.</w:t>
      </w:r>
    </w:p>
    <w:p w14:paraId="46330C85" w14:textId="77777777" w:rsidR="00247146" w:rsidRPr="008B63C2" w:rsidRDefault="00247146" w:rsidP="00247146"/>
    <w:p w14:paraId="2F742415" w14:textId="77777777" w:rsidR="00247146" w:rsidRPr="008B63C2" w:rsidRDefault="00247146" w:rsidP="00247146">
      <w:r w:rsidRPr="008B63C2">
        <w:t xml:space="preserve">The proposed intervention would also be used in patients who are contraindicated for SAVR. Patients contraindicated for SAVR would usually, in the absence of TAVI have medical management. Some patients receiving medical management may undergo a minimally invasive balloon </w:t>
      </w:r>
      <w:proofErr w:type="spellStart"/>
      <w:r w:rsidRPr="008B63C2">
        <w:t>valvuloplasty</w:t>
      </w:r>
      <w:proofErr w:type="spellEnd"/>
      <w:r w:rsidRPr="008B63C2">
        <w:t>.</w:t>
      </w:r>
    </w:p>
    <w:p w14:paraId="15990456" w14:textId="77777777" w:rsidR="00247146" w:rsidRPr="008B63C2" w:rsidRDefault="00247146" w:rsidP="00247146">
      <w:pPr>
        <w:rPr>
          <w:rFonts w:eastAsiaTheme="minorHAnsi"/>
        </w:rPr>
      </w:pPr>
    </w:p>
    <w:p w14:paraId="2A480E64" w14:textId="77777777" w:rsidR="00247146" w:rsidRPr="008B63C2" w:rsidRDefault="00247146" w:rsidP="00247146">
      <w:pPr>
        <w:rPr>
          <w:rFonts w:eastAsiaTheme="minorHAnsi"/>
        </w:rPr>
      </w:pPr>
      <w:r w:rsidRPr="008B63C2">
        <w:rPr>
          <w:rFonts w:eastAsiaTheme="minorHAnsi"/>
        </w:rPr>
        <w:t xml:space="preserve">The development of percutaneous </w:t>
      </w:r>
      <w:proofErr w:type="spellStart"/>
      <w:r w:rsidRPr="008B63C2">
        <w:rPr>
          <w:rFonts w:eastAsiaTheme="minorHAnsi"/>
        </w:rPr>
        <w:t>bioprosthetic</w:t>
      </w:r>
      <w:proofErr w:type="spellEnd"/>
      <w:r w:rsidRPr="008B63C2">
        <w:rPr>
          <w:rFonts w:eastAsiaTheme="minorHAnsi"/>
        </w:rPr>
        <w:t xml:space="preserve"> heart valve</w:t>
      </w:r>
      <w:r>
        <w:rPr>
          <w:rFonts w:eastAsiaTheme="minorHAnsi"/>
        </w:rPr>
        <w:t>s</w:t>
      </w:r>
      <w:r w:rsidRPr="008B63C2">
        <w:rPr>
          <w:rFonts w:eastAsiaTheme="minorHAnsi"/>
        </w:rPr>
        <w:t xml:space="preserve"> has provided a new surgical option for patients with severe aortic stenosis if the risk of open-heart surgery is prohibitive</w:t>
      </w:r>
      <w:r>
        <w:rPr>
          <w:rFonts w:eastAsiaTheme="minorHAnsi"/>
        </w:rPr>
        <w:t>ly</w:t>
      </w:r>
      <w:r w:rsidRPr="008B63C2">
        <w:rPr>
          <w:rFonts w:eastAsiaTheme="minorHAnsi"/>
        </w:rPr>
        <w:t xml:space="preserve"> high.</w:t>
      </w:r>
    </w:p>
    <w:p w14:paraId="295CE02E" w14:textId="77777777" w:rsidR="00247146" w:rsidRPr="008B63C2" w:rsidRDefault="00247146" w:rsidP="00247146">
      <w:pPr>
        <w:rPr>
          <w:rFonts w:eastAsiaTheme="minorHAnsi"/>
        </w:rPr>
      </w:pPr>
    </w:p>
    <w:p w14:paraId="6B1113FC" w14:textId="77777777" w:rsidR="00247146" w:rsidRDefault="00247146" w:rsidP="00247146">
      <w:pPr>
        <w:rPr>
          <w:rFonts w:eastAsiaTheme="minorHAnsi"/>
        </w:rPr>
      </w:pPr>
      <w:r w:rsidRPr="008B63C2">
        <w:rPr>
          <w:rFonts w:eastAsiaTheme="minorHAnsi"/>
        </w:rPr>
        <w:t xml:space="preserve">The most common approach to percutaneous </w:t>
      </w:r>
      <w:r w:rsidR="009C19BF">
        <w:t>aortic valve replacement</w:t>
      </w:r>
      <w:r w:rsidR="009C19BF" w:rsidRPr="008B63C2">
        <w:rPr>
          <w:rFonts w:eastAsiaTheme="minorHAnsi"/>
        </w:rPr>
        <w:t xml:space="preserve"> </w:t>
      </w:r>
      <w:r w:rsidRPr="008B63C2">
        <w:rPr>
          <w:rFonts w:eastAsiaTheme="minorHAnsi"/>
        </w:rPr>
        <w:t>is the retrograde approach (</w:t>
      </w:r>
      <w:r w:rsidR="00744308">
        <w:rPr>
          <w:rFonts w:eastAsiaTheme="minorHAnsi"/>
        </w:rPr>
        <w:t>t</w:t>
      </w:r>
      <w:r w:rsidRPr="008B63C2">
        <w:rPr>
          <w:rFonts w:eastAsiaTheme="minorHAnsi"/>
        </w:rPr>
        <w:t xml:space="preserve">ransfemoral), because it is a simpler technique and has procedural similarity to coronary angiography. The transapical approach is </w:t>
      </w:r>
      <w:r>
        <w:rPr>
          <w:rFonts w:eastAsiaTheme="minorHAnsi"/>
        </w:rPr>
        <w:t>an</w:t>
      </w:r>
      <w:r w:rsidRPr="008B63C2">
        <w:rPr>
          <w:rFonts w:eastAsiaTheme="minorHAnsi"/>
        </w:rPr>
        <w:t xml:space="preserve"> alternative</w:t>
      </w:r>
      <w:r>
        <w:rPr>
          <w:rFonts w:eastAsiaTheme="minorHAnsi"/>
        </w:rPr>
        <w:t xml:space="preserve"> m</w:t>
      </w:r>
      <w:r w:rsidRPr="00B81F84">
        <w:rPr>
          <w:rFonts w:eastAsiaTheme="minorHAnsi"/>
        </w:rPr>
        <w:t>inimally invasive surgical</w:t>
      </w:r>
      <w:r w:rsidRPr="008B63C2">
        <w:rPr>
          <w:rFonts w:eastAsiaTheme="minorHAnsi"/>
        </w:rPr>
        <w:t xml:space="preserve"> approach and is far more invasive, requiring direct puncture of the left ventricle. Edwards SAPIEN aortic valve can be inserted by either </w:t>
      </w:r>
      <w:r w:rsidR="00AF535C">
        <w:rPr>
          <w:rFonts w:eastAsiaTheme="minorHAnsi"/>
        </w:rPr>
        <w:t xml:space="preserve">the </w:t>
      </w:r>
      <w:r w:rsidRPr="008B63C2">
        <w:rPr>
          <w:rFonts w:eastAsiaTheme="minorHAnsi"/>
        </w:rPr>
        <w:t>transfemoral or transapical approach.</w:t>
      </w:r>
    </w:p>
    <w:p w14:paraId="09388B22" w14:textId="77777777" w:rsidR="00744308" w:rsidRPr="008B63C2" w:rsidRDefault="00744308" w:rsidP="00247146">
      <w:pPr>
        <w:rPr>
          <w:rFonts w:eastAsiaTheme="minorHAnsi"/>
        </w:rPr>
      </w:pPr>
    </w:p>
    <w:p w14:paraId="593E5012" w14:textId="25C2089F" w:rsidR="00247146" w:rsidRDefault="00247146" w:rsidP="00247146">
      <w:r w:rsidRPr="008B63C2">
        <w:t xml:space="preserve">It </w:t>
      </w:r>
      <w:r w:rsidR="00744308">
        <w:t>wa</w:t>
      </w:r>
      <w:r w:rsidRPr="008B63C2">
        <w:t>s proposed that TAVI be used in patients with symptomatic aortic stenosis (aortic valve area</w:t>
      </w:r>
      <w:r w:rsidR="00744308">
        <w:t xml:space="preserve"> </w:t>
      </w:r>
      <w:r w:rsidRPr="008B63C2">
        <w:t>&lt;</w:t>
      </w:r>
      <w:r w:rsidR="00744308">
        <w:t> </w:t>
      </w:r>
      <w:r w:rsidRPr="008B63C2">
        <w:t>1.0</w:t>
      </w:r>
      <w:r w:rsidR="00744308">
        <w:t> </w:t>
      </w:r>
      <w:r w:rsidRPr="008B63C2">
        <w:t>cm</w:t>
      </w:r>
      <w:r w:rsidRPr="008B63C2">
        <w:rPr>
          <w:vertAlign w:val="superscript"/>
        </w:rPr>
        <w:t>2</w:t>
      </w:r>
      <w:r w:rsidRPr="008B63C2">
        <w:t xml:space="preserve">) and who have been assessed by </w:t>
      </w:r>
      <w:r w:rsidR="000E76C4">
        <w:t xml:space="preserve">a </w:t>
      </w:r>
      <w:r w:rsidRPr="008B63C2">
        <w:t>specialist medical team to have high risk for operative mo</w:t>
      </w:r>
      <w:r w:rsidR="00744308">
        <w:t>rtality, or are ‘non-operable’.</w:t>
      </w:r>
    </w:p>
    <w:p w14:paraId="0468C5AD" w14:textId="77777777" w:rsidR="00744308" w:rsidRDefault="00744308" w:rsidP="00247146"/>
    <w:p w14:paraId="42743FEF" w14:textId="77777777" w:rsidR="00BC1364" w:rsidRPr="008D5885" w:rsidRDefault="00744308" w:rsidP="007B32D1">
      <w:pPr>
        <w:pStyle w:val="Heading1"/>
        <w:numPr>
          <w:ilvl w:val="0"/>
          <w:numId w:val="23"/>
        </w:numPr>
        <w:ind w:hanging="720"/>
      </w:pPr>
      <w:r>
        <w:t>Comparator</w:t>
      </w:r>
    </w:p>
    <w:p w14:paraId="00C5959C" w14:textId="77777777" w:rsidR="00744308" w:rsidRDefault="00744308" w:rsidP="00F9695B"/>
    <w:p w14:paraId="370936B9" w14:textId="77777777" w:rsidR="00F9695B" w:rsidRPr="008B63C2" w:rsidRDefault="00F9695B" w:rsidP="00F9695B">
      <w:r w:rsidRPr="008B63C2">
        <w:t>Consistent with the final Pro</w:t>
      </w:r>
      <w:r w:rsidR="006A7F8A">
        <w:t xml:space="preserve">tocol, the </w:t>
      </w:r>
      <w:r w:rsidR="007C32E5">
        <w:t>SBA</w:t>
      </w:r>
      <w:r w:rsidR="006A7F8A">
        <w:t xml:space="preserve"> nominated</w:t>
      </w:r>
      <w:r w:rsidRPr="008B63C2">
        <w:t xml:space="preserve"> two comparators:</w:t>
      </w:r>
    </w:p>
    <w:p w14:paraId="778521C2" w14:textId="77777777" w:rsidR="00F9695B" w:rsidRPr="008B63C2" w:rsidRDefault="00F9695B" w:rsidP="009C19BF">
      <w:pPr>
        <w:numPr>
          <w:ilvl w:val="0"/>
          <w:numId w:val="29"/>
        </w:numPr>
        <w:ind w:left="426" w:hanging="426"/>
        <w:contextualSpacing/>
      </w:pPr>
      <w:r w:rsidRPr="008B63C2">
        <w:t>SAVR in patients not contraindicated for SAVR</w:t>
      </w:r>
      <w:r w:rsidR="00DF3104">
        <w:t>,</w:t>
      </w:r>
      <w:r w:rsidRPr="008B63C2">
        <w:t xml:space="preserve"> but assessed as at ‘high risk” </w:t>
      </w:r>
      <w:r w:rsidR="00744308">
        <w:t>for complications or death; and</w:t>
      </w:r>
    </w:p>
    <w:p w14:paraId="496D10E1" w14:textId="77777777" w:rsidR="00F9695B" w:rsidRPr="008B63C2" w:rsidRDefault="00F9695B" w:rsidP="009C19BF">
      <w:pPr>
        <w:numPr>
          <w:ilvl w:val="0"/>
          <w:numId w:val="29"/>
        </w:numPr>
        <w:ind w:left="426" w:hanging="426"/>
        <w:contextualSpacing/>
      </w:pPr>
      <w:proofErr w:type="gramStart"/>
      <w:r w:rsidRPr="008B63C2">
        <w:t>medical</w:t>
      </w:r>
      <w:proofErr w:type="gramEnd"/>
      <w:r w:rsidRPr="008B63C2">
        <w:t xml:space="preserve"> management (with or without balloon </w:t>
      </w:r>
      <w:proofErr w:type="spellStart"/>
      <w:r w:rsidRPr="008B63C2">
        <w:t>valvuloplasty</w:t>
      </w:r>
      <w:proofErr w:type="spellEnd"/>
      <w:r w:rsidRPr="008B63C2">
        <w:t>) in patients who are assessed as ‘inoperable’ for surg</w:t>
      </w:r>
      <w:r w:rsidR="00744308">
        <w:t>ical aortic valve replacement.</w:t>
      </w:r>
    </w:p>
    <w:p w14:paraId="782D55E3" w14:textId="77777777" w:rsidR="00744308" w:rsidRDefault="00744308" w:rsidP="00F9695B"/>
    <w:p w14:paraId="7E44D09C" w14:textId="77777777" w:rsidR="00F9695B" w:rsidRPr="008B63C2" w:rsidRDefault="00F9695B" w:rsidP="00F9695B">
      <w:r w:rsidRPr="008B63C2">
        <w:t xml:space="preserve">The arguments provided in support </w:t>
      </w:r>
      <w:r w:rsidR="006A7F8A">
        <w:t>we</w:t>
      </w:r>
      <w:r w:rsidR="004746B0">
        <w:t>re that:</w:t>
      </w:r>
    </w:p>
    <w:p w14:paraId="3103E749" w14:textId="77777777" w:rsidR="00F9695B" w:rsidRPr="008B63C2" w:rsidRDefault="00F9695B" w:rsidP="00455C03">
      <w:pPr>
        <w:widowControl w:val="0"/>
        <w:numPr>
          <w:ilvl w:val="0"/>
          <w:numId w:val="36"/>
        </w:numPr>
        <w:ind w:left="374"/>
      </w:pPr>
      <w:r w:rsidRPr="008B63C2">
        <w:t xml:space="preserve">SAVR is the current treatment for ‘high risk’ patients with symptomatic aortic stenosis; </w:t>
      </w:r>
      <w:r w:rsidRPr="008B63C2">
        <w:lastRenderedPageBreak/>
        <w:t>and</w:t>
      </w:r>
    </w:p>
    <w:p w14:paraId="7DCCA3AC" w14:textId="77777777" w:rsidR="00F9695B" w:rsidRPr="008B63C2" w:rsidRDefault="00744308" w:rsidP="00455C03">
      <w:pPr>
        <w:widowControl w:val="0"/>
        <w:numPr>
          <w:ilvl w:val="0"/>
          <w:numId w:val="36"/>
        </w:numPr>
        <w:ind w:left="374"/>
      </w:pPr>
      <w:proofErr w:type="gramStart"/>
      <w:r>
        <w:t>m</w:t>
      </w:r>
      <w:r w:rsidR="00F9695B" w:rsidRPr="008B63C2">
        <w:t>edical</w:t>
      </w:r>
      <w:proofErr w:type="gramEnd"/>
      <w:r w:rsidR="00F9695B" w:rsidRPr="008B63C2">
        <w:t xml:space="preserve"> management (with or without </w:t>
      </w:r>
      <w:r w:rsidR="009C19BF">
        <w:t xml:space="preserve">balloon </w:t>
      </w:r>
      <w:proofErr w:type="spellStart"/>
      <w:r w:rsidR="00F9695B" w:rsidRPr="008B63C2">
        <w:t>valvuloplasty</w:t>
      </w:r>
      <w:proofErr w:type="spellEnd"/>
      <w:r w:rsidR="00F9695B" w:rsidRPr="008B63C2">
        <w:t xml:space="preserve">) is the only treatment available for patients with symptomatic aortic stenosis who are considered too high risk to undergo </w:t>
      </w:r>
      <w:r w:rsidR="009C19BF">
        <w:t>S</w:t>
      </w:r>
      <w:r w:rsidR="00F9695B" w:rsidRPr="008B63C2">
        <w:t>AVR.</w:t>
      </w:r>
    </w:p>
    <w:p w14:paraId="2EAFFA9E" w14:textId="77777777" w:rsidR="00744308" w:rsidRDefault="00744308" w:rsidP="00F9695B"/>
    <w:p w14:paraId="302E4010" w14:textId="77777777" w:rsidR="00F9695B" w:rsidRPr="008B63C2" w:rsidRDefault="00F9695B" w:rsidP="00F9695B">
      <w:r>
        <w:t>SAVR</w:t>
      </w:r>
      <w:r w:rsidRPr="008B63C2">
        <w:t xml:space="preserve"> is listed on the MBS.</w:t>
      </w:r>
    </w:p>
    <w:p w14:paraId="6B32AB81" w14:textId="77777777" w:rsidR="00F9695B" w:rsidRPr="008B63C2" w:rsidRDefault="00F9695B" w:rsidP="00F26C06">
      <w:pPr>
        <w:pStyle w:val="Tabletextboldleft"/>
      </w:pPr>
      <w:r w:rsidRPr="008B63C2">
        <w:t>Current MBS item descriptor</w:t>
      </w:r>
      <w:r w:rsidR="009C19BF">
        <w:t>s</w:t>
      </w:r>
      <w:r w:rsidRPr="008B63C2">
        <w:t xml:space="preserve"> for sur</w:t>
      </w:r>
      <w:r w:rsidR="00744308">
        <w:t>gical aortic valve replacement (SAVR)</w:t>
      </w:r>
    </w:p>
    <w:tbl>
      <w:tblPr>
        <w:tblStyle w:val="TableGrid3"/>
        <w:tblW w:w="0" w:type="auto"/>
        <w:tblLook w:val="04A0" w:firstRow="1" w:lastRow="0" w:firstColumn="1" w:lastColumn="0" w:noHBand="0" w:noVBand="1"/>
        <w:tblCaption w:val="Current MBS item descriptor for surgical aortic valve replacement"/>
      </w:tblPr>
      <w:tblGrid>
        <w:gridCol w:w="9242"/>
      </w:tblGrid>
      <w:tr w:rsidR="00F9695B" w:rsidRPr="008B63C2" w14:paraId="671AE876" w14:textId="77777777" w:rsidTr="001472CD">
        <w:trPr>
          <w:tblHeader/>
        </w:trPr>
        <w:tc>
          <w:tcPr>
            <w:tcW w:w="9242" w:type="dxa"/>
          </w:tcPr>
          <w:p w14:paraId="11EA5DBD" w14:textId="77777777" w:rsidR="00F9695B" w:rsidRPr="008B63C2" w:rsidRDefault="00F9695B" w:rsidP="00F9695B">
            <w:pPr>
              <w:jc w:val="right"/>
              <w:rPr>
                <w:rFonts w:ascii="Times New Roman" w:hAnsi="Times New Roman"/>
                <w:sz w:val="20"/>
              </w:rPr>
            </w:pPr>
            <w:r w:rsidRPr="008B63C2">
              <w:rPr>
                <w:rFonts w:ascii="Times New Roman" w:hAnsi="Times New Roman"/>
                <w:sz w:val="20"/>
              </w:rPr>
              <w:t>Category 3 – Therapeutic Procedures</w:t>
            </w:r>
          </w:p>
        </w:tc>
      </w:tr>
      <w:tr w:rsidR="00F9695B" w:rsidRPr="008B63C2" w14:paraId="3A5969C2" w14:textId="77777777" w:rsidTr="001472CD">
        <w:tc>
          <w:tcPr>
            <w:tcW w:w="9242" w:type="dxa"/>
          </w:tcPr>
          <w:p w14:paraId="0E54D7AE" w14:textId="77777777" w:rsidR="00F9695B" w:rsidRPr="008B63C2" w:rsidRDefault="00F9695B" w:rsidP="00F9695B">
            <w:pPr>
              <w:rPr>
                <w:rFonts w:ascii="Times New Roman" w:hAnsi="Times New Roman"/>
                <w:sz w:val="20"/>
              </w:rPr>
            </w:pPr>
            <w:r w:rsidRPr="008B63C2">
              <w:rPr>
                <w:rFonts w:ascii="Times New Roman" w:hAnsi="Times New Roman"/>
                <w:sz w:val="20"/>
              </w:rPr>
              <w:t xml:space="preserve">MBS: 38488 </w:t>
            </w:r>
          </w:p>
          <w:p w14:paraId="67E2D565" w14:textId="77777777" w:rsidR="00F9695B" w:rsidRPr="008B63C2" w:rsidRDefault="00F9695B" w:rsidP="00F9695B">
            <w:pPr>
              <w:rPr>
                <w:rFonts w:ascii="Times New Roman" w:hAnsi="Times New Roman"/>
                <w:sz w:val="20"/>
              </w:rPr>
            </w:pPr>
          </w:p>
          <w:p w14:paraId="042183D3" w14:textId="77777777" w:rsidR="00F9695B" w:rsidRPr="008B63C2" w:rsidRDefault="00F9695B" w:rsidP="00F9695B">
            <w:pPr>
              <w:rPr>
                <w:rFonts w:ascii="Times New Roman" w:hAnsi="Times New Roman"/>
                <w:sz w:val="20"/>
              </w:rPr>
            </w:pPr>
            <w:r w:rsidRPr="008B63C2">
              <w:rPr>
                <w:rFonts w:ascii="Times New Roman" w:hAnsi="Times New Roman"/>
                <w:sz w:val="20"/>
              </w:rPr>
              <w:t>VALVE REPLACEMENT with BIOPROS</w:t>
            </w:r>
            <w:r w:rsidR="004746B0">
              <w:rPr>
                <w:rFonts w:ascii="Times New Roman" w:hAnsi="Times New Roman"/>
                <w:sz w:val="20"/>
              </w:rPr>
              <w:t>THESIS OR MECHANICAL PROSTHESIS</w:t>
            </w:r>
          </w:p>
          <w:p w14:paraId="14CAD9FF" w14:textId="77777777" w:rsidR="00F9695B" w:rsidRPr="008B63C2" w:rsidRDefault="00F9695B" w:rsidP="00F9695B">
            <w:pPr>
              <w:rPr>
                <w:rFonts w:ascii="Times New Roman" w:hAnsi="Times New Roman"/>
                <w:sz w:val="20"/>
              </w:rPr>
            </w:pPr>
          </w:p>
          <w:p w14:paraId="085266E0" w14:textId="42FEFFEE" w:rsidR="00F9695B" w:rsidRPr="008B63C2" w:rsidRDefault="00F9695B" w:rsidP="00F9695B">
            <w:pPr>
              <w:rPr>
                <w:rFonts w:ascii="Times New Roman" w:hAnsi="Times New Roman"/>
                <w:sz w:val="20"/>
              </w:rPr>
            </w:pPr>
            <w:r w:rsidRPr="008B63C2">
              <w:rPr>
                <w:rFonts w:ascii="Times New Roman" w:hAnsi="Times New Roman"/>
                <w:sz w:val="20"/>
              </w:rPr>
              <w:t>Multiple S</w:t>
            </w:r>
            <w:r w:rsidR="004746B0">
              <w:rPr>
                <w:rFonts w:ascii="Times New Roman" w:hAnsi="Times New Roman"/>
                <w:sz w:val="20"/>
              </w:rPr>
              <w:t>ervices Rule (</w:t>
            </w:r>
            <w:proofErr w:type="spellStart"/>
            <w:r w:rsidR="004746B0">
              <w:rPr>
                <w:rFonts w:ascii="Times New Roman" w:hAnsi="Times New Roman"/>
                <w:sz w:val="20"/>
              </w:rPr>
              <w:t>Anaes</w:t>
            </w:r>
            <w:proofErr w:type="spellEnd"/>
            <w:r w:rsidR="004746B0">
              <w:rPr>
                <w:rFonts w:ascii="Times New Roman" w:hAnsi="Times New Roman"/>
                <w:sz w:val="20"/>
              </w:rPr>
              <w:t>.) (Assist.)</w:t>
            </w:r>
          </w:p>
          <w:p w14:paraId="5C414849" w14:textId="77777777" w:rsidR="00F9695B" w:rsidRPr="008B63C2" w:rsidRDefault="00F9695B" w:rsidP="00F9695B">
            <w:pPr>
              <w:rPr>
                <w:rFonts w:ascii="Times New Roman" w:hAnsi="Times New Roman"/>
                <w:sz w:val="20"/>
              </w:rPr>
            </w:pPr>
            <w:r w:rsidRPr="008B63C2">
              <w:rPr>
                <w:rFonts w:ascii="Times New Roman" w:hAnsi="Times New Roman"/>
                <w:sz w:val="20"/>
              </w:rPr>
              <w:t xml:space="preserve">Fee: $1,909.60 </w:t>
            </w:r>
          </w:p>
          <w:p w14:paraId="4F7EF91A" w14:textId="77777777" w:rsidR="00F9695B" w:rsidRPr="008B63C2" w:rsidRDefault="00F9695B" w:rsidP="00F9695B">
            <w:pPr>
              <w:rPr>
                <w:rFonts w:ascii="Times New Roman" w:hAnsi="Times New Roman"/>
                <w:sz w:val="20"/>
              </w:rPr>
            </w:pPr>
          </w:p>
          <w:p w14:paraId="5CD3FD44" w14:textId="4BAD2966" w:rsidR="00F9695B" w:rsidRPr="008B63C2" w:rsidRDefault="00F9695B" w:rsidP="00F9695B">
            <w:pPr>
              <w:rPr>
                <w:rFonts w:ascii="Times New Roman" w:hAnsi="Times New Roman"/>
                <w:sz w:val="20"/>
              </w:rPr>
            </w:pPr>
            <w:r w:rsidRPr="008B63C2">
              <w:rPr>
                <w:rFonts w:ascii="Times New Roman" w:hAnsi="Times New Roman"/>
                <w:sz w:val="20"/>
              </w:rPr>
              <w:t xml:space="preserve">Explanatory note: </w:t>
            </w:r>
          </w:p>
          <w:p w14:paraId="4BA809A5" w14:textId="77777777" w:rsidR="00F9695B" w:rsidRPr="008B63C2" w:rsidRDefault="00F9695B" w:rsidP="00F9695B">
            <w:pPr>
              <w:rPr>
                <w:rFonts w:ascii="Times New Roman" w:hAnsi="Times New Roman"/>
                <w:sz w:val="20"/>
              </w:rPr>
            </w:pPr>
            <w:r w:rsidRPr="008B63C2">
              <w:rPr>
                <w:rFonts w:ascii="Times New Roman" w:hAnsi="Times New Roman"/>
                <w:sz w:val="20"/>
              </w:rPr>
              <w:t xml:space="preserve">T8.68 Cardiac and Thoracic surgical items (Items 38470 to 38766) </w:t>
            </w:r>
          </w:p>
          <w:p w14:paraId="0886E705" w14:textId="77777777" w:rsidR="00F9695B" w:rsidRPr="008B63C2" w:rsidRDefault="00F9695B" w:rsidP="00F9695B">
            <w:pPr>
              <w:rPr>
                <w:rFonts w:ascii="Times New Roman" w:hAnsi="Times New Roman"/>
                <w:sz w:val="20"/>
              </w:rPr>
            </w:pPr>
            <w:r w:rsidRPr="008B63C2">
              <w:rPr>
                <w:rFonts w:ascii="Times New Roman" w:hAnsi="Times New Roman"/>
                <w:sz w:val="20"/>
              </w:rPr>
              <w:t xml:space="preserve">Items 38470 to 38766 must be performed using open exposure or minimally invasive surgery which excludes percutaneous and transcatheter techniques unless otherwise stated in the item. </w:t>
            </w:r>
          </w:p>
        </w:tc>
      </w:tr>
      <w:tr w:rsidR="00F9695B" w:rsidRPr="008B63C2" w14:paraId="79AB6576" w14:textId="77777777" w:rsidTr="001472CD">
        <w:tc>
          <w:tcPr>
            <w:tcW w:w="9242" w:type="dxa"/>
          </w:tcPr>
          <w:p w14:paraId="133B0122" w14:textId="77777777" w:rsidR="00F9695B" w:rsidRPr="008B63C2" w:rsidRDefault="00F9695B" w:rsidP="00F9695B">
            <w:pPr>
              <w:rPr>
                <w:rFonts w:ascii="Times New Roman" w:hAnsi="Times New Roman"/>
                <w:sz w:val="20"/>
              </w:rPr>
            </w:pPr>
            <w:r w:rsidRPr="008B63C2">
              <w:rPr>
                <w:rFonts w:ascii="Times New Roman" w:hAnsi="Times New Roman"/>
                <w:sz w:val="20"/>
              </w:rPr>
              <w:t xml:space="preserve">MBS: 38489 </w:t>
            </w:r>
          </w:p>
          <w:p w14:paraId="59A73E08" w14:textId="77777777" w:rsidR="00F9695B" w:rsidRPr="008B63C2" w:rsidRDefault="00F9695B" w:rsidP="00F9695B">
            <w:pPr>
              <w:rPr>
                <w:rFonts w:ascii="Times New Roman" w:hAnsi="Times New Roman"/>
                <w:sz w:val="20"/>
              </w:rPr>
            </w:pPr>
          </w:p>
          <w:p w14:paraId="00039A18" w14:textId="77777777" w:rsidR="00F9695B" w:rsidRPr="008B63C2" w:rsidRDefault="00F9695B" w:rsidP="00F9695B">
            <w:pPr>
              <w:rPr>
                <w:rFonts w:ascii="Times New Roman" w:hAnsi="Times New Roman"/>
                <w:sz w:val="20"/>
              </w:rPr>
            </w:pPr>
            <w:r w:rsidRPr="008B63C2">
              <w:rPr>
                <w:rFonts w:ascii="Times New Roman" w:hAnsi="Times New Roman"/>
                <w:sz w:val="20"/>
              </w:rPr>
              <w:t>VALVE REPLACEMENT with allograft (</w:t>
            </w:r>
            <w:proofErr w:type="spellStart"/>
            <w:r w:rsidRPr="008B63C2">
              <w:rPr>
                <w:rFonts w:ascii="Times New Roman" w:hAnsi="Times New Roman"/>
                <w:sz w:val="20"/>
              </w:rPr>
              <w:t>subcoronary</w:t>
            </w:r>
            <w:proofErr w:type="spellEnd"/>
            <w:r w:rsidRPr="008B63C2">
              <w:rPr>
                <w:rFonts w:ascii="Times New Roman" w:hAnsi="Times New Roman"/>
                <w:sz w:val="20"/>
              </w:rPr>
              <w:t xml:space="preserve"> or cylindrical implant), or </w:t>
            </w:r>
            <w:proofErr w:type="spellStart"/>
            <w:r w:rsidRPr="008B63C2">
              <w:rPr>
                <w:rFonts w:ascii="Times New Roman" w:hAnsi="Times New Roman"/>
                <w:sz w:val="20"/>
              </w:rPr>
              <w:t>unstented</w:t>
            </w:r>
            <w:proofErr w:type="spellEnd"/>
            <w:r w:rsidRPr="008B63C2">
              <w:rPr>
                <w:rFonts w:ascii="Times New Roman" w:hAnsi="Times New Roman"/>
                <w:sz w:val="20"/>
              </w:rPr>
              <w:t xml:space="preserve"> </w:t>
            </w:r>
            <w:proofErr w:type="spellStart"/>
            <w:r w:rsidRPr="008B63C2">
              <w:rPr>
                <w:rFonts w:ascii="Times New Roman" w:hAnsi="Times New Roman"/>
                <w:sz w:val="20"/>
              </w:rPr>
              <w:t>xenograft</w:t>
            </w:r>
            <w:proofErr w:type="spellEnd"/>
            <w:r w:rsidRPr="008B63C2">
              <w:rPr>
                <w:rFonts w:ascii="Times New Roman" w:hAnsi="Times New Roman"/>
                <w:sz w:val="20"/>
              </w:rPr>
              <w:t xml:space="preserve"> </w:t>
            </w:r>
          </w:p>
          <w:p w14:paraId="253B2E63" w14:textId="77777777" w:rsidR="00F9695B" w:rsidRPr="008B63C2" w:rsidRDefault="00F9695B" w:rsidP="00F9695B">
            <w:pPr>
              <w:rPr>
                <w:rFonts w:ascii="Times New Roman" w:hAnsi="Times New Roman"/>
                <w:sz w:val="20"/>
              </w:rPr>
            </w:pPr>
          </w:p>
          <w:p w14:paraId="4B881307" w14:textId="79F2D644" w:rsidR="00F9695B" w:rsidRPr="008B63C2" w:rsidRDefault="00F9695B" w:rsidP="00F9695B">
            <w:pPr>
              <w:rPr>
                <w:rFonts w:ascii="Times New Roman" w:hAnsi="Times New Roman"/>
                <w:sz w:val="20"/>
              </w:rPr>
            </w:pPr>
            <w:r w:rsidRPr="008B63C2">
              <w:rPr>
                <w:rFonts w:ascii="Times New Roman" w:hAnsi="Times New Roman"/>
                <w:sz w:val="20"/>
              </w:rPr>
              <w:t>Multiple Services Rule (</w:t>
            </w:r>
            <w:proofErr w:type="spellStart"/>
            <w:r w:rsidRPr="008B63C2">
              <w:rPr>
                <w:rFonts w:ascii="Times New Roman" w:hAnsi="Times New Roman"/>
                <w:sz w:val="20"/>
              </w:rPr>
              <w:t>An</w:t>
            </w:r>
            <w:r w:rsidR="004746B0">
              <w:rPr>
                <w:rFonts w:ascii="Times New Roman" w:hAnsi="Times New Roman"/>
                <w:sz w:val="20"/>
              </w:rPr>
              <w:t>aes</w:t>
            </w:r>
            <w:proofErr w:type="spellEnd"/>
            <w:r w:rsidR="004746B0">
              <w:rPr>
                <w:rFonts w:ascii="Times New Roman" w:hAnsi="Times New Roman"/>
                <w:sz w:val="20"/>
              </w:rPr>
              <w:t>.) (Assist.)</w:t>
            </w:r>
          </w:p>
          <w:p w14:paraId="3E4EBFF8" w14:textId="77777777" w:rsidR="00F9695B" w:rsidRPr="008B63C2" w:rsidRDefault="00F9695B" w:rsidP="00F9695B">
            <w:pPr>
              <w:rPr>
                <w:rFonts w:ascii="Times New Roman" w:hAnsi="Times New Roman"/>
                <w:sz w:val="20"/>
              </w:rPr>
            </w:pPr>
            <w:r w:rsidRPr="008B63C2">
              <w:rPr>
                <w:rFonts w:ascii="Times New Roman" w:hAnsi="Times New Roman"/>
                <w:sz w:val="20"/>
              </w:rPr>
              <w:t xml:space="preserve">Fee: $2,271.05 </w:t>
            </w:r>
          </w:p>
          <w:p w14:paraId="6E27716C" w14:textId="77777777" w:rsidR="00F9695B" w:rsidRPr="008B63C2" w:rsidRDefault="00F9695B" w:rsidP="00F9695B">
            <w:pPr>
              <w:rPr>
                <w:rFonts w:ascii="Times New Roman" w:hAnsi="Times New Roman"/>
                <w:sz w:val="20"/>
              </w:rPr>
            </w:pPr>
          </w:p>
          <w:p w14:paraId="2F95BA5F" w14:textId="4D1A0306" w:rsidR="00F9695B" w:rsidRPr="008B63C2" w:rsidRDefault="00F9695B" w:rsidP="00F9695B">
            <w:pPr>
              <w:rPr>
                <w:rFonts w:ascii="Times New Roman" w:hAnsi="Times New Roman"/>
                <w:sz w:val="20"/>
              </w:rPr>
            </w:pPr>
            <w:r w:rsidRPr="008B63C2">
              <w:rPr>
                <w:rFonts w:ascii="Times New Roman" w:hAnsi="Times New Roman"/>
                <w:sz w:val="20"/>
              </w:rPr>
              <w:t xml:space="preserve">Explanatory note: </w:t>
            </w:r>
          </w:p>
          <w:p w14:paraId="1E1B9279" w14:textId="77777777" w:rsidR="00F9695B" w:rsidRPr="008B63C2" w:rsidRDefault="00F9695B" w:rsidP="00F9695B">
            <w:pPr>
              <w:rPr>
                <w:rFonts w:ascii="Times New Roman" w:hAnsi="Times New Roman"/>
                <w:sz w:val="20"/>
              </w:rPr>
            </w:pPr>
            <w:r w:rsidRPr="008B63C2">
              <w:rPr>
                <w:rFonts w:ascii="Times New Roman" w:hAnsi="Times New Roman"/>
                <w:sz w:val="20"/>
              </w:rPr>
              <w:t xml:space="preserve">T8.68 Cardiac and Thoracic surgical items (Items 38470 to 38766) </w:t>
            </w:r>
          </w:p>
          <w:p w14:paraId="22CEFC22" w14:textId="77777777" w:rsidR="00F9695B" w:rsidRPr="008B63C2" w:rsidRDefault="00F9695B" w:rsidP="00F9695B">
            <w:pPr>
              <w:rPr>
                <w:rFonts w:ascii="Times New Roman" w:hAnsi="Times New Roman"/>
                <w:sz w:val="20"/>
              </w:rPr>
            </w:pPr>
            <w:r w:rsidRPr="008B63C2">
              <w:rPr>
                <w:rFonts w:ascii="Times New Roman" w:hAnsi="Times New Roman"/>
                <w:sz w:val="20"/>
              </w:rPr>
              <w:t>Items 38470 to 38766 must be performed using open exposure or minimally invasive surgery which excludes percutaneous and transcatheter techniques unless otherwise stated in the item.</w:t>
            </w:r>
          </w:p>
        </w:tc>
      </w:tr>
    </w:tbl>
    <w:p w14:paraId="3F605A27" w14:textId="77777777" w:rsidR="00F9695B" w:rsidRPr="003F32B7" w:rsidRDefault="00F9695B" w:rsidP="003F32B7"/>
    <w:p w14:paraId="6E6F4E6D" w14:textId="77777777" w:rsidR="00F9695B" w:rsidRPr="003F32B7" w:rsidRDefault="00F9695B" w:rsidP="003F32B7">
      <w:pPr>
        <w:rPr>
          <w:b/>
        </w:rPr>
      </w:pPr>
      <w:r w:rsidRPr="003F32B7">
        <w:rPr>
          <w:b/>
        </w:rPr>
        <w:t xml:space="preserve">Medical management (with or without </w:t>
      </w:r>
      <w:r w:rsidR="00CE2BC5" w:rsidRPr="003F32B7">
        <w:rPr>
          <w:b/>
        </w:rPr>
        <w:t xml:space="preserve">balloon </w:t>
      </w:r>
      <w:proofErr w:type="spellStart"/>
      <w:r w:rsidRPr="003F32B7">
        <w:rPr>
          <w:b/>
        </w:rPr>
        <w:t>valvuloplasty</w:t>
      </w:r>
      <w:proofErr w:type="spellEnd"/>
      <w:r w:rsidRPr="003F32B7">
        <w:rPr>
          <w:b/>
        </w:rPr>
        <w:t>)</w:t>
      </w:r>
    </w:p>
    <w:p w14:paraId="3F2097A5" w14:textId="1BDCBAE0" w:rsidR="001B05DD" w:rsidRDefault="00F9695B" w:rsidP="00F9695B">
      <w:r w:rsidRPr="008B63C2">
        <w:t xml:space="preserve">The </w:t>
      </w:r>
      <w:r w:rsidR="007C32E5">
        <w:t>SBA</w:t>
      </w:r>
      <w:r w:rsidRPr="008B63C2">
        <w:t xml:space="preserve"> d</w:t>
      </w:r>
      <w:r w:rsidR="00744308">
        <w:t>id</w:t>
      </w:r>
      <w:r w:rsidRPr="008B63C2">
        <w:t xml:space="preserve"> not specify a treatment regimen for patients with symptomatic severe aortic stenosis who are treated by medical management (with or without </w:t>
      </w:r>
      <w:r w:rsidR="00CE2BC5">
        <w:t xml:space="preserve">balloon </w:t>
      </w:r>
      <w:proofErr w:type="spellStart"/>
      <w:r w:rsidRPr="008B63C2">
        <w:t>valvuloplasty</w:t>
      </w:r>
      <w:proofErr w:type="spellEnd"/>
      <w:r w:rsidRPr="008B63C2">
        <w:t xml:space="preserve">). The </w:t>
      </w:r>
      <w:r w:rsidR="007C32E5">
        <w:t>SBA</w:t>
      </w:r>
      <w:r w:rsidRPr="008B63C2">
        <w:t xml:space="preserve"> state</w:t>
      </w:r>
      <w:r w:rsidR="006A7F8A">
        <w:t>d</w:t>
      </w:r>
      <w:r w:rsidRPr="008B63C2">
        <w:t xml:space="preserve"> that ACE inhibitors, antiarrhythmic medication, beta-blockers, calcium channel blockers, diuretic and vasodilator are being used in medical management. Some patients receiving medical management may undergo a minimally invasive balloon </w:t>
      </w:r>
      <w:proofErr w:type="spellStart"/>
      <w:r w:rsidRPr="008B63C2">
        <w:t>valvuloplasty</w:t>
      </w:r>
      <w:proofErr w:type="spellEnd"/>
      <w:r w:rsidRPr="008B63C2">
        <w:t xml:space="preserve"> for symptomatic relief.</w:t>
      </w:r>
    </w:p>
    <w:p w14:paraId="544D44FC" w14:textId="77777777" w:rsidR="00F9695B" w:rsidRPr="008B63C2" w:rsidRDefault="00F9695B" w:rsidP="00F26C06">
      <w:pPr>
        <w:pStyle w:val="Tabletextboldleft"/>
      </w:pPr>
      <w:bookmarkStart w:id="2" w:name="_Ref405452862"/>
      <w:bookmarkEnd w:id="2"/>
      <w:r w:rsidRPr="008B63C2">
        <w:t xml:space="preserve">Current MBS item descriptor for </w:t>
      </w:r>
      <w:r w:rsidR="00CE2BC5">
        <w:t xml:space="preserve">balloon </w:t>
      </w:r>
      <w:proofErr w:type="spellStart"/>
      <w:r w:rsidRPr="008B63C2">
        <w:t>valvuloplasty</w:t>
      </w:r>
      <w:proofErr w:type="spellEnd"/>
    </w:p>
    <w:tbl>
      <w:tblPr>
        <w:tblStyle w:val="TableGrid3"/>
        <w:tblW w:w="0" w:type="auto"/>
        <w:tblLook w:val="04A0" w:firstRow="1" w:lastRow="0" w:firstColumn="1" w:lastColumn="0" w:noHBand="0" w:noVBand="1"/>
        <w:tblCaption w:val="Current MBS item descriptor for vulvoplasty"/>
      </w:tblPr>
      <w:tblGrid>
        <w:gridCol w:w="9242"/>
      </w:tblGrid>
      <w:tr w:rsidR="00F9695B" w:rsidRPr="008B63C2" w14:paraId="76D65E34" w14:textId="77777777" w:rsidTr="001472CD">
        <w:trPr>
          <w:tblHeader/>
        </w:trPr>
        <w:tc>
          <w:tcPr>
            <w:tcW w:w="9242" w:type="dxa"/>
          </w:tcPr>
          <w:p w14:paraId="335C4BD8" w14:textId="77777777" w:rsidR="00F9695B" w:rsidRPr="008B63C2" w:rsidRDefault="00F9695B" w:rsidP="00F9695B">
            <w:pPr>
              <w:jc w:val="right"/>
              <w:rPr>
                <w:rFonts w:ascii="Times New Roman" w:hAnsi="Times New Roman"/>
                <w:sz w:val="20"/>
              </w:rPr>
            </w:pPr>
            <w:r w:rsidRPr="008B63C2">
              <w:rPr>
                <w:rFonts w:ascii="Times New Roman" w:hAnsi="Times New Roman"/>
                <w:sz w:val="20"/>
              </w:rPr>
              <w:t>Category 3 – Therapeutic Procedures</w:t>
            </w:r>
          </w:p>
        </w:tc>
      </w:tr>
      <w:tr w:rsidR="00F9695B" w:rsidRPr="008B63C2" w14:paraId="47DDCF44" w14:textId="77777777" w:rsidTr="00F9695B">
        <w:tc>
          <w:tcPr>
            <w:tcW w:w="9242" w:type="dxa"/>
          </w:tcPr>
          <w:p w14:paraId="18E8EEB3" w14:textId="77777777" w:rsidR="00F9695B" w:rsidRPr="008B63C2" w:rsidRDefault="00F9695B" w:rsidP="00F9695B">
            <w:pPr>
              <w:rPr>
                <w:rFonts w:ascii="Times New Roman" w:hAnsi="Times New Roman"/>
                <w:sz w:val="20"/>
              </w:rPr>
            </w:pPr>
            <w:r w:rsidRPr="008B63C2">
              <w:rPr>
                <w:rFonts w:ascii="Times New Roman" w:hAnsi="Times New Roman"/>
                <w:sz w:val="20"/>
              </w:rPr>
              <w:t>MBS 38270</w:t>
            </w:r>
          </w:p>
          <w:p w14:paraId="3B19FB9B" w14:textId="77777777" w:rsidR="00F9695B" w:rsidRPr="008B63C2" w:rsidRDefault="00F9695B" w:rsidP="00F9695B">
            <w:pPr>
              <w:rPr>
                <w:rFonts w:ascii="Times New Roman" w:hAnsi="Times New Roman"/>
                <w:sz w:val="20"/>
              </w:rPr>
            </w:pPr>
          </w:p>
          <w:p w14:paraId="6ED63416" w14:textId="77777777" w:rsidR="00F9695B" w:rsidRPr="008B63C2" w:rsidRDefault="00F9695B" w:rsidP="00F9695B">
            <w:pPr>
              <w:rPr>
                <w:rFonts w:ascii="Times New Roman" w:hAnsi="Times New Roman"/>
                <w:sz w:val="20"/>
              </w:rPr>
            </w:pPr>
            <w:r w:rsidRPr="008B63C2">
              <w:rPr>
                <w:rFonts w:ascii="Times New Roman" w:hAnsi="Times New Roman"/>
                <w:sz w:val="20"/>
              </w:rPr>
              <w:t>BALLOON VALVULOPLASTY OR ISOLATED ATRIAL SEPTOSTOMY, including cardiac catheterisations before and after balloon dilatation</w:t>
            </w:r>
          </w:p>
          <w:p w14:paraId="2A991479" w14:textId="77777777" w:rsidR="00F9695B" w:rsidRPr="008B63C2" w:rsidRDefault="00F9695B" w:rsidP="00F9695B">
            <w:pPr>
              <w:rPr>
                <w:rFonts w:ascii="Times New Roman" w:hAnsi="Times New Roman"/>
                <w:sz w:val="20"/>
              </w:rPr>
            </w:pPr>
          </w:p>
          <w:p w14:paraId="4DB32FC3" w14:textId="77777777" w:rsidR="00F9695B" w:rsidRPr="008B63C2" w:rsidRDefault="00F9695B" w:rsidP="00F9695B">
            <w:pPr>
              <w:rPr>
                <w:rFonts w:ascii="Times New Roman" w:hAnsi="Times New Roman"/>
                <w:sz w:val="20"/>
              </w:rPr>
            </w:pPr>
            <w:r w:rsidRPr="008B63C2">
              <w:rPr>
                <w:rFonts w:ascii="Times New Roman" w:hAnsi="Times New Roman"/>
                <w:sz w:val="20"/>
              </w:rPr>
              <w:t>Multiple Services Rule</w:t>
            </w:r>
            <w:r w:rsidR="004746B0">
              <w:rPr>
                <w:rFonts w:ascii="Times New Roman" w:hAnsi="Times New Roman"/>
                <w:sz w:val="20"/>
              </w:rPr>
              <w:t xml:space="preserve"> </w:t>
            </w:r>
            <w:r w:rsidRPr="008B63C2">
              <w:rPr>
                <w:rFonts w:ascii="Times New Roman" w:hAnsi="Times New Roman"/>
                <w:sz w:val="20"/>
              </w:rPr>
              <w:t>(</w:t>
            </w:r>
            <w:proofErr w:type="spellStart"/>
            <w:r w:rsidRPr="008B63C2">
              <w:rPr>
                <w:rFonts w:ascii="Times New Roman" w:hAnsi="Times New Roman"/>
                <w:sz w:val="20"/>
              </w:rPr>
              <w:t>Anaes</w:t>
            </w:r>
            <w:proofErr w:type="spellEnd"/>
            <w:r w:rsidRPr="008B63C2">
              <w:rPr>
                <w:rFonts w:ascii="Times New Roman" w:hAnsi="Times New Roman"/>
                <w:sz w:val="20"/>
              </w:rPr>
              <w:t>.) (Assist.)</w:t>
            </w:r>
          </w:p>
          <w:p w14:paraId="1402BB72" w14:textId="77777777" w:rsidR="00F9695B" w:rsidRPr="008B63C2" w:rsidRDefault="00F9695B" w:rsidP="00F9695B">
            <w:pPr>
              <w:rPr>
                <w:rFonts w:ascii="Times New Roman" w:hAnsi="Times New Roman"/>
                <w:sz w:val="20"/>
              </w:rPr>
            </w:pPr>
            <w:r w:rsidRPr="008B63C2">
              <w:rPr>
                <w:rFonts w:ascii="Times New Roman" w:hAnsi="Times New Roman"/>
                <w:sz w:val="20"/>
              </w:rPr>
              <w:t>Fee: $912.30 Benefit: 75% = $684.25 85% = $833.90</w:t>
            </w:r>
          </w:p>
        </w:tc>
      </w:tr>
    </w:tbl>
    <w:p w14:paraId="23654F27" w14:textId="77777777" w:rsidR="00F9695B" w:rsidRPr="00744308" w:rsidRDefault="00F9695B" w:rsidP="00F9695B">
      <w:pPr>
        <w:rPr>
          <w:szCs w:val="24"/>
        </w:rPr>
      </w:pPr>
    </w:p>
    <w:p w14:paraId="3B19B251" w14:textId="6BD6EDB3" w:rsidR="00744308" w:rsidRPr="001B05DD" w:rsidRDefault="005C736D" w:rsidP="00744308">
      <w:pPr>
        <w:rPr>
          <w:szCs w:val="24"/>
        </w:rPr>
      </w:pPr>
      <w:r>
        <w:rPr>
          <w:szCs w:val="24"/>
        </w:rPr>
        <w:t>C</w:t>
      </w:r>
      <w:r w:rsidRPr="008B63C2">
        <w:rPr>
          <w:szCs w:val="24"/>
        </w:rPr>
        <w:t>orrespondence</w:t>
      </w:r>
      <w:r w:rsidR="00744308" w:rsidRPr="008B63C2">
        <w:rPr>
          <w:szCs w:val="24"/>
        </w:rPr>
        <w:t xml:space="preserve"> from three other TAVI suppliers </w:t>
      </w:r>
      <w:r>
        <w:rPr>
          <w:szCs w:val="24"/>
        </w:rPr>
        <w:t xml:space="preserve">and </w:t>
      </w:r>
      <w:r w:rsidR="00A46563">
        <w:rPr>
          <w:szCs w:val="24"/>
        </w:rPr>
        <w:t xml:space="preserve">evidence provided in the </w:t>
      </w:r>
      <w:r>
        <w:rPr>
          <w:szCs w:val="24"/>
        </w:rPr>
        <w:t>SBA</w:t>
      </w:r>
      <w:r w:rsidR="000E76C4">
        <w:rPr>
          <w:szCs w:val="24"/>
        </w:rPr>
        <w:t xml:space="preserve"> </w:t>
      </w:r>
      <w:r w:rsidR="00744308" w:rsidRPr="008B63C2">
        <w:rPr>
          <w:szCs w:val="24"/>
        </w:rPr>
        <w:t xml:space="preserve">did not </w:t>
      </w:r>
      <w:r w:rsidR="00A46563">
        <w:rPr>
          <w:szCs w:val="24"/>
        </w:rPr>
        <w:t>draw an</w:t>
      </w:r>
      <w:r w:rsidR="000E76C4">
        <w:rPr>
          <w:szCs w:val="24"/>
        </w:rPr>
        <w:t>y</w:t>
      </w:r>
      <w:r w:rsidR="00A46563">
        <w:rPr>
          <w:szCs w:val="24"/>
        </w:rPr>
        <w:t xml:space="preserve"> clea</w:t>
      </w:r>
      <w:r w:rsidR="000E76C4">
        <w:rPr>
          <w:szCs w:val="24"/>
        </w:rPr>
        <w:t>r</w:t>
      </w:r>
      <w:r w:rsidR="00A46563">
        <w:rPr>
          <w:szCs w:val="24"/>
        </w:rPr>
        <w:t xml:space="preserve"> conclusions </w:t>
      </w:r>
      <w:r w:rsidR="000E76C4">
        <w:rPr>
          <w:szCs w:val="24"/>
        </w:rPr>
        <w:t>regarding</w:t>
      </w:r>
      <w:r w:rsidR="00A46563">
        <w:rPr>
          <w:szCs w:val="24"/>
        </w:rPr>
        <w:t xml:space="preserve"> the comparative</w:t>
      </w:r>
      <w:r w:rsidR="00A46563" w:rsidRPr="008B63C2">
        <w:rPr>
          <w:szCs w:val="24"/>
        </w:rPr>
        <w:t xml:space="preserve"> </w:t>
      </w:r>
      <w:r w:rsidR="000E76C4">
        <w:rPr>
          <w:szCs w:val="24"/>
        </w:rPr>
        <w:t>efficacy</w:t>
      </w:r>
      <w:r w:rsidR="00744308" w:rsidRPr="008B63C2">
        <w:rPr>
          <w:szCs w:val="24"/>
        </w:rPr>
        <w:t xml:space="preserve"> of other valves</w:t>
      </w:r>
      <w:r w:rsidR="000E76C4">
        <w:rPr>
          <w:szCs w:val="24"/>
        </w:rPr>
        <w:t>.</w:t>
      </w:r>
    </w:p>
    <w:p w14:paraId="63DAA6F7" w14:textId="77777777" w:rsidR="00744308" w:rsidRPr="00744308" w:rsidRDefault="00744308" w:rsidP="00DD2858">
      <w:pPr>
        <w:rPr>
          <w:szCs w:val="24"/>
        </w:rPr>
      </w:pPr>
    </w:p>
    <w:p w14:paraId="5644395B" w14:textId="77777777" w:rsidR="00BC1364" w:rsidRPr="008D5885" w:rsidRDefault="00BC1364" w:rsidP="007B32D1">
      <w:pPr>
        <w:pStyle w:val="Heading1"/>
        <w:numPr>
          <w:ilvl w:val="0"/>
          <w:numId w:val="23"/>
        </w:numPr>
        <w:ind w:hanging="720"/>
      </w:pPr>
      <w:r w:rsidRPr="008D5885">
        <w:t>Comparative safety</w:t>
      </w:r>
    </w:p>
    <w:p w14:paraId="125939EB" w14:textId="77777777" w:rsidR="00BC1364" w:rsidRPr="006A7F8A" w:rsidRDefault="00BC1364" w:rsidP="00DD2858">
      <w:pPr>
        <w:pStyle w:val="ListParagraph"/>
        <w:ind w:left="0"/>
        <w:rPr>
          <w:szCs w:val="24"/>
        </w:rPr>
      </w:pPr>
    </w:p>
    <w:p w14:paraId="040FA865" w14:textId="77777777" w:rsidR="00F9695B" w:rsidRPr="008B63C2" w:rsidRDefault="00F9695B" w:rsidP="00F9695B">
      <w:r w:rsidRPr="008B63C2">
        <w:t xml:space="preserve">The evidential basis of the </w:t>
      </w:r>
      <w:r w:rsidR="007C32E5">
        <w:t>SBA</w:t>
      </w:r>
      <w:r w:rsidRPr="008B63C2">
        <w:t xml:space="preserve"> consist</w:t>
      </w:r>
      <w:r w:rsidR="006A7F8A">
        <w:t>ed</w:t>
      </w:r>
      <w:r w:rsidRPr="008B63C2">
        <w:t xml:space="preserve"> of results from:</w:t>
      </w:r>
    </w:p>
    <w:p w14:paraId="67BBCAC2" w14:textId="2F69CE1C" w:rsidR="00F9695B" w:rsidRPr="008B63C2" w:rsidRDefault="00F9695B" w:rsidP="00455C03">
      <w:pPr>
        <w:widowControl w:val="0"/>
        <w:numPr>
          <w:ilvl w:val="0"/>
          <w:numId w:val="36"/>
        </w:numPr>
        <w:ind w:left="374"/>
      </w:pPr>
      <w:r w:rsidRPr="008B63C2">
        <w:lastRenderedPageBreak/>
        <w:t xml:space="preserve">the superiority trial of TAVI (Edwards SAPIEN valve) versus </w:t>
      </w:r>
      <w:r w:rsidR="000E76C4">
        <w:t>medical management</w:t>
      </w:r>
      <w:r w:rsidR="000E76C4" w:rsidRPr="008B63C2">
        <w:t xml:space="preserve"> </w:t>
      </w:r>
      <w:r w:rsidRPr="008B63C2">
        <w:t>in inoperable patients (Cohort B of the PARTNER trial, Leon, 2010); and</w:t>
      </w:r>
    </w:p>
    <w:p w14:paraId="2A5E6ACA" w14:textId="77777777" w:rsidR="00F9695B" w:rsidRPr="008B63C2" w:rsidRDefault="00F9695B" w:rsidP="00455C03">
      <w:pPr>
        <w:widowControl w:val="0"/>
        <w:numPr>
          <w:ilvl w:val="0"/>
          <w:numId w:val="36"/>
        </w:numPr>
        <w:ind w:left="374"/>
      </w:pPr>
      <w:proofErr w:type="gramStart"/>
      <w:r w:rsidRPr="008B63C2">
        <w:t>the</w:t>
      </w:r>
      <w:proofErr w:type="gramEnd"/>
      <w:r w:rsidRPr="008B63C2">
        <w:t xml:space="preserve"> non-inferiority trial of TAVI (Edwards SAPIEN valve) versus SAVR in patients considered at high surgical risk (Cohort A of the PARTNER trial, Smith, 2011) and </w:t>
      </w:r>
      <w:r w:rsidR="006A7F8A">
        <w:t xml:space="preserve">the </w:t>
      </w:r>
      <w:r w:rsidRPr="008B63C2">
        <w:t xml:space="preserve">non-inferiority trial of TAVI (Medtronic </w:t>
      </w:r>
      <w:proofErr w:type="spellStart"/>
      <w:r w:rsidRPr="008B63C2">
        <w:t>CoreValve</w:t>
      </w:r>
      <w:proofErr w:type="spellEnd"/>
      <w:r w:rsidRPr="008B63C2">
        <w:t xml:space="preserve"> system) versus SAVR in high surgical risk patients (Adams, 2014).</w:t>
      </w:r>
    </w:p>
    <w:p w14:paraId="033399F5" w14:textId="77777777" w:rsidR="00F9695B" w:rsidRPr="006A7F8A" w:rsidRDefault="00F9695B" w:rsidP="00F9695B"/>
    <w:p w14:paraId="6DA605EC" w14:textId="77777777" w:rsidR="00F9695B" w:rsidRPr="008B63C2" w:rsidRDefault="00F9695B" w:rsidP="00F9695B">
      <w:r w:rsidRPr="008B63C2">
        <w:t xml:space="preserve">For the assessment of </w:t>
      </w:r>
      <w:r w:rsidR="006A7F8A">
        <w:t xml:space="preserve">long-term safety, the </w:t>
      </w:r>
      <w:r w:rsidR="007C32E5">
        <w:t>SBA</w:t>
      </w:r>
      <w:r w:rsidR="006A7F8A">
        <w:t xml:space="preserve"> relied</w:t>
      </w:r>
      <w:r w:rsidRPr="008B63C2">
        <w:t xml:space="preserve"> on observational non-randomised studies from registry data records. The majority of studies were identified in a recent review by </w:t>
      </w:r>
      <w:proofErr w:type="spellStart"/>
      <w:r w:rsidRPr="008B63C2">
        <w:t>Pera</w:t>
      </w:r>
      <w:proofErr w:type="spellEnd"/>
      <w:r w:rsidRPr="008B63C2">
        <w:t xml:space="preserve"> et </w:t>
      </w:r>
      <w:r w:rsidR="006A7F8A">
        <w:t>al (2014) and Cao et al (2013).</w:t>
      </w:r>
    </w:p>
    <w:p w14:paraId="153E183D" w14:textId="77777777" w:rsidR="00F9695B" w:rsidRPr="008B63C2" w:rsidRDefault="00F9695B" w:rsidP="00F9695B"/>
    <w:p w14:paraId="0A349D20" w14:textId="77777777" w:rsidR="00F9695B" w:rsidRPr="008B63C2" w:rsidRDefault="00F9695B" w:rsidP="00F9695B">
      <w:r w:rsidRPr="008B63C2">
        <w:t>The table below shows the results of the safety outcomes observed at 1 year in the pivotal trials.</w:t>
      </w:r>
    </w:p>
    <w:p w14:paraId="2DD5C953" w14:textId="7D99421A" w:rsidR="00562660" w:rsidRDefault="00F9695B" w:rsidP="00562660">
      <w:pPr>
        <w:pStyle w:val="Tabletextboldleft"/>
      </w:pPr>
      <w:r w:rsidRPr="008B63C2">
        <w:t>Safety outcomes at one year in the PARTNER trial</w:t>
      </w:r>
      <w:r w:rsidR="006A7F8A">
        <w:t xml:space="preserve"> and Medtronic </w:t>
      </w:r>
      <w:proofErr w:type="spellStart"/>
      <w:r w:rsidR="006A7F8A">
        <w:t>CoreValve</w:t>
      </w:r>
      <w:proofErr w:type="spellEnd"/>
      <w:r w:rsidR="006A7F8A">
        <w:t xml:space="preserve"> trial</w:t>
      </w:r>
    </w:p>
    <w:tbl>
      <w:tblPr>
        <w:tblStyle w:val="Summarybox2"/>
        <w:tblW w:w="10005" w:type="dxa"/>
        <w:tblInd w:w="-318" w:type="dxa"/>
        <w:tblLayout w:type="fixed"/>
        <w:tblLook w:val="04A0" w:firstRow="1" w:lastRow="0" w:firstColumn="1" w:lastColumn="0" w:noHBand="0" w:noVBand="1"/>
        <w:tblCaption w:val="Safety outcomes atone year in the PARTNER trial and Medtronic Core Valve trial"/>
      </w:tblPr>
      <w:tblGrid>
        <w:gridCol w:w="1224"/>
        <w:gridCol w:w="2100"/>
        <w:gridCol w:w="4395"/>
        <w:gridCol w:w="2286"/>
      </w:tblGrid>
      <w:tr w:rsidR="00F04870" w:rsidRPr="008B63C2" w14:paraId="409F3E67" w14:textId="77777777" w:rsidTr="00F04870">
        <w:trPr>
          <w:tblHeader/>
        </w:trPr>
        <w:tc>
          <w:tcPr>
            <w:tcW w:w="1224" w:type="dxa"/>
            <w:shd w:val="clear" w:color="auto" w:fill="auto"/>
          </w:tcPr>
          <w:p w14:paraId="5D7693BA" w14:textId="77777777" w:rsidR="00F04870" w:rsidRPr="008B63C2" w:rsidRDefault="00F04870" w:rsidP="008C4EFA">
            <w:pPr>
              <w:pStyle w:val="Tabletext"/>
              <w:spacing w:before="0" w:after="0"/>
              <w:rPr>
                <w:rFonts w:ascii="Times New Roman" w:hAnsi="Times New Roman"/>
                <w:b/>
                <w:sz w:val="18"/>
                <w:szCs w:val="18"/>
                <w:lang w:val="en-GB"/>
              </w:rPr>
            </w:pPr>
            <w:r>
              <w:rPr>
                <w:rFonts w:ascii="Times New Roman" w:hAnsi="Times New Roman"/>
                <w:b/>
                <w:sz w:val="18"/>
                <w:szCs w:val="18"/>
                <w:lang w:val="en-GB"/>
              </w:rPr>
              <w:t xml:space="preserve">Safety </w:t>
            </w:r>
            <w:r w:rsidRPr="008B63C2">
              <w:rPr>
                <w:rFonts w:ascii="Times New Roman" w:hAnsi="Times New Roman"/>
                <w:b/>
                <w:sz w:val="18"/>
                <w:szCs w:val="18"/>
                <w:lang w:val="en-GB"/>
              </w:rPr>
              <w:t>outcomes</w:t>
            </w:r>
          </w:p>
          <w:p w14:paraId="22F1D4C9" w14:textId="77777777" w:rsidR="00F04870" w:rsidRPr="008B63C2" w:rsidRDefault="00F04870"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at 1 year</w:t>
            </w:r>
          </w:p>
          <w:p w14:paraId="71981297" w14:textId="77777777" w:rsidR="00F04870" w:rsidRPr="008B63C2" w:rsidRDefault="00F04870" w:rsidP="008C4EFA">
            <w:pPr>
              <w:pStyle w:val="Tabletext"/>
              <w:spacing w:before="0" w:after="0"/>
              <w:jc w:val="center"/>
              <w:rPr>
                <w:rFonts w:ascii="Times New Roman" w:hAnsi="Times New Roman"/>
                <w:b/>
                <w:sz w:val="18"/>
                <w:szCs w:val="18"/>
                <w:lang w:val="en-GB"/>
              </w:rPr>
            </w:pPr>
            <w:r w:rsidRPr="008B63C2">
              <w:rPr>
                <w:rFonts w:ascii="Times New Roman" w:hAnsi="Times New Roman"/>
                <w:b/>
                <w:sz w:val="18"/>
                <w:szCs w:val="18"/>
                <w:lang w:val="en-GB"/>
              </w:rPr>
              <w:t>Cohort B</w:t>
            </w:r>
          </w:p>
        </w:tc>
        <w:tc>
          <w:tcPr>
            <w:tcW w:w="2100" w:type="dxa"/>
            <w:shd w:val="clear" w:color="auto" w:fill="auto"/>
          </w:tcPr>
          <w:p w14:paraId="476ADDE6" w14:textId="70FE949C" w:rsidR="00F04870" w:rsidRPr="008B63C2" w:rsidRDefault="00F04870" w:rsidP="008C4EFA">
            <w:pPr>
              <w:pStyle w:val="Tabletext"/>
              <w:spacing w:before="0" w:after="0"/>
              <w:jc w:val="center"/>
              <w:rPr>
                <w:rFonts w:ascii="Times New Roman" w:hAnsi="Times New Roman"/>
                <w:b/>
                <w:sz w:val="18"/>
                <w:szCs w:val="18"/>
                <w:lang w:val="en-GB"/>
              </w:rPr>
            </w:pPr>
            <w:r w:rsidRPr="008B63C2">
              <w:rPr>
                <w:rFonts w:ascii="Times New Roman" w:hAnsi="Times New Roman"/>
                <w:b/>
                <w:sz w:val="18"/>
                <w:szCs w:val="18"/>
                <w:lang w:val="en-GB"/>
              </w:rPr>
              <w:t>ITT population</w:t>
            </w:r>
          </w:p>
          <w:p w14:paraId="5A467EAD" w14:textId="77777777" w:rsidR="00F04870" w:rsidRPr="008B63C2" w:rsidRDefault="00F04870" w:rsidP="008C4EFA">
            <w:pPr>
              <w:pStyle w:val="Tabletext"/>
              <w:spacing w:before="0" w:after="0"/>
              <w:jc w:val="center"/>
              <w:rPr>
                <w:rFonts w:ascii="Times New Roman" w:hAnsi="Times New Roman"/>
                <w:b/>
                <w:sz w:val="18"/>
                <w:szCs w:val="18"/>
                <w:lang w:val="en-GB"/>
              </w:rPr>
            </w:pPr>
            <w:r w:rsidRPr="008B63C2">
              <w:rPr>
                <w:rFonts w:ascii="Times New Roman" w:hAnsi="Times New Roman"/>
                <w:b/>
                <w:sz w:val="18"/>
                <w:szCs w:val="18"/>
                <w:lang w:val="en-GB"/>
              </w:rPr>
              <w:t>n</w:t>
            </w:r>
            <w:r>
              <w:rPr>
                <w:rFonts w:ascii="Times New Roman" w:hAnsi="Times New Roman"/>
                <w:b/>
                <w:sz w:val="18"/>
                <w:szCs w:val="18"/>
                <w:lang w:val="en-GB"/>
              </w:rPr>
              <w:t xml:space="preserve"> </w:t>
            </w:r>
            <w:r w:rsidRPr="008B63C2">
              <w:rPr>
                <w:rFonts w:ascii="Times New Roman" w:hAnsi="Times New Roman"/>
                <w:b/>
                <w:sz w:val="18"/>
                <w:szCs w:val="18"/>
                <w:lang w:val="en-GB"/>
              </w:rPr>
              <w:t>(%*)</w:t>
            </w:r>
          </w:p>
          <w:p w14:paraId="7728BD99" w14:textId="77777777" w:rsidR="00F04870" w:rsidRPr="008B63C2" w:rsidRDefault="00F04870" w:rsidP="008C4EFA">
            <w:pPr>
              <w:pStyle w:val="Tabletext"/>
              <w:spacing w:before="0" w:after="0"/>
              <w:jc w:val="center"/>
              <w:rPr>
                <w:rFonts w:ascii="Times New Roman" w:hAnsi="Times New Roman"/>
                <w:b/>
                <w:sz w:val="18"/>
                <w:szCs w:val="18"/>
                <w:lang w:val="en-GB"/>
              </w:rPr>
            </w:pPr>
            <w:r w:rsidRPr="008B63C2">
              <w:rPr>
                <w:rFonts w:ascii="Times New Roman" w:hAnsi="Times New Roman"/>
                <w:b/>
                <w:sz w:val="18"/>
                <w:szCs w:val="18"/>
                <w:lang w:val="en-GB"/>
              </w:rPr>
              <w:t>Cohort A</w:t>
            </w:r>
          </w:p>
        </w:tc>
        <w:tc>
          <w:tcPr>
            <w:tcW w:w="4395" w:type="dxa"/>
            <w:shd w:val="clear" w:color="auto" w:fill="auto"/>
          </w:tcPr>
          <w:p w14:paraId="60B70377" w14:textId="1ECE9B4E" w:rsidR="00F04870" w:rsidRPr="008B63C2" w:rsidRDefault="00F04870" w:rsidP="008C4EFA">
            <w:pPr>
              <w:pStyle w:val="Tabletext"/>
              <w:spacing w:before="0" w:after="0"/>
              <w:jc w:val="center"/>
              <w:rPr>
                <w:rFonts w:ascii="Times New Roman" w:hAnsi="Times New Roman"/>
                <w:b/>
                <w:sz w:val="18"/>
                <w:szCs w:val="18"/>
                <w:lang w:val="en-GB"/>
              </w:rPr>
            </w:pPr>
            <w:r w:rsidRPr="008B63C2">
              <w:rPr>
                <w:rFonts w:ascii="Times New Roman" w:hAnsi="Times New Roman"/>
                <w:b/>
                <w:sz w:val="18"/>
                <w:szCs w:val="18"/>
                <w:lang w:val="en-GB"/>
              </w:rPr>
              <w:t>ITT population</w:t>
            </w:r>
          </w:p>
          <w:p w14:paraId="51BD7CAB" w14:textId="77777777" w:rsidR="00F04870" w:rsidRPr="008B63C2" w:rsidRDefault="00F04870" w:rsidP="008C4EFA">
            <w:pPr>
              <w:pStyle w:val="Tabletext"/>
              <w:spacing w:before="0" w:after="0"/>
              <w:jc w:val="center"/>
              <w:rPr>
                <w:rFonts w:ascii="Times New Roman" w:hAnsi="Times New Roman"/>
                <w:b/>
                <w:sz w:val="18"/>
                <w:szCs w:val="18"/>
                <w:lang w:val="en-GB"/>
              </w:rPr>
            </w:pPr>
            <w:r w:rsidRPr="008B63C2">
              <w:rPr>
                <w:rFonts w:ascii="Times New Roman" w:hAnsi="Times New Roman"/>
                <w:b/>
                <w:sz w:val="18"/>
                <w:szCs w:val="18"/>
                <w:lang w:val="en-GB"/>
              </w:rPr>
              <w:t>n</w:t>
            </w:r>
            <w:r>
              <w:rPr>
                <w:rFonts w:ascii="Times New Roman" w:hAnsi="Times New Roman"/>
                <w:b/>
                <w:sz w:val="18"/>
                <w:szCs w:val="18"/>
                <w:lang w:val="en-GB"/>
              </w:rPr>
              <w:t xml:space="preserve"> </w:t>
            </w:r>
            <w:r w:rsidRPr="008B63C2">
              <w:rPr>
                <w:rFonts w:ascii="Times New Roman" w:hAnsi="Times New Roman"/>
                <w:b/>
                <w:sz w:val="18"/>
                <w:szCs w:val="18"/>
                <w:lang w:val="en-GB"/>
              </w:rPr>
              <w:t>(%*)</w:t>
            </w:r>
          </w:p>
          <w:p w14:paraId="679A201B" w14:textId="77777777" w:rsidR="00F04870" w:rsidRPr="008B63C2" w:rsidRDefault="00F04870" w:rsidP="008C4EFA">
            <w:pPr>
              <w:pStyle w:val="Tabletext"/>
              <w:spacing w:before="0" w:after="0"/>
              <w:jc w:val="center"/>
              <w:rPr>
                <w:rFonts w:ascii="Times New Roman" w:hAnsi="Times New Roman"/>
                <w:b/>
                <w:sz w:val="18"/>
                <w:szCs w:val="18"/>
                <w:lang w:val="en-GB"/>
              </w:rPr>
            </w:pPr>
            <w:r w:rsidRPr="008B63C2">
              <w:rPr>
                <w:rFonts w:ascii="Times New Roman" w:hAnsi="Times New Roman"/>
                <w:b/>
                <w:sz w:val="18"/>
                <w:szCs w:val="18"/>
                <w:lang w:val="en-GB"/>
              </w:rPr>
              <w:t xml:space="preserve">Medtronic </w:t>
            </w:r>
            <w:proofErr w:type="spellStart"/>
            <w:r w:rsidRPr="008B63C2">
              <w:rPr>
                <w:rFonts w:ascii="Times New Roman" w:hAnsi="Times New Roman"/>
                <w:b/>
                <w:sz w:val="18"/>
                <w:szCs w:val="18"/>
                <w:lang w:val="en-GB"/>
              </w:rPr>
              <w:t>CoreValve</w:t>
            </w:r>
            <w:proofErr w:type="spellEnd"/>
            <w:r w:rsidRPr="008B63C2">
              <w:rPr>
                <w:rFonts w:ascii="Times New Roman" w:hAnsi="Times New Roman"/>
                <w:b/>
                <w:sz w:val="18"/>
                <w:szCs w:val="18"/>
                <w:lang w:val="en-GB"/>
              </w:rPr>
              <w:t xml:space="preserve"> trial</w:t>
            </w:r>
          </w:p>
        </w:tc>
        <w:tc>
          <w:tcPr>
            <w:tcW w:w="2286" w:type="dxa"/>
            <w:shd w:val="clear" w:color="auto" w:fill="auto"/>
          </w:tcPr>
          <w:p w14:paraId="6B9E86C3" w14:textId="31D5869E" w:rsidR="00F04870" w:rsidRPr="008B63C2" w:rsidRDefault="00F04870" w:rsidP="008C4EFA">
            <w:pPr>
              <w:pStyle w:val="Tabletext"/>
              <w:spacing w:before="0" w:after="0"/>
              <w:jc w:val="center"/>
              <w:rPr>
                <w:rFonts w:ascii="Times New Roman" w:hAnsi="Times New Roman"/>
                <w:b/>
                <w:sz w:val="18"/>
                <w:szCs w:val="18"/>
                <w:lang w:val="en-GB"/>
              </w:rPr>
            </w:pPr>
            <w:r w:rsidRPr="008B63C2">
              <w:rPr>
                <w:rFonts w:ascii="Times New Roman" w:hAnsi="Times New Roman"/>
                <w:b/>
                <w:sz w:val="18"/>
                <w:szCs w:val="18"/>
                <w:lang w:val="en-GB"/>
              </w:rPr>
              <w:t>As-treated population</w:t>
            </w:r>
          </w:p>
          <w:p w14:paraId="3BA4E984" w14:textId="77777777" w:rsidR="00F04870" w:rsidRPr="008B63C2" w:rsidRDefault="00F04870" w:rsidP="008C4EFA">
            <w:pPr>
              <w:pStyle w:val="Tabletext"/>
              <w:spacing w:before="0" w:after="0"/>
              <w:jc w:val="center"/>
              <w:rPr>
                <w:rFonts w:ascii="Times New Roman" w:hAnsi="Times New Roman"/>
                <w:b/>
                <w:sz w:val="18"/>
                <w:szCs w:val="18"/>
                <w:lang w:val="en-GB"/>
              </w:rPr>
            </w:pPr>
            <w:r w:rsidRPr="008B63C2">
              <w:rPr>
                <w:rFonts w:ascii="Times New Roman" w:hAnsi="Times New Roman"/>
                <w:b/>
                <w:sz w:val="18"/>
                <w:szCs w:val="18"/>
                <w:lang w:val="en-GB"/>
              </w:rPr>
              <w:t>n</w:t>
            </w:r>
            <w:r>
              <w:rPr>
                <w:rFonts w:ascii="Times New Roman" w:hAnsi="Times New Roman"/>
                <w:b/>
                <w:sz w:val="18"/>
                <w:szCs w:val="18"/>
                <w:lang w:val="en-GB"/>
              </w:rPr>
              <w:t xml:space="preserve"> </w:t>
            </w:r>
            <w:r w:rsidRPr="008B63C2">
              <w:rPr>
                <w:rFonts w:ascii="Times New Roman" w:hAnsi="Times New Roman"/>
                <w:b/>
                <w:sz w:val="18"/>
                <w:szCs w:val="18"/>
                <w:lang w:val="en-GB"/>
              </w:rPr>
              <w:t>(%*)</w:t>
            </w:r>
          </w:p>
        </w:tc>
      </w:tr>
    </w:tbl>
    <w:p w14:paraId="7B89CE30" w14:textId="77777777" w:rsidR="00562660" w:rsidRPr="00562660" w:rsidRDefault="00562660">
      <w:pPr>
        <w:rPr>
          <w:sz w:val="2"/>
        </w:rPr>
      </w:pPr>
    </w:p>
    <w:tbl>
      <w:tblPr>
        <w:tblStyle w:val="Summarybox2"/>
        <w:tblW w:w="10005" w:type="dxa"/>
        <w:tblInd w:w="-318" w:type="dxa"/>
        <w:tblLayout w:type="fixed"/>
        <w:tblLook w:val="04A0" w:firstRow="1" w:lastRow="0" w:firstColumn="1" w:lastColumn="0" w:noHBand="0" w:noVBand="1"/>
        <w:tblCaption w:val="Safety outcomes atone year in the PARTNER trial and Medtronic Core Valve trial"/>
      </w:tblPr>
      <w:tblGrid>
        <w:gridCol w:w="1224"/>
        <w:gridCol w:w="702"/>
        <w:gridCol w:w="708"/>
        <w:gridCol w:w="709"/>
        <w:gridCol w:w="709"/>
        <w:gridCol w:w="709"/>
        <w:gridCol w:w="708"/>
        <w:gridCol w:w="851"/>
        <w:gridCol w:w="709"/>
        <w:gridCol w:w="708"/>
        <w:gridCol w:w="709"/>
        <w:gridCol w:w="851"/>
        <w:gridCol w:w="708"/>
      </w:tblGrid>
      <w:tr w:rsidR="00F9695B" w:rsidRPr="008B63C2" w14:paraId="070EC7C2" w14:textId="77777777" w:rsidTr="00944D51">
        <w:trPr>
          <w:tblHeader/>
        </w:trPr>
        <w:tc>
          <w:tcPr>
            <w:tcW w:w="1224" w:type="dxa"/>
            <w:shd w:val="clear" w:color="auto" w:fill="auto"/>
          </w:tcPr>
          <w:p w14:paraId="3829B9E7" w14:textId="77777777" w:rsidR="00F9695B" w:rsidRPr="008B63C2" w:rsidRDefault="00F9695B" w:rsidP="008C4EFA">
            <w:pPr>
              <w:pStyle w:val="Tabletext"/>
              <w:spacing w:before="0" w:after="0"/>
              <w:rPr>
                <w:rFonts w:ascii="Times New Roman" w:hAnsi="Times New Roman"/>
                <w:b/>
                <w:sz w:val="18"/>
                <w:szCs w:val="18"/>
                <w:lang w:val="en-GB"/>
              </w:rPr>
            </w:pPr>
          </w:p>
        </w:tc>
        <w:tc>
          <w:tcPr>
            <w:tcW w:w="702" w:type="dxa"/>
            <w:shd w:val="clear" w:color="auto" w:fill="auto"/>
          </w:tcPr>
          <w:p w14:paraId="33CDAD82"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TF-TAVI</w:t>
            </w:r>
          </w:p>
          <w:p w14:paraId="74861EDA"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n=179</w:t>
            </w:r>
          </w:p>
        </w:tc>
        <w:tc>
          <w:tcPr>
            <w:tcW w:w="708" w:type="dxa"/>
            <w:shd w:val="clear" w:color="auto" w:fill="auto"/>
          </w:tcPr>
          <w:p w14:paraId="585A8E1A"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MM</w:t>
            </w:r>
          </w:p>
          <w:p w14:paraId="250A4D7E"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n=179</w:t>
            </w:r>
          </w:p>
        </w:tc>
        <w:tc>
          <w:tcPr>
            <w:tcW w:w="709" w:type="dxa"/>
            <w:shd w:val="clear" w:color="auto" w:fill="auto"/>
          </w:tcPr>
          <w:p w14:paraId="174BB0A5"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P***</w:t>
            </w:r>
          </w:p>
          <w:p w14:paraId="4DC46390"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value</w:t>
            </w:r>
          </w:p>
        </w:tc>
        <w:tc>
          <w:tcPr>
            <w:tcW w:w="709" w:type="dxa"/>
            <w:shd w:val="clear" w:color="auto" w:fill="auto"/>
          </w:tcPr>
          <w:p w14:paraId="022C58F1"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TF-TAVI</w:t>
            </w:r>
          </w:p>
          <w:p w14:paraId="7A5CCFEB"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n=244</w:t>
            </w:r>
          </w:p>
        </w:tc>
        <w:tc>
          <w:tcPr>
            <w:tcW w:w="709" w:type="dxa"/>
            <w:shd w:val="clear" w:color="auto" w:fill="auto"/>
          </w:tcPr>
          <w:p w14:paraId="55A15751"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TF-SAVR</w:t>
            </w:r>
          </w:p>
          <w:p w14:paraId="299FB364"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n=248</w:t>
            </w:r>
          </w:p>
        </w:tc>
        <w:tc>
          <w:tcPr>
            <w:tcW w:w="708" w:type="dxa"/>
          </w:tcPr>
          <w:p w14:paraId="6EB1CB8E"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P***</w:t>
            </w:r>
          </w:p>
          <w:p w14:paraId="35DB0AAF"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value</w:t>
            </w:r>
          </w:p>
        </w:tc>
        <w:tc>
          <w:tcPr>
            <w:tcW w:w="851" w:type="dxa"/>
            <w:shd w:val="clear" w:color="auto" w:fill="auto"/>
          </w:tcPr>
          <w:p w14:paraId="2F35BE68"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TA-TAVI</w:t>
            </w:r>
          </w:p>
          <w:p w14:paraId="3BD665A9"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n=104</w:t>
            </w:r>
          </w:p>
        </w:tc>
        <w:tc>
          <w:tcPr>
            <w:tcW w:w="709" w:type="dxa"/>
            <w:shd w:val="clear" w:color="auto" w:fill="auto"/>
          </w:tcPr>
          <w:p w14:paraId="2B06E1FB"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TA-SAVR</w:t>
            </w:r>
          </w:p>
          <w:p w14:paraId="42182F01"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n=103</w:t>
            </w:r>
          </w:p>
        </w:tc>
        <w:tc>
          <w:tcPr>
            <w:tcW w:w="708" w:type="dxa"/>
          </w:tcPr>
          <w:p w14:paraId="34D00484"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P**</w:t>
            </w:r>
          </w:p>
          <w:p w14:paraId="2B4A1CE9"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value</w:t>
            </w:r>
          </w:p>
        </w:tc>
        <w:tc>
          <w:tcPr>
            <w:tcW w:w="709" w:type="dxa"/>
            <w:shd w:val="clear" w:color="auto" w:fill="auto"/>
          </w:tcPr>
          <w:p w14:paraId="5543F222"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TAVI**</w:t>
            </w:r>
          </w:p>
          <w:p w14:paraId="2AACD3E0"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n=390</w:t>
            </w:r>
          </w:p>
        </w:tc>
        <w:tc>
          <w:tcPr>
            <w:tcW w:w="851" w:type="dxa"/>
            <w:shd w:val="clear" w:color="auto" w:fill="auto"/>
          </w:tcPr>
          <w:p w14:paraId="434903D4"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SAVR</w:t>
            </w:r>
          </w:p>
          <w:p w14:paraId="6324B27B"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n=357</w:t>
            </w:r>
          </w:p>
        </w:tc>
        <w:tc>
          <w:tcPr>
            <w:tcW w:w="708" w:type="dxa"/>
            <w:shd w:val="clear" w:color="auto" w:fill="auto"/>
          </w:tcPr>
          <w:p w14:paraId="11E00A0E"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P***</w:t>
            </w:r>
          </w:p>
          <w:p w14:paraId="5AEE67BE" w14:textId="77777777" w:rsidR="00F9695B" w:rsidRPr="008B63C2" w:rsidRDefault="00F9695B" w:rsidP="008C4EFA">
            <w:pPr>
              <w:pStyle w:val="Tabletext"/>
              <w:spacing w:before="0" w:after="0"/>
              <w:rPr>
                <w:rFonts w:ascii="Times New Roman" w:hAnsi="Times New Roman"/>
                <w:b/>
                <w:sz w:val="18"/>
                <w:szCs w:val="18"/>
                <w:lang w:val="en-GB"/>
              </w:rPr>
            </w:pPr>
            <w:r w:rsidRPr="008B63C2">
              <w:rPr>
                <w:rFonts w:ascii="Times New Roman" w:hAnsi="Times New Roman"/>
                <w:b/>
                <w:sz w:val="18"/>
                <w:szCs w:val="18"/>
                <w:lang w:val="en-GB"/>
              </w:rPr>
              <w:t>value</w:t>
            </w:r>
          </w:p>
        </w:tc>
      </w:tr>
      <w:tr w:rsidR="00F9695B" w:rsidRPr="008B63C2" w14:paraId="2C852407" w14:textId="77777777" w:rsidTr="006A7F8A">
        <w:tc>
          <w:tcPr>
            <w:tcW w:w="1224" w:type="dxa"/>
          </w:tcPr>
          <w:p w14:paraId="5D1207E2"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Stroke or TIA</w:t>
            </w:r>
          </w:p>
        </w:tc>
        <w:tc>
          <w:tcPr>
            <w:tcW w:w="702" w:type="dxa"/>
          </w:tcPr>
          <w:p w14:paraId="17C561F7"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19</w:t>
            </w:r>
          </w:p>
          <w:p w14:paraId="0A4BF3AF"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(11.2)</w:t>
            </w:r>
          </w:p>
        </w:tc>
        <w:tc>
          <w:tcPr>
            <w:tcW w:w="708" w:type="dxa"/>
          </w:tcPr>
          <w:p w14:paraId="1ED047D5"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8</w:t>
            </w:r>
          </w:p>
          <w:p w14:paraId="37608641"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(5.5)</w:t>
            </w:r>
          </w:p>
        </w:tc>
        <w:tc>
          <w:tcPr>
            <w:tcW w:w="709" w:type="dxa"/>
          </w:tcPr>
          <w:p w14:paraId="0D0B3738"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0.06</w:t>
            </w:r>
          </w:p>
        </w:tc>
        <w:tc>
          <w:tcPr>
            <w:tcW w:w="709" w:type="dxa"/>
          </w:tcPr>
          <w:p w14:paraId="02521D63"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15</w:t>
            </w:r>
          </w:p>
          <w:p w14:paraId="233E21BA"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(6.4)</w:t>
            </w:r>
          </w:p>
        </w:tc>
        <w:tc>
          <w:tcPr>
            <w:tcW w:w="709" w:type="dxa"/>
          </w:tcPr>
          <w:p w14:paraId="21A0B058"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6</w:t>
            </w:r>
          </w:p>
          <w:p w14:paraId="2C99ED4C"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(2.8)</w:t>
            </w:r>
          </w:p>
        </w:tc>
        <w:tc>
          <w:tcPr>
            <w:tcW w:w="708" w:type="dxa"/>
          </w:tcPr>
          <w:p w14:paraId="28314178"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0.07</w:t>
            </w:r>
          </w:p>
        </w:tc>
        <w:tc>
          <w:tcPr>
            <w:tcW w:w="851" w:type="dxa"/>
          </w:tcPr>
          <w:p w14:paraId="04A96FAA"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12</w:t>
            </w:r>
          </w:p>
          <w:p w14:paraId="732D82C7"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(13.0)</w:t>
            </w:r>
          </w:p>
        </w:tc>
        <w:tc>
          <w:tcPr>
            <w:tcW w:w="709" w:type="dxa"/>
          </w:tcPr>
          <w:p w14:paraId="33FF0B13"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7</w:t>
            </w:r>
          </w:p>
          <w:p w14:paraId="5A589844"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(8.0)</w:t>
            </w:r>
          </w:p>
        </w:tc>
        <w:tc>
          <w:tcPr>
            <w:tcW w:w="708" w:type="dxa"/>
          </w:tcPr>
          <w:p w14:paraId="13D643AB"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0.28</w:t>
            </w:r>
          </w:p>
        </w:tc>
        <w:tc>
          <w:tcPr>
            <w:tcW w:w="709" w:type="dxa"/>
          </w:tcPr>
          <w:p w14:paraId="1DEEBE3B"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39</w:t>
            </w:r>
          </w:p>
          <w:p w14:paraId="6B049F5E"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(10.4)</w:t>
            </w:r>
          </w:p>
        </w:tc>
        <w:tc>
          <w:tcPr>
            <w:tcW w:w="851" w:type="dxa"/>
          </w:tcPr>
          <w:p w14:paraId="2B62D35C"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47</w:t>
            </w:r>
          </w:p>
          <w:p w14:paraId="09532DCB"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(14.2)</w:t>
            </w:r>
          </w:p>
        </w:tc>
        <w:tc>
          <w:tcPr>
            <w:tcW w:w="708" w:type="dxa"/>
          </w:tcPr>
          <w:p w14:paraId="57106F28"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0.10</w:t>
            </w:r>
          </w:p>
        </w:tc>
      </w:tr>
      <w:tr w:rsidR="00F9695B" w:rsidRPr="008B63C2" w14:paraId="0F7B8051" w14:textId="77777777" w:rsidTr="006A7F8A">
        <w:tc>
          <w:tcPr>
            <w:tcW w:w="1224" w:type="dxa"/>
          </w:tcPr>
          <w:p w14:paraId="0AC3F9DC"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 xml:space="preserve">MI </w:t>
            </w:r>
          </w:p>
        </w:tc>
        <w:tc>
          <w:tcPr>
            <w:tcW w:w="702" w:type="dxa"/>
          </w:tcPr>
          <w:p w14:paraId="1B55342E"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w:t>
            </w:r>
          </w:p>
          <w:p w14:paraId="2EBF9896"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(0.8)</w:t>
            </w:r>
          </w:p>
        </w:tc>
        <w:tc>
          <w:tcPr>
            <w:tcW w:w="708" w:type="dxa"/>
          </w:tcPr>
          <w:p w14:paraId="074D7E19"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w:t>
            </w:r>
          </w:p>
          <w:p w14:paraId="42EB431F"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(0.7)</w:t>
            </w:r>
          </w:p>
        </w:tc>
        <w:tc>
          <w:tcPr>
            <w:tcW w:w="709" w:type="dxa"/>
          </w:tcPr>
          <w:p w14:paraId="567AE563"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1.00</w:t>
            </w:r>
          </w:p>
        </w:tc>
        <w:tc>
          <w:tcPr>
            <w:tcW w:w="709" w:type="dxa"/>
          </w:tcPr>
          <w:p w14:paraId="43BEDABC"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w:t>
            </w:r>
          </w:p>
          <w:p w14:paraId="0BDA3AFD"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(0.5)</w:t>
            </w:r>
          </w:p>
        </w:tc>
        <w:tc>
          <w:tcPr>
            <w:tcW w:w="709" w:type="dxa"/>
          </w:tcPr>
          <w:p w14:paraId="4E15A379"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w:t>
            </w:r>
          </w:p>
          <w:p w14:paraId="2F2D2F33"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(0.4)</w:t>
            </w:r>
          </w:p>
        </w:tc>
        <w:tc>
          <w:tcPr>
            <w:tcW w:w="708" w:type="dxa"/>
          </w:tcPr>
          <w:p w14:paraId="737893FC"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0.91</w:t>
            </w:r>
          </w:p>
        </w:tc>
        <w:tc>
          <w:tcPr>
            <w:tcW w:w="851" w:type="dxa"/>
          </w:tcPr>
          <w:p w14:paraId="73D2304B"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w:t>
            </w:r>
          </w:p>
          <w:p w14:paraId="61938FED"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(0.0)</w:t>
            </w:r>
          </w:p>
        </w:tc>
        <w:tc>
          <w:tcPr>
            <w:tcW w:w="709" w:type="dxa"/>
          </w:tcPr>
          <w:p w14:paraId="7505597A"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w:t>
            </w:r>
          </w:p>
          <w:p w14:paraId="69468A1D"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(1.0)</w:t>
            </w:r>
          </w:p>
        </w:tc>
        <w:tc>
          <w:tcPr>
            <w:tcW w:w="708" w:type="dxa"/>
          </w:tcPr>
          <w:p w14:paraId="522D70D9"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0.31</w:t>
            </w:r>
          </w:p>
        </w:tc>
        <w:tc>
          <w:tcPr>
            <w:tcW w:w="709" w:type="dxa"/>
          </w:tcPr>
          <w:p w14:paraId="344F0767"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7</w:t>
            </w:r>
          </w:p>
          <w:p w14:paraId="56DBDAB3"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(1.9)</w:t>
            </w:r>
          </w:p>
        </w:tc>
        <w:tc>
          <w:tcPr>
            <w:tcW w:w="851" w:type="dxa"/>
          </w:tcPr>
          <w:p w14:paraId="4B61EE87"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5</w:t>
            </w:r>
          </w:p>
          <w:p w14:paraId="0708814C"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(1.5)</w:t>
            </w:r>
          </w:p>
        </w:tc>
        <w:tc>
          <w:tcPr>
            <w:tcW w:w="708" w:type="dxa"/>
          </w:tcPr>
          <w:p w14:paraId="6C54E253"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0.7</w:t>
            </w:r>
          </w:p>
        </w:tc>
      </w:tr>
      <w:tr w:rsidR="00F9695B" w:rsidRPr="008B63C2" w14:paraId="1EAA609D" w14:textId="77777777" w:rsidTr="006A7F8A">
        <w:tc>
          <w:tcPr>
            <w:tcW w:w="1224" w:type="dxa"/>
          </w:tcPr>
          <w:p w14:paraId="0FF66823" w14:textId="77777777" w:rsidR="00F9695B" w:rsidRPr="008B63C2" w:rsidRDefault="00F9695B" w:rsidP="008C4EFA">
            <w:pPr>
              <w:pStyle w:val="Tabletext"/>
              <w:spacing w:before="0" w:after="0"/>
              <w:ind w:right="-161"/>
              <w:rPr>
                <w:rFonts w:ascii="Times New Roman" w:hAnsi="Times New Roman"/>
                <w:sz w:val="18"/>
                <w:szCs w:val="18"/>
                <w:lang w:val="en-GB"/>
              </w:rPr>
            </w:pPr>
            <w:r w:rsidRPr="008B63C2">
              <w:rPr>
                <w:rFonts w:ascii="Times New Roman" w:hAnsi="Times New Roman"/>
                <w:sz w:val="18"/>
                <w:szCs w:val="18"/>
                <w:lang w:val="en-GB"/>
              </w:rPr>
              <w:t>Vascular complications</w:t>
            </w:r>
          </w:p>
        </w:tc>
        <w:tc>
          <w:tcPr>
            <w:tcW w:w="702" w:type="dxa"/>
          </w:tcPr>
          <w:p w14:paraId="7B05CFD7"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58</w:t>
            </w:r>
          </w:p>
          <w:p w14:paraId="29037619"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(32.4)</w:t>
            </w:r>
          </w:p>
        </w:tc>
        <w:tc>
          <w:tcPr>
            <w:tcW w:w="708" w:type="dxa"/>
          </w:tcPr>
          <w:p w14:paraId="04D674D4"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13</w:t>
            </w:r>
          </w:p>
          <w:p w14:paraId="324C9107"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(7.3)</w:t>
            </w:r>
          </w:p>
        </w:tc>
        <w:tc>
          <w:tcPr>
            <w:tcW w:w="709" w:type="dxa"/>
          </w:tcPr>
          <w:p w14:paraId="3E64933C" w14:textId="77777777" w:rsidR="00F9695B" w:rsidRPr="008B63C2" w:rsidRDefault="00F9695B" w:rsidP="008C4EFA">
            <w:pPr>
              <w:pStyle w:val="Tabletext"/>
              <w:spacing w:before="0" w:after="0"/>
              <w:ind w:right="-26"/>
              <w:jc w:val="center"/>
              <w:rPr>
                <w:rFonts w:ascii="Times New Roman" w:hAnsi="Times New Roman"/>
                <w:sz w:val="18"/>
                <w:szCs w:val="18"/>
                <w:lang w:val="en-GB"/>
              </w:rPr>
            </w:pPr>
            <w:r w:rsidRPr="008B63C2">
              <w:rPr>
                <w:rFonts w:ascii="Times New Roman" w:hAnsi="Times New Roman"/>
                <w:sz w:val="18"/>
                <w:szCs w:val="18"/>
                <w:lang w:val="en-GB"/>
              </w:rPr>
              <w:t>&lt;0.001</w:t>
            </w:r>
          </w:p>
        </w:tc>
        <w:tc>
          <w:tcPr>
            <w:tcW w:w="709" w:type="dxa"/>
          </w:tcPr>
          <w:p w14:paraId="33712888"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57</w:t>
            </w:r>
          </w:p>
          <w:p w14:paraId="172CCB0A"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(23.5)</w:t>
            </w:r>
          </w:p>
        </w:tc>
        <w:tc>
          <w:tcPr>
            <w:tcW w:w="709" w:type="dxa"/>
          </w:tcPr>
          <w:p w14:paraId="2C760C1C"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9</w:t>
            </w:r>
          </w:p>
          <w:p w14:paraId="47BB60F8"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(3.8)</w:t>
            </w:r>
          </w:p>
        </w:tc>
        <w:tc>
          <w:tcPr>
            <w:tcW w:w="708" w:type="dxa"/>
          </w:tcPr>
          <w:p w14:paraId="7A83D8EA" w14:textId="77777777" w:rsidR="00F9695B" w:rsidRPr="008B63C2" w:rsidRDefault="00F9695B" w:rsidP="008C4EFA">
            <w:pPr>
              <w:pStyle w:val="Tabletext"/>
              <w:spacing w:before="0" w:after="0"/>
              <w:ind w:right="-27"/>
              <w:jc w:val="center"/>
              <w:rPr>
                <w:rFonts w:ascii="Times New Roman" w:hAnsi="Times New Roman"/>
                <w:sz w:val="18"/>
                <w:szCs w:val="18"/>
                <w:lang w:val="en-GB"/>
              </w:rPr>
            </w:pPr>
            <w:r w:rsidRPr="008B63C2">
              <w:rPr>
                <w:rFonts w:ascii="Times New Roman" w:hAnsi="Times New Roman"/>
                <w:sz w:val="18"/>
                <w:szCs w:val="18"/>
                <w:lang w:val="en-GB"/>
              </w:rPr>
              <w:t>&lt;0.001</w:t>
            </w:r>
          </w:p>
        </w:tc>
        <w:tc>
          <w:tcPr>
            <w:tcW w:w="851" w:type="dxa"/>
          </w:tcPr>
          <w:p w14:paraId="2F258C82"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5</w:t>
            </w:r>
          </w:p>
          <w:p w14:paraId="4E8C28AC"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(5.1)</w:t>
            </w:r>
          </w:p>
        </w:tc>
        <w:tc>
          <w:tcPr>
            <w:tcW w:w="709" w:type="dxa"/>
          </w:tcPr>
          <w:p w14:paraId="72013954"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7</w:t>
            </w:r>
          </w:p>
          <w:p w14:paraId="34014C78"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(7.3)</w:t>
            </w:r>
          </w:p>
        </w:tc>
        <w:tc>
          <w:tcPr>
            <w:tcW w:w="708" w:type="dxa"/>
          </w:tcPr>
          <w:p w14:paraId="30DF624C"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0.52</w:t>
            </w:r>
          </w:p>
        </w:tc>
        <w:tc>
          <w:tcPr>
            <w:tcW w:w="709" w:type="dxa"/>
          </w:tcPr>
          <w:p w14:paraId="04CADB20"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24</w:t>
            </w:r>
          </w:p>
          <w:p w14:paraId="7545021C"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(6.2)</w:t>
            </w:r>
          </w:p>
        </w:tc>
        <w:tc>
          <w:tcPr>
            <w:tcW w:w="851" w:type="dxa"/>
          </w:tcPr>
          <w:p w14:paraId="736EE1CE"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7</w:t>
            </w:r>
          </w:p>
          <w:p w14:paraId="7FD9A2EE"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(2.0)</w:t>
            </w:r>
          </w:p>
        </w:tc>
        <w:tc>
          <w:tcPr>
            <w:tcW w:w="708" w:type="dxa"/>
          </w:tcPr>
          <w:p w14:paraId="5B4C717B"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0.004</w:t>
            </w:r>
          </w:p>
        </w:tc>
      </w:tr>
      <w:tr w:rsidR="00F9695B" w:rsidRPr="008B63C2" w14:paraId="4A35EAD9" w14:textId="77777777" w:rsidTr="006A7F8A">
        <w:tc>
          <w:tcPr>
            <w:tcW w:w="1224" w:type="dxa"/>
          </w:tcPr>
          <w:p w14:paraId="09493437" w14:textId="77777777" w:rsidR="00F9695B" w:rsidRPr="008B63C2" w:rsidRDefault="006A7F8A" w:rsidP="008C4EFA">
            <w:pPr>
              <w:pStyle w:val="Tabletext"/>
              <w:spacing w:before="0" w:after="0"/>
              <w:rPr>
                <w:rFonts w:ascii="Times New Roman" w:hAnsi="Times New Roman"/>
                <w:sz w:val="18"/>
                <w:szCs w:val="18"/>
                <w:lang w:val="en-GB"/>
              </w:rPr>
            </w:pPr>
            <w:r>
              <w:rPr>
                <w:rFonts w:ascii="Times New Roman" w:hAnsi="Times New Roman"/>
                <w:sz w:val="18"/>
                <w:szCs w:val="18"/>
                <w:lang w:val="en-GB"/>
              </w:rPr>
              <w:t>Acute kidney injury</w:t>
            </w:r>
          </w:p>
          <w:p w14:paraId="5864D8E7"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Creatinine &gt;3mg/dl</w:t>
            </w:r>
          </w:p>
        </w:tc>
        <w:tc>
          <w:tcPr>
            <w:tcW w:w="702" w:type="dxa"/>
          </w:tcPr>
          <w:p w14:paraId="2FE1F53A"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2</w:t>
            </w:r>
          </w:p>
          <w:p w14:paraId="0A898DB6"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(1.1)</w:t>
            </w:r>
          </w:p>
        </w:tc>
        <w:tc>
          <w:tcPr>
            <w:tcW w:w="708" w:type="dxa"/>
          </w:tcPr>
          <w:p w14:paraId="5A0E3836"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5</w:t>
            </w:r>
          </w:p>
          <w:p w14:paraId="6E8F5930"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(2.8)</w:t>
            </w:r>
          </w:p>
        </w:tc>
        <w:tc>
          <w:tcPr>
            <w:tcW w:w="709" w:type="dxa"/>
          </w:tcPr>
          <w:p w14:paraId="0C5D8405"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0.45</w:t>
            </w:r>
          </w:p>
        </w:tc>
        <w:tc>
          <w:tcPr>
            <w:tcW w:w="709" w:type="dxa"/>
          </w:tcPr>
          <w:p w14:paraId="7A9E77C6"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12</w:t>
            </w:r>
          </w:p>
          <w:p w14:paraId="2C65DD78"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(5.4)</w:t>
            </w:r>
          </w:p>
        </w:tc>
        <w:tc>
          <w:tcPr>
            <w:tcW w:w="709" w:type="dxa"/>
          </w:tcPr>
          <w:p w14:paraId="5AEE05DB"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6</w:t>
            </w:r>
          </w:p>
          <w:p w14:paraId="78638469"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(2.8)</w:t>
            </w:r>
          </w:p>
        </w:tc>
        <w:tc>
          <w:tcPr>
            <w:tcW w:w="708" w:type="dxa"/>
          </w:tcPr>
          <w:p w14:paraId="1CDBB8E4"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0.17</w:t>
            </w:r>
          </w:p>
        </w:tc>
        <w:tc>
          <w:tcPr>
            <w:tcW w:w="851" w:type="dxa"/>
          </w:tcPr>
          <w:p w14:paraId="3450C956"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w:t>
            </w:r>
          </w:p>
          <w:p w14:paraId="1A48BF29"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(0.0)</w:t>
            </w:r>
          </w:p>
        </w:tc>
        <w:tc>
          <w:tcPr>
            <w:tcW w:w="709" w:type="dxa"/>
          </w:tcPr>
          <w:p w14:paraId="73DA5657"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2</w:t>
            </w:r>
          </w:p>
          <w:p w14:paraId="1A2F4EA1"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(2.4)</w:t>
            </w:r>
          </w:p>
        </w:tc>
        <w:tc>
          <w:tcPr>
            <w:tcW w:w="708" w:type="dxa"/>
          </w:tcPr>
          <w:p w14:paraId="23E83641"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0.16</w:t>
            </w:r>
          </w:p>
        </w:tc>
        <w:tc>
          <w:tcPr>
            <w:tcW w:w="709" w:type="dxa"/>
          </w:tcPr>
          <w:p w14:paraId="1E762532"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23</w:t>
            </w:r>
          </w:p>
          <w:p w14:paraId="357DB0E1"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(6.0)</w:t>
            </w:r>
          </w:p>
        </w:tc>
        <w:tc>
          <w:tcPr>
            <w:tcW w:w="851" w:type="dxa"/>
          </w:tcPr>
          <w:p w14:paraId="31F766AE"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54</w:t>
            </w:r>
          </w:p>
          <w:p w14:paraId="7B2AEADD"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(15.1)</w:t>
            </w:r>
          </w:p>
        </w:tc>
        <w:tc>
          <w:tcPr>
            <w:tcW w:w="708" w:type="dxa"/>
          </w:tcPr>
          <w:p w14:paraId="38810F54" w14:textId="77777777" w:rsidR="00F9695B" w:rsidRPr="008B63C2" w:rsidRDefault="00F9695B" w:rsidP="008C4EFA">
            <w:pPr>
              <w:pStyle w:val="Tabletext"/>
              <w:spacing w:before="0" w:after="0"/>
              <w:ind w:right="-27"/>
              <w:jc w:val="center"/>
              <w:rPr>
                <w:rFonts w:ascii="Times New Roman" w:hAnsi="Times New Roman"/>
                <w:sz w:val="18"/>
                <w:szCs w:val="18"/>
                <w:lang w:val="en-GB"/>
              </w:rPr>
            </w:pPr>
            <w:r w:rsidRPr="008B63C2">
              <w:rPr>
                <w:rFonts w:ascii="Times New Roman" w:hAnsi="Times New Roman"/>
                <w:sz w:val="18"/>
                <w:szCs w:val="18"/>
                <w:lang w:val="en-GB"/>
              </w:rPr>
              <w:t>&lt;0.001</w:t>
            </w:r>
          </w:p>
        </w:tc>
      </w:tr>
      <w:tr w:rsidR="00F9695B" w:rsidRPr="008B63C2" w14:paraId="78B44772" w14:textId="77777777" w:rsidTr="006A7F8A">
        <w:tc>
          <w:tcPr>
            <w:tcW w:w="1224" w:type="dxa"/>
          </w:tcPr>
          <w:p w14:paraId="117F5ECD"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 xml:space="preserve">Major bleeding </w:t>
            </w:r>
          </w:p>
        </w:tc>
        <w:tc>
          <w:tcPr>
            <w:tcW w:w="702" w:type="dxa"/>
          </w:tcPr>
          <w:p w14:paraId="5E649B63"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42</w:t>
            </w:r>
          </w:p>
          <w:p w14:paraId="54AA18A7"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(24.2)</w:t>
            </w:r>
          </w:p>
        </w:tc>
        <w:tc>
          <w:tcPr>
            <w:tcW w:w="708" w:type="dxa"/>
          </w:tcPr>
          <w:p w14:paraId="1C80A9E5"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21</w:t>
            </w:r>
          </w:p>
          <w:p w14:paraId="0F0266E6"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(14.9)</w:t>
            </w:r>
          </w:p>
        </w:tc>
        <w:tc>
          <w:tcPr>
            <w:tcW w:w="709" w:type="dxa"/>
          </w:tcPr>
          <w:p w14:paraId="6A323B93"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0.04</w:t>
            </w:r>
          </w:p>
        </w:tc>
        <w:tc>
          <w:tcPr>
            <w:tcW w:w="709" w:type="dxa"/>
          </w:tcPr>
          <w:p w14:paraId="2424752F"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38</w:t>
            </w:r>
          </w:p>
          <w:p w14:paraId="25B04C71"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(16.2)</w:t>
            </w:r>
          </w:p>
        </w:tc>
        <w:tc>
          <w:tcPr>
            <w:tcW w:w="709" w:type="dxa"/>
          </w:tcPr>
          <w:p w14:paraId="77713FA6"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58</w:t>
            </w:r>
          </w:p>
          <w:p w14:paraId="4EA3B0C6"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(24.5)</w:t>
            </w:r>
          </w:p>
        </w:tc>
        <w:tc>
          <w:tcPr>
            <w:tcW w:w="708" w:type="dxa"/>
          </w:tcPr>
          <w:p w14:paraId="78C1844D"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0.02</w:t>
            </w:r>
          </w:p>
        </w:tc>
        <w:tc>
          <w:tcPr>
            <w:tcW w:w="851" w:type="dxa"/>
          </w:tcPr>
          <w:p w14:paraId="32FD7F26"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11</w:t>
            </w:r>
          </w:p>
          <w:p w14:paraId="4203B457"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(11.0)</w:t>
            </w:r>
          </w:p>
        </w:tc>
        <w:tc>
          <w:tcPr>
            <w:tcW w:w="709" w:type="dxa"/>
          </w:tcPr>
          <w:p w14:paraId="232A37C9"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27</w:t>
            </w:r>
          </w:p>
          <w:p w14:paraId="25AAED1E"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(28.5)</w:t>
            </w:r>
          </w:p>
        </w:tc>
        <w:tc>
          <w:tcPr>
            <w:tcW w:w="708" w:type="dxa"/>
          </w:tcPr>
          <w:p w14:paraId="29575C3C"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0.006</w:t>
            </w:r>
          </w:p>
        </w:tc>
        <w:tc>
          <w:tcPr>
            <w:tcW w:w="709" w:type="dxa"/>
          </w:tcPr>
          <w:p w14:paraId="177A3674"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114</w:t>
            </w:r>
          </w:p>
          <w:p w14:paraId="4687ACA6"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(29.5)</w:t>
            </w:r>
          </w:p>
        </w:tc>
        <w:tc>
          <w:tcPr>
            <w:tcW w:w="851" w:type="dxa"/>
          </w:tcPr>
          <w:p w14:paraId="5DF73219"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130</w:t>
            </w:r>
          </w:p>
          <w:p w14:paraId="6F49C218" w14:textId="77777777" w:rsidR="00F9695B" w:rsidRPr="008B63C2" w:rsidRDefault="00F9695B" w:rsidP="008C4EFA">
            <w:pPr>
              <w:pStyle w:val="Tabletext"/>
              <w:spacing w:before="0" w:after="0"/>
              <w:rPr>
                <w:rFonts w:ascii="Times New Roman" w:hAnsi="Times New Roman"/>
                <w:sz w:val="18"/>
                <w:szCs w:val="18"/>
                <w:lang w:val="en-GB"/>
              </w:rPr>
            </w:pPr>
            <w:r w:rsidRPr="008B63C2">
              <w:rPr>
                <w:rFonts w:ascii="Times New Roman" w:hAnsi="Times New Roman"/>
                <w:sz w:val="18"/>
                <w:szCs w:val="18"/>
                <w:lang w:val="en-GB"/>
              </w:rPr>
              <w:t>(36.7)</w:t>
            </w:r>
          </w:p>
        </w:tc>
        <w:tc>
          <w:tcPr>
            <w:tcW w:w="708" w:type="dxa"/>
          </w:tcPr>
          <w:p w14:paraId="7BA80AD3" w14:textId="77777777" w:rsidR="00F9695B" w:rsidRPr="008B63C2" w:rsidRDefault="00F9695B" w:rsidP="008C4EFA">
            <w:pPr>
              <w:pStyle w:val="Tabletext"/>
              <w:spacing w:before="0" w:after="0"/>
              <w:jc w:val="center"/>
              <w:rPr>
                <w:rFonts w:ascii="Times New Roman" w:hAnsi="Times New Roman"/>
                <w:sz w:val="18"/>
                <w:szCs w:val="18"/>
                <w:lang w:val="en-GB"/>
              </w:rPr>
            </w:pPr>
            <w:r w:rsidRPr="008B63C2">
              <w:rPr>
                <w:rFonts w:ascii="Times New Roman" w:hAnsi="Times New Roman"/>
                <w:sz w:val="18"/>
                <w:szCs w:val="18"/>
                <w:lang w:val="en-GB"/>
              </w:rPr>
              <w:t>0.03</w:t>
            </w:r>
          </w:p>
        </w:tc>
      </w:tr>
    </w:tbl>
    <w:p w14:paraId="3725D7ED" w14:textId="77777777" w:rsidR="00F9695B" w:rsidRPr="008B63C2" w:rsidRDefault="00F9695B" w:rsidP="00F9695B">
      <w:pPr>
        <w:pStyle w:val="Tablecaption"/>
        <w:spacing w:before="0" w:after="0"/>
        <w:rPr>
          <w:rFonts w:ascii="Times New Roman" w:hAnsi="Times New Roman" w:cs="Times New Roman"/>
          <w:sz w:val="18"/>
          <w:szCs w:val="18"/>
        </w:rPr>
      </w:pPr>
      <w:r w:rsidRPr="008B63C2">
        <w:rPr>
          <w:rFonts w:ascii="Times New Roman" w:hAnsi="Times New Roman" w:cs="Times New Roman"/>
          <w:sz w:val="18"/>
          <w:szCs w:val="18"/>
        </w:rPr>
        <w:t>Source: Leon, 2010</w:t>
      </w:r>
      <w:r w:rsidR="004746B0">
        <w:rPr>
          <w:rFonts w:ascii="Times New Roman" w:hAnsi="Times New Roman" w:cs="Times New Roman"/>
          <w:sz w:val="18"/>
          <w:szCs w:val="18"/>
        </w:rPr>
        <w:t>;</w:t>
      </w:r>
      <w:r w:rsidRPr="008B63C2">
        <w:rPr>
          <w:rFonts w:ascii="Times New Roman" w:hAnsi="Times New Roman" w:cs="Times New Roman"/>
          <w:sz w:val="18"/>
          <w:szCs w:val="18"/>
        </w:rPr>
        <w:t xml:space="preserve"> </w:t>
      </w:r>
      <w:proofErr w:type="spellStart"/>
      <w:r w:rsidRPr="008B63C2">
        <w:rPr>
          <w:rFonts w:ascii="Times New Roman" w:hAnsi="Times New Roman" w:cs="Times New Roman"/>
          <w:sz w:val="18"/>
          <w:szCs w:val="18"/>
        </w:rPr>
        <w:t>Makkar</w:t>
      </w:r>
      <w:proofErr w:type="spellEnd"/>
      <w:r w:rsidRPr="008B63C2">
        <w:rPr>
          <w:rFonts w:ascii="Times New Roman" w:hAnsi="Times New Roman" w:cs="Times New Roman"/>
          <w:sz w:val="18"/>
          <w:szCs w:val="18"/>
        </w:rPr>
        <w:t>, 2012</w:t>
      </w:r>
      <w:r w:rsidR="004746B0">
        <w:rPr>
          <w:rFonts w:ascii="Times New Roman" w:hAnsi="Times New Roman" w:cs="Times New Roman"/>
          <w:sz w:val="18"/>
          <w:szCs w:val="18"/>
        </w:rPr>
        <w:t>;</w:t>
      </w:r>
      <w:r w:rsidRPr="008B63C2">
        <w:rPr>
          <w:rFonts w:ascii="Times New Roman" w:hAnsi="Times New Roman" w:cs="Times New Roman"/>
          <w:sz w:val="18"/>
          <w:szCs w:val="18"/>
        </w:rPr>
        <w:t xml:space="preserve"> Smith, 2011</w:t>
      </w:r>
      <w:r w:rsidR="004746B0">
        <w:rPr>
          <w:rFonts w:ascii="Times New Roman" w:hAnsi="Times New Roman" w:cs="Times New Roman"/>
          <w:sz w:val="18"/>
          <w:szCs w:val="18"/>
        </w:rPr>
        <w:t>;</w:t>
      </w:r>
      <w:r w:rsidRPr="008B63C2">
        <w:rPr>
          <w:rFonts w:ascii="Times New Roman" w:hAnsi="Times New Roman" w:cs="Times New Roman"/>
          <w:sz w:val="18"/>
          <w:szCs w:val="18"/>
        </w:rPr>
        <w:t xml:space="preserve"> Adams, 2014</w:t>
      </w:r>
      <w:r w:rsidR="004746B0">
        <w:rPr>
          <w:rFonts w:ascii="Times New Roman" w:hAnsi="Times New Roman" w:cs="Times New Roman"/>
          <w:sz w:val="18"/>
          <w:szCs w:val="18"/>
        </w:rPr>
        <w:t>.</w:t>
      </w:r>
    </w:p>
    <w:p w14:paraId="41D96E26" w14:textId="77777777" w:rsidR="00F9695B" w:rsidRPr="008B63C2" w:rsidRDefault="00F9695B" w:rsidP="00F9695B">
      <w:pPr>
        <w:pStyle w:val="Tablecaption"/>
        <w:spacing w:before="0" w:after="0"/>
        <w:rPr>
          <w:rFonts w:ascii="Times New Roman" w:hAnsi="Times New Roman" w:cs="Times New Roman"/>
          <w:sz w:val="18"/>
          <w:szCs w:val="18"/>
        </w:rPr>
      </w:pPr>
      <w:r w:rsidRPr="008B63C2">
        <w:rPr>
          <w:rFonts w:ascii="Times New Roman" w:hAnsi="Times New Roman" w:cs="Times New Roman"/>
          <w:sz w:val="18"/>
          <w:szCs w:val="18"/>
        </w:rPr>
        <w:t>TIA</w:t>
      </w:r>
      <w:r w:rsidR="004746B0">
        <w:rPr>
          <w:rFonts w:ascii="Times New Roman" w:hAnsi="Times New Roman" w:cs="Times New Roman"/>
          <w:sz w:val="18"/>
          <w:szCs w:val="18"/>
        </w:rPr>
        <w:t xml:space="preserve"> </w:t>
      </w:r>
      <w:r w:rsidRPr="008B63C2">
        <w:rPr>
          <w:rFonts w:ascii="Times New Roman" w:hAnsi="Times New Roman" w:cs="Times New Roman"/>
          <w:sz w:val="18"/>
          <w:szCs w:val="18"/>
        </w:rPr>
        <w:t xml:space="preserve">= </w:t>
      </w:r>
      <w:r w:rsidR="004746B0">
        <w:rPr>
          <w:rFonts w:ascii="Times New Roman" w:hAnsi="Times New Roman" w:cs="Times New Roman"/>
          <w:sz w:val="18"/>
          <w:szCs w:val="18"/>
        </w:rPr>
        <w:t>t</w:t>
      </w:r>
      <w:r w:rsidRPr="008B63C2">
        <w:rPr>
          <w:rFonts w:ascii="Times New Roman" w:hAnsi="Times New Roman" w:cs="Times New Roman"/>
          <w:sz w:val="18"/>
          <w:szCs w:val="18"/>
        </w:rPr>
        <w:t xml:space="preserve">ransient </w:t>
      </w:r>
      <w:r w:rsidR="004746B0">
        <w:rPr>
          <w:rFonts w:ascii="Times New Roman" w:hAnsi="Times New Roman" w:cs="Times New Roman"/>
          <w:sz w:val="18"/>
          <w:szCs w:val="18"/>
        </w:rPr>
        <w:t>i</w:t>
      </w:r>
      <w:r w:rsidRPr="008B63C2">
        <w:rPr>
          <w:rFonts w:ascii="Times New Roman" w:hAnsi="Times New Roman" w:cs="Times New Roman"/>
          <w:sz w:val="18"/>
          <w:szCs w:val="18"/>
        </w:rPr>
        <w:t>schaemic attack; MI</w:t>
      </w:r>
      <w:r w:rsidR="004746B0">
        <w:rPr>
          <w:rFonts w:ascii="Times New Roman" w:hAnsi="Times New Roman" w:cs="Times New Roman"/>
          <w:sz w:val="18"/>
          <w:szCs w:val="18"/>
        </w:rPr>
        <w:t xml:space="preserve"> </w:t>
      </w:r>
      <w:r w:rsidRPr="008B63C2">
        <w:rPr>
          <w:rFonts w:ascii="Times New Roman" w:hAnsi="Times New Roman" w:cs="Times New Roman"/>
          <w:sz w:val="18"/>
          <w:szCs w:val="18"/>
        </w:rPr>
        <w:t xml:space="preserve">= </w:t>
      </w:r>
      <w:r w:rsidR="004746B0">
        <w:rPr>
          <w:rFonts w:ascii="Times New Roman" w:hAnsi="Times New Roman" w:cs="Times New Roman"/>
          <w:sz w:val="18"/>
          <w:szCs w:val="18"/>
        </w:rPr>
        <w:t>m</w:t>
      </w:r>
      <w:r w:rsidRPr="008B63C2">
        <w:rPr>
          <w:rFonts w:ascii="Times New Roman" w:hAnsi="Times New Roman" w:cs="Times New Roman"/>
          <w:sz w:val="18"/>
          <w:szCs w:val="18"/>
        </w:rPr>
        <w:t xml:space="preserve">yocardial </w:t>
      </w:r>
      <w:r w:rsidR="004746B0">
        <w:rPr>
          <w:rFonts w:ascii="Times New Roman" w:hAnsi="Times New Roman" w:cs="Times New Roman"/>
          <w:sz w:val="18"/>
          <w:szCs w:val="18"/>
        </w:rPr>
        <w:t>i</w:t>
      </w:r>
      <w:r w:rsidRPr="008B63C2">
        <w:rPr>
          <w:rFonts w:ascii="Times New Roman" w:hAnsi="Times New Roman" w:cs="Times New Roman"/>
          <w:sz w:val="18"/>
          <w:szCs w:val="18"/>
        </w:rPr>
        <w:t>nf</w:t>
      </w:r>
      <w:r w:rsidR="004746B0">
        <w:rPr>
          <w:rFonts w:ascii="Times New Roman" w:hAnsi="Times New Roman" w:cs="Times New Roman"/>
          <w:sz w:val="18"/>
          <w:szCs w:val="18"/>
        </w:rPr>
        <w:t>a</w:t>
      </w:r>
      <w:r w:rsidRPr="008B63C2">
        <w:rPr>
          <w:rFonts w:ascii="Times New Roman" w:hAnsi="Times New Roman" w:cs="Times New Roman"/>
          <w:sz w:val="18"/>
          <w:szCs w:val="18"/>
        </w:rPr>
        <w:t xml:space="preserve">rction; MM = medical management +/- </w:t>
      </w:r>
      <w:r w:rsidR="000061C4">
        <w:rPr>
          <w:rFonts w:ascii="Times New Roman" w:hAnsi="Times New Roman" w:cs="Times New Roman"/>
          <w:sz w:val="18"/>
          <w:szCs w:val="18"/>
        </w:rPr>
        <w:t xml:space="preserve">balloon </w:t>
      </w:r>
      <w:proofErr w:type="spellStart"/>
      <w:r w:rsidR="000061C4">
        <w:rPr>
          <w:rFonts w:ascii="Times New Roman" w:hAnsi="Times New Roman" w:cs="Times New Roman"/>
          <w:sz w:val="18"/>
          <w:szCs w:val="18"/>
        </w:rPr>
        <w:t>valvuloplasty</w:t>
      </w:r>
      <w:proofErr w:type="spellEnd"/>
    </w:p>
    <w:p w14:paraId="4D63737B" w14:textId="77777777" w:rsidR="00F9695B" w:rsidRPr="008B63C2" w:rsidRDefault="00F9695B" w:rsidP="00F9695B">
      <w:pPr>
        <w:pStyle w:val="Tablecaption"/>
        <w:spacing w:before="0" w:after="0"/>
        <w:rPr>
          <w:rFonts w:ascii="Times New Roman" w:hAnsi="Times New Roman" w:cs="Times New Roman"/>
          <w:sz w:val="18"/>
          <w:szCs w:val="18"/>
        </w:rPr>
      </w:pPr>
      <w:r w:rsidRPr="008B63C2">
        <w:rPr>
          <w:rFonts w:ascii="Times New Roman" w:hAnsi="Times New Roman" w:cs="Times New Roman"/>
          <w:sz w:val="18"/>
          <w:szCs w:val="18"/>
        </w:rPr>
        <w:t>*All percentages are Kaplan-Meier estimates at the specific time point and thus do not equal the number of patients divided by the total number in the study group.</w:t>
      </w:r>
    </w:p>
    <w:p w14:paraId="7B52210D" w14:textId="77777777" w:rsidR="00F9695B" w:rsidRPr="008B63C2" w:rsidRDefault="00F9695B" w:rsidP="00F9695B">
      <w:pPr>
        <w:pStyle w:val="Tablecaption"/>
        <w:spacing w:before="0" w:after="0"/>
        <w:rPr>
          <w:rFonts w:ascii="Times New Roman" w:hAnsi="Times New Roman" w:cs="Times New Roman"/>
          <w:sz w:val="18"/>
          <w:szCs w:val="18"/>
        </w:rPr>
      </w:pPr>
      <w:r w:rsidRPr="008B63C2">
        <w:rPr>
          <w:rFonts w:ascii="Times New Roman" w:hAnsi="Times New Roman" w:cs="Times New Roman"/>
          <w:sz w:val="18"/>
          <w:szCs w:val="18"/>
        </w:rPr>
        <w:t xml:space="preserve">** includes combined results for TF-TAVI and TAVI using subclavian </w:t>
      </w:r>
      <w:r w:rsidR="002371F6">
        <w:rPr>
          <w:rFonts w:ascii="Times New Roman" w:hAnsi="Times New Roman" w:cs="Times New Roman"/>
          <w:sz w:val="18"/>
          <w:szCs w:val="18"/>
        </w:rPr>
        <w:t>delivery</w:t>
      </w:r>
    </w:p>
    <w:p w14:paraId="18CAFB18" w14:textId="77777777" w:rsidR="00F9695B" w:rsidRPr="008B63C2" w:rsidRDefault="00F9695B" w:rsidP="00F9695B">
      <w:pPr>
        <w:pStyle w:val="Tablecaption"/>
        <w:spacing w:before="0" w:after="0"/>
        <w:rPr>
          <w:rFonts w:ascii="Times New Roman" w:hAnsi="Times New Roman" w:cs="Times New Roman"/>
          <w:sz w:val="18"/>
          <w:szCs w:val="18"/>
        </w:rPr>
      </w:pPr>
      <w:r w:rsidRPr="008B63C2">
        <w:rPr>
          <w:rFonts w:ascii="Times New Roman" w:hAnsi="Times New Roman" w:cs="Times New Roman"/>
          <w:sz w:val="18"/>
          <w:szCs w:val="18"/>
        </w:rPr>
        <w:t>**</w:t>
      </w:r>
      <w:r w:rsidR="006A7F8A">
        <w:rPr>
          <w:rFonts w:ascii="Times New Roman" w:hAnsi="Times New Roman" w:cs="Times New Roman"/>
          <w:sz w:val="18"/>
          <w:szCs w:val="18"/>
        </w:rPr>
        <w:t xml:space="preserve">* </w:t>
      </w:r>
      <w:r w:rsidR="008C4EFA">
        <w:rPr>
          <w:rFonts w:ascii="Times New Roman" w:hAnsi="Times New Roman" w:cs="Times New Roman"/>
          <w:sz w:val="18"/>
          <w:szCs w:val="18"/>
        </w:rPr>
        <w:t>P</w:t>
      </w:r>
      <w:r w:rsidRPr="008B63C2">
        <w:rPr>
          <w:rFonts w:ascii="Times New Roman" w:hAnsi="Times New Roman" w:cs="Times New Roman"/>
          <w:sz w:val="18"/>
          <w:szCs w:val="18"/>
        </w:rPr>
        <w:t>-values are for between-group comparisons of the frequency of the event at each time point (log-rank test)</w:t>
      </w:r>
    </w:p>
    <w:p w14:paraId="3E0F7580" w14:textId="77777777" w:rsidR="006A7F8A" w:rsidRDefault="006A7F8A" w:rsidP="00F9695B">
      <w:pPr>
        <w:pStyle w:val="Guidelines"/>
        <w:numPr>
          <w:ilvl w:val="0"/>
          <w:numId w:val="0"/>
        </w:numPr>
        <w:jc w:val="left"/>
        <w:rPr>
          <w:rFonts w:ascii="Times New Roman" w:hAnsi="Times New Roman"/>
          <w:color w:val="auto"/>
        </w:rPr>
      </w:pPr>
    </w:p>
    <w:p w14:paraId="721B88A9" w14:textId="77777777" w:rsidR="00F9695B" w:rsidRDefault="00F9695B" w:rsidP="00F9695B">
      <w:pPr>
        <w:pStyle w:val="Guidelines"/>
        <w:numPr>
          <w:ilvl w:val="0"/>
          <w:numId w:val="0"/>
        </w:numPr>
        <w:jc w:val="left"/>
        <w:rPr>
          <w:rFonts w:ascii="Times New Roman" w:hAnsi="Times New Roman"/>
          <w:color w:val="auto"/>
        </w:rPr>
      </w:pPr>
      <w:r w:rsidRPr="008B63C2">
        <w:rPr>
          <w:rFonts w:ascii="Times New Roman" w:hAnsi="Times New Roman"/>
          <w:color w:val="auto"/>
        </w:rPr>
        <w:t>In inoperable patients (Cohort B of the PARTNER trial)</w:t>
      </w:r>
      <w:r w:rsidR="006A7F8A">
        <w:rPr>
          <w:rFonts w:ascii="Times New Roman" w:hAnsi="Times New Roman"/>
          <w:color w:val="auto"/>
        </w:rPr>
        <w:t>,</w:t>
      </w:r>
      <w:r w:rsidRPr="008B63C2">
        <w:rPr>
          <w:rFonts w:ascii="Times New Roman" w:hAnsi="Times New Roman"/>
          <w:color w:val="auto"/>
        </w:rPr>
        <w:t xml:space="preserve"> the rate of stroke (K-M estimates) was higher in the TAVI group than in the </w:t>
      </w:r>
      <w:r w:rsidR="009670FC">
        <w:rPr>
          <w:rFonts w:ascii="Times New Roman" w:hAnsi="Times New Roman"/>
          <w:color w:val="auto"/>
        </w:rPr>
        <w:t>medical management</w:t>
      </w:r>
      <w:r w:rsidRPr="008B63C2">
        <w:rPr>
          <w:rFonts w:ascii="Times New Roman" w:hAnsi="Times New Roman"/>
          <w:color w:val="auto"/>
        </w:rPr>
        <w:t xml:space="preserve"> group bot</w:t>
      </w:r>
      <w:r w:rsidR="0004553C">
        <w:rPr>
          <w:rFonts w:ascii="Times New Roman" w:hAnsi="Times New Roman"/>
          <w:color w:val="auto"/>
        </w:rPr>
        <w:t>h at 1 year (11.2% vs. 5.5%, P = </w:t>
      </w:r>
      <w:r w:rsidRPr="008B63C2">
        <w:rPr>
          <w:rFonts w:ascii="Times New Roman" w:hAnsi="Times New Roman"/>
          <w:color w:val="auto"/>
        </w:rPr>
        <w:t>0.06) and at 2 years (13.8 vs. 5.5%, P</w:t>
      </w:r>
      <w:r w:rsidR="0004553C">
        <w:rPr>
          <w:rFonts w:ascii="Times New Roman" w:hAnsi="Times New Roman"/>
          <w:color w:val="auto"/>
        </w:rPr>
        <w:t> = </w:t>
      </w:r>
      <w:r w:rsidRPr="008B63C2">
        <w:rPr>
          <w:rFonts w:ascii="Times New Roman" w:hAnsi="Times New Roman"/>
          <w:color w:val="auto"/>
        </w:rPr>
        <w:t>0.01) (</w:t>
      </w:r>
      <w:proofErr w:type="spellStart"/>
      <w:r w:rsidRPr="008B63C2">
        <w:rPr>
          <w:rFonts w:ascii="Times New Roman" w:hAnsi="Times New Roman"/>
          <w:color w:val="auto"/>
        </w:rPr>
        <w:t>Makkar</w:t>
      </w:r>
      <w:proofErr w:type="spellEnd"/>
      <w:r w:rsidRPr="008B63C2">
        <w:rPr>
          <w:rFonts w:ascii="Times New Roman" w:hAnsi="Times New Roman"/>
          <w:color w:val="auto"/>
        </w:rPr>
        <w:t>, 2012) (data not in table). TAVI was also associated with the higher rate of vascular complications at one year</w:t>
      </w:r>
      <w:r w:rsidR="0004553C">
        <w:rPr>
          <w:rFonts w:ascii="Times New Roman" w:hAnsi="Times New Roman"/>
          <w:color w:val="auto"/>
        </w:rPr>
        <w:t>,</w:t>
      </w:r>
      <w:r w:rsidRPr="008B63C2">
        <w:rPr>
          <w:rFonts w:ascii="Times New Roman" w:hAnsi="Times New Roman"/>
          <w:color w:val="auto"/>
        </w:rPr>
        <w:t xml:space="preserve"> 32.4% vs 7.3% in the </w:t>
      </w:r>
      <w:r w:rsidR="009670FC">
        <w:rPr>
          <w:rFonts w:ascii="Times New Roman" w:hAnsi="Times New Roman"/>
          <w:color w:val="auto"/>
        </w:rPr>
        <w:t>medical management</w:t>
      </w:r>
      <w:r w:rsidR="009670FC" w:rsidRPr="008B63C2">
        <w:rPr>
          <w:rFonts w:ascii="Times New Roman" w:hAnsi="Times New Roman"/>
          <w:color w:val="auto"/>
        </w:rPr>
        <w:t xml:space="preserve"> </w:t>
      </w:r>
      <w:r w:rsidRPr="008B63C2">
        <w:rPr>
          <w:rFonts w:ascii="Times New Roman" w:hAnsi="Times New Roman"/>
          <w:color w:val="auto"/>
        </w:rPr>
        <w:t>group (P</w:t>
      </w:r>
      <w:r w:rsidR="0004553C">
        <w:rPr>
          <w:rFonts w:ascii="Times New Roman" w:hAnsi="Times New Roman"/>
          <w:color w:val="auto"/>
        </w:rPr>
        <w:t> </w:t>
      </w:r>
      <w:r w:rsidRPr="008B63C2">
        <w:rPr>
          <w:rFonts w:ascii="Times New Roman" w:hAnsi="Times New Roman"/>
          <w:color w:val="auto"/>
        </w:rPr>
        <w:t>&lt;</w:t>
      </w:r>
      <w:r w:rsidR="0004553C">
        <w:rPr>
          <w:rFonts w:ascii="Times New Roman" w:hAnsi="Times New Roman"/>
          <w:color w:val="auto"/>
        </w:rPr>
        <w:t> </w:t>
      </w:r>
      <w:r w:rsidRPr="008B63C2">
        <w:rPr>
          <w:rFonts w:ascii="Times New Roman" w:hAnsi="Times New Roman"/>
          <w:color w:val="auto"/>
        </w:rPr>
        <w:t>0.001)</w:t>
      </w:r>
      <w:r w:rsidR="0004553C">
        <w:rPr>
          <w:rFonts w:ascii="Times New Roman" w:hAnsi="Times New Roman"/>
          <w:color w:val="auto"/>
        </w:rPr>
        <w:t>;</w:t>
      </w:r>
      <w:r w:rsidRPr="008B63C2">
        <w:rPr>
          <w:rFonts w:ascii="Times New Roman" w:hAnsi="Times New Roman"/>
          <w:color w:val="auto"/>
        </w:rPr>
        <w:t xml:space="preserve"> and with the higher rate of major bleeding (24.3% and 14.9% in TAVI and </w:t>
      </w:r>
      <w:r w:rsidR="009670FC">
        <w:rPr>
          <w:rFonts w:ascii="Times New Roman" w:hAnsi="Times New Roman"/>
          <w:color w:val="auto"/>
        </w:rPr>
        <w:t>medical management</w:t>
      </w:r>
      <w:r w:rsidR="009670FC" w:rsidRPr="008B63C2">
        <w:rPr>
          <w:rFonts w:ascii="Times New Roman" w:hAnsi="Times New Roman"/>
          <w:color w:val="auto"/>
        </w:rPr>
        <w:t xml:space="preserve"> </w:t>
      </w:r>
      <w:r w:rsidRPr="008B63C2">
        <w:rPr>
          <w:rFonts w:ascii="Times New Roman" w:hAnsi="Times New Roman"/>
          <w:color w:val="auto"/>
        </w:rPr>
        <w:t>arms respectively, K-M estimates, P</w:t>
      </w:r>
      <w:r w:rsidR="0004553C">
        <w:rPr>
          <w:rFonts w:ascii="Times New Roman" w:hAnsi="Times New Roman"/>
          <w:color w:val="auto"/>
        </w:rPr>
        <w:t> = </w:t>
      </w:r>
      <w:r w:rsidRPr="008B63C2">
        <w:rPr>
          <w:rFonts w:ascii="Times New Roman" w:hAnsi="Times New Roman"/>
          <w:color w:val="auto"/>
        </w:rPr>
        <w:t>0.04).</w:t>
      </w:r>
      <w:r w:rsidR="00922B3F">
        <w:rPr>
          <w:rFonts w:ascii="Times New Roman" w:hAnsi="Times New Roman"/>
          <w:color w:val="auto"/>
        </w:rPr>
        <w:t xml:space="preserve"> </w:t>
      </w:r>
      <w:r w:rsidR="00922B3F" w:rsidRPr="0065491D">
        <w:rPr>
          <w:rFonts w:ascii="Times New Roman" w:hAnsi="Times New Roman"/>
          <w:color w:val="auto"/>
        </w:rPr>
        <w:t xml:space="preserve">MSAC noted that the recently published 5-year results for the PARTNER Cohort </w:t>
      </w:r>
      <w:r w:rsidR="00922B3F">
        <w:rPr>
          <w:rFonts w:ascii="Times New Roman" w:hAnsi="Times New Roman"/>
          <w:color w:val="auto"/>
        </w:rPr>
        <w:t>B</w:t>
      </w:r>
      <w:r w:rsidR="00922B3F" w:rsidRPr="0065491D">
        <w:rPr>
          <w:rFonts w:ascii="Times New Roman" w:hAnsi="Times New Roman"/>
          <w:color w:val="auto"/>
        </w:rPr>
        <w:t xml:space="preserve"> trial (</w:t>
      </w:r>
      <w:r w:rsidR="00435F60">
        <w:rPr>
          <w:rFonts w:ascii="Times New Roman" w:hAnsi="Times New Roman"/>
          <w:color w:val="auto"/>
        </w:rPr>
        <w:t>Kapadia</w:t>
      </w:r>
      <w:r w:rsidR="00922B3F" w:rsidRPr="0065491D">
        <w:rPr>
          <w:rFonts w:ascii="Times New Roman" w:hAnsi="Times New Roman"/>
          <w:color w:val="auto"/>
        </w:rPr>
        <w:t xml:space="preserve"> et al</w:t>
      </w:r>
      <w:r w:rsidR="00922B3F">
        <w:rPr>
          <w:rFonts w:ascii="Times New Roman" w:hAnsi="Times New Roman"/>
          <w:color w:val="auto"/>
        </w:rPr>
        <w:t>.</w:t>
      </w:r>
      <w:r w:rsidR="00922B3F" w:rsidRPr="0065491D">
        <w:rPr>
          <w:rFonts w:ascii="Times New Roman" w:hAnsi="Times New Roman"/>
          <w:color w:val="auto"/>
        </w:rPr>
        <w:t xml:space="preserve"> Lancet, 2015) </w:t>
      </w:r>
      <w:r w:rsidR="00922B3F">
        <w:rPr>
          <w:rFonts w:ascii="Times New Roman" w:hAnsi="Times New Roman"/>
          <w:color w:val="auto"/>
        </w:rPr>
        <w:t>confirmed that the risk of stroke following TAVI did not increase over time.</w:t>
      </w:r>
    </w:p>
    <w:p w14:paraId="2556C171" w14:textId="77777777" w:rsidR="006A7F8A" w:rsidRPr="008B63C2" w:rsidRDefault="006A7F8A" w:rsidP="00F9695B">
      <w:pPr>
        <w:pStyle w:val="Guidelines"/>
        <w:numPr>
          <w:ilvl w:val="0"/>
          <w:numId w:val="0"/>
        </w:numPr>
        <w:jc w:val="left"/>
        <w:rPr>
          <w:rFonts w:ascii="Times New Roman" w:hAnsi="Times New Roman"/>
          <w:color w:val="auto"/>
        </w:rPr>
      </w:pPr>
    </w:p>
    <w:p w14:paraId="3D0BF058" w14:textId="0914D92C" w:rsidR="006A7F8A" w:rsidRDefault="00F9695B" w:rsidP="00F9695B">
      <w:pPr>
        <w:pStyle w:val="Guidelines"/>
        <w:numPr>
          <w:ilvl w:val="0"/>
          <w:numId w:val="0"/>
        </w:numPr>
        <w:jc w:val="left"/>
        <w:rPr>
          <w:rFonts w:ascii="Times New Roman" w:hAnsi="Times New Roman"/>
          <w:color w:val="auto"/>
        </w:rPr>
      </w:pPr>
      <w:r w:rsidRPr="008B63C2">
        <w:rPr>
          <w:rFonts w:ascii="Times New Roman" w:hAnsi="Times New Roman"/>
          <w:color w:val="auto"/>
        </w:rPr>
        <w:t>In high surgical risk patients (Cohort A of the PARTNER trial)</w:t>
      </w:r>
      <w:r w:rsidR="0004553C">
        <w:rPr>
          <w:rFonts w:ascii="Times New Roman" w:hAnsi="Times New Roman"/>
          <w:color w:val="auto"/>
        </w:rPr>
        <w:t>,</w:t>
      </w:r>
      <w:r w:rsidRPr="008B63C2">
        <w:rPr>
          <w:rFonts w:ascii="Times New Roman" w:hAnsi="Times New Roman"/>
          <w:color w:val="auto"/>
        </w:rPr>
        <w:t xml:space="preserve"> rates of major stroke were 3.8% in the combined TF-and TA-TAVI group and 2.1% in the SAVR at 30 days (</w:t>
      </w:r>
      <w:r w:rsidR="0004553C">
        <w:rPr>
          <w:rFonts w:ascii="Times New Roman" w:hAnsi="Times New Roman"/>
          <w:color w:val="auto"/>
        </w:rPr>
        <w:t>P = </w:t>
      </w:r>
      <w:r w:rsidRPr="008B63C2">
        <w:rPr>
          <w:rFonts w:ascii="Times New Roman" w:hAnsi="Times New Roman"/>
          <w:color w:val="auto"/>
        </w:rPr>
        <w:t>0.20) and 5.1% and 2.4%, respectively, at one year (</w:t>
      </w:r>
      <w:r w:rsidR="0004553C">
        <w:rPr>
          <w:rFonts w:ascii="Times New Roman" w:hAnsi="Times New Roman"/>
          <w:color w:val="auto"/>
        </w:rPr>
        <w:t>P </w:t>
      </w:r>
      <w:r w:rsidRPr="008B63C2">
        <w:rPr>
          <w:rFonts w:ascii="Times New Roman" w:hAnsi="Times New Roman"/>
          <w:color w:val="auto"/>
        </w:rPr>
        <w:t>=</w:t>
      </w:r>
      <w:r w:rsidR="0004553C">
        <w:rPr>
          <w:rFonts w:ascii="Times New Roman" w:hAnsi="Times New Roman"/>
          <w:color w:val="auto"/>
        </w:rPr>
        <w:t> </w:t>
      </w:r>
      <w:r w:rsidRPr="008B63C2">
        <w:rPr>
          <w:rFonts w:ascii="Times New Roman" w:hAnsi="Times New Roman"/>
          <w:color w:val="auto"/>
        </w:rPr>
        <w:t xml:space="preserve">0.07). Rates of all neurologic events were higher in the TAVI group than in the surgical group at 30 days (5.5% vs. 2.4%, </w:t>
      </w:r>
      <w:r w:rsidR="0004553C">
        <w:rPr>
          <w:rFonts w:ascii="Times New Roman" w:hAnsi="Times New Roman"/>
          <w:color w:val="auto"/>
        </w:rPr>
        <w:t>P </w:t>
      </w:r>
      <w:r w:rsidRPr="008B63C2">
        <w:rPr>
          <w:rFonts w:ascii="Times New Roman" w:hAnsi="Times New Roman"/>
          <w:color w:val="auto"/>
        </w:rPr>
        <w:t>=</w:t>
      </w:r>
      <w:r w:rsidR="0004553C">
        <w:rPr>
          <w:rFonts w:ascii="Times New Roman" w:hAnsi="Times New Roman"/>
          <w:color w:val="auto"/>
        </w:rPr>
        <w:t> </w:t>
      </w:r>
      <w:r w:rsidRPr="008B63C2">
        <w:rPr>
          <w:rFonts w:ascii="Times New Roman" w:hAnsi="Times New Roman"/>
          <w:color w:val="auto"/>
        </w:rPr>
        <w:t xml:space="preserve">0.04) and at one year (8.3% vs. 4.3%, </w:t>
      </w:r>
      <w:r w:rsidR="0004553C">
        <w:rPr>
          <w:rFonts w:ascii="Times New Roman" w:hAnsi="Times New Roman"/>
          <w:color w:val="auto"/>
        </w:rPr>
        <w:t>P </w:t>
      </w:r>
      <w:r w:rsidRPr="008B63C2">
        <w:rPr>
          <w:rFonts w:ascii="Times New Roman" w:hAnsi="Times New Roman"/>
          <w:color w:val="auto"/>
        </w:rPr>
        <w:t>=</w:t>
      </w:r>
      <w:r w:rsidR="0004553C">
        <w:rPr>
          <w:rFonts w:ascii="Times New Roman" w:hAnsi="Times New Roman"/>
          <w:color w:val="auto"/>
        </w:rPr>
        <w:t> </w:t>
      </w:r>
      <w:r w:rsidRPr="008B63C2">
        <w:rPr>
          <w:rFonts w:ascii="Times New Roman" w:hAnsi="Times New Roman"/>
          <w:color w:val="auto"/>
        </w:rPr>
        <w:t xml:space="preserve">0.04). This </w:t>
      </w:r>
      <w:r w:rsidR="0004553C">
        <w:rPr>
          <w:rFonts w:ascii="Times New Roman" w:hAnsi="Times New Roman"/>
          <w:color w:val="auto"/>
        </w:rPr>
        <w:t>wa</w:t>
      </w:r>
      <w:r w:rsidRPr="008B63C2">
        <w:rPr>
          <w:rFonts w:ascii="Times New Roman" w:hAnsi="Times New Roman"/>
          <w:color w:val="auto"/>
        </w:rPr>
        <w:t xml:space="preserve">s also true when the rates of all neurologic events observed in the TF-TAVI group were compared with the rates in TF-SAVR </w:t>
      </w:r>
      <w:r w:rsidRPr="008B63C2">
        <w:rPr>
          <w:rFonts w:ascii="Times New Roman" w:hAnsi="Times New Roman"/>
          <w:color w:val="auto"/>
        </w:rPr>
        <w:lastRenderedPageBreak/>
        <w:t>comparator group (</w:t>
      </w:r>
      <w:r w:rsidR="0088003B" w:rsidRPr="008B63C2">
        <w:rPr>
          <w:rFonts w:ascii="Times New Roman" w:hAnsi="Times New Roman"/>
          <w:color w:val="auto"/>
        </w:rPr>
        <w:t>6.4%</w:t>
      </w:r>
      <w:r w:rsidR="0088003B">
        <w:rPr>
          <w:rFonts w:ascii="Times New Roman" w:hAnsi="Times New Roman"/>
          <w:color w:val="auto"/>
        </w:rPr>
        <w:t xml:space="preserve"> vs. </w:t>
      </w:r>
      <w:r w:rsidRPr="008B63C2">
        <w:rPr>
          <w:rFonts w:ascii="Times New Roman" w:hAnsi="Times New Roman"/>
          <w:color w:val="auto"/>
        </w:rPr>
        <w:t>2.8%</w:t>
      </w:r>
      <w:r w:rsidR="0088003B">
        <w:rPr>
          <w:rFonts w:ascii="Times New Roman" w:hAnsi="Times New Roman"/>
          <w:color w:val="auto"/>
        </w:rPr>
        <w:t>,</w:t>
      </w:r>
      <w:r w:rsidRPr="008B63C2">
        <w:rPr>
          <w:rFonts w:ascii="Times New Roman" w:hAnsi="Times New Roman"/>
          <w:color w:val="auto"/>
        </w:rPr>
        <w:t xml:space="preserve"> </w:t>
      </w:r>
      <w:r w:rsidR="0004553C">
        <w:rPr>
          <w:rFonts w:ascii="Times New Roman" w:hAnsi="Times New Roman"/>
          <w:color w:val="auto"/>
        </w:rPr>
        <w:t>P </w:t>
      </w:r>
      <w:r w:rsidRPr="008B63C2">
        <w:rPr>
          <w:rFonts w:ascii="Times New Roman" w:hAnsi="Times New Roman"/>
          <w:color w:val="auto"/>
        </w:rPr>
        <w:t>=</w:t>
      </w:r>
      <w:r w:rsidR="0004553C">
        <w:rPr>
          <w:rFonts w:ascii="Times New Roman" w:hAnsi="Times New Roman"/>
          <w:color w:val="auto"/>
        </w:rPr>
        <w:t> </w:t>
      </w:r>
      <w:r w:rsidRPr="008B63C2">
        <w:rPr>
          <w:rFonts w:ascii="Times New Roman" w:hAnsi="Times New Roman"/>
          <w:color w:val="auto"/>
        </w:rPr>
        <w:t xml:space="preserve">0.07). TF-TAVI was also associated with </w:t>
      </w:r>
      <w:r w:rsidR="0088003B">
        <w:rPr>
          <w:rFonts w:ascii="Times New Roman" w:hAnsi="Times New Roman"/>
          <w:color w:val="auto"/>
        </w:rPr>
        <w:t xml:space="preserve">a </w:t>
      </w:r>
      <w:r w:rsidRPr="008B63C2">
        <w:rPr>
          <w:rFonts w:ascii="Times New Roman" w:hAnsi="Times New Roman"/>
          <w:color w:val="auto"/>
        </w:rPr>
        <w:t>higher rate of vascular complications at one year</w:t>
      </w:r>
      <w:r w:rsidR="0088003B">
        <w:rPr>
          <w:rFonts w:ascii="Times New Roman" w:hAnsi="Times New Roman"/>
          <w:color w:val="auto"/>
        </w:rPr>
        <w:t xml:space="preserve"> than</w:t>
      </w:r>
      <w:r w:rsidRPr="008B63C2">
        <w:rPr>
          <w:rFonts w:ascii="Times New Roman" w:hAnsi="Times New Roman"/>
          <w:color w:val="auto"/>
        </w:rPr>
        <w:t xml:space="preserve"> in the TF-SAVR group (</w:t>
      </w:r>
      <w:r w:rsidR="0088003B" w:rsidRPr="008B63C2">
        <w:rPr>
          <w:rFonts w:ascii="Times New Roman" w:hAnsi="Times New Roman"/>
          <w:color w:val="auto"/>
        </w:rPr>
        <w:t>23.5% vs 3.8%</w:t>
      </w:r>
      <w:r w:rsidR="0088003B">
        <w:rPr>
          <w:rFonts w:ascii="Times New Roman" w:hAnsi="Times New Roman"/>
          <w:color w:val="auto"/>
        </w:rPr>
        <w:t>,</w:t>
      </w:r>
      <w:r w:rsidR="0088003B" w:rsidRPr="008B63C2">
        <w:rPr>
          <w:rFonts w:ascii="Times New Roman" w:hAnsi="Times New Roman"/>
          <w:color w:val="auto"/>
        </w:rPr>
        <w:t xml:space="preserve"> </w:t>
      </w:r>
      <w:r w:rsidR="0004553C">
        <w:rPr>
          <w:rFonts w:ascii="Times New Roman" w:hAnsi="Times New Roman"/>
          <w:color w:val="auto"/>
        </w:rPr>
        <w:t>P </w:t>
      </w:r>
      <w:r w:rsidRPr="008B63C2">
        <w:rPr>
          <w:rFonts w:ascii="Times New Roman" w:hAnsi="Times New Roman"/>
          <w:color w:val="auto"/>
        </w:rPr>
        <w:t>&lt;</w:t>
      </w:r>
      <w:r w:rsidR="0004553C">
        <w:rPr>
          <w:rFonts w:ascii="Times New Roman" w:hAnsi="Times New Roman"/>
          <w:color w:val="auto"/>
        </w:rPr>
        <w:t> </w:t>
      </w:r>
      <w:r w:rsidRPr="008B63C2">
        <w:rPr>
          <w:rFonts w:ascii="Times New Roman" w:hAnsi="Times New Roman"/>
          <w:color w:val="auto"/>
        </w:rPr>
        <w:t>0.001). Major vascular complications and major bleeding events were frequent procedure-related complications in the TAVR and surgery groups, respectively, but after 1 year, these events were uncommon and did not differ significantly between the groups.</w:t>
      </w:r>
      <w:r w:rsidR="0088003B">
        <w:rPr>
          <w:rFonts w:ascii="Times New Roman" w:hAnsi="Times New Roman"/>
          <w:color w:val="auto"/>
        </w:rPr>
        <w:t xml:space="preserve"> </w:t>
      </w:r>
      <w:r w:rsidR="00922B3F" w:rsidRPr="0065491D">
        <w:rPr>
          <w:rFonts w:ascii="Times New Roman" w:hAnsi="Times New Roman"/>
          <w:color w:val="auto"/>
        </w:rPr>
        <w:t xml:space="preserve">MSAC noted that the recently published 5-year results for the PARTNER Cohort </w:t>
      </w:r>
      <w:proofErr w:type="gramStart"/>
      <w:r w:rsidR="00922B3F" w:rsidRPr="0065491D">
        <w:rPr>
          <w:rFonts w:ascii="Times New Roman" w:hAnsi="Times New Roman"/>
          <w:color w:val="auto"/>
        </w:rPr>
        <w:t>A</w:t>
      </w:r>
      <w:proofErr w:type="gramEnd"/>
      <w:r w:rsidR="00922B3F" w:rsidRPr="0065491D">
        <w:rPr>
          <w:rFonts w:ascii="Times New Roman" w:hAnsi="Times New Roman"/>
          <w:color w:val="auto"/>
        </w:rPr>
        <w:t xml:space="preserve"> trial (</w:t>
      </w:r>
      <w:r w:rsidR="00922B3F">
        <w:rPr>
          <w:rFonts w:ascii="Times New Roman" w:hAnsi="Times New Roman"/>
          <w:color w:val="auto"/>
        </w:rPr>
        <w:t xml:space="preserve">Mack </w:t>
      </w:r>
      <w:r w:rsidR="00922B3F" w:rsidRPr="0065491D">
        <w:rPr>
          <w:rFonts w:ascii="Times New Roman" w:hAnsi="Times New Roman"/>
          <w:color w:val="auto"/>
        </w:rPr>
        <w:t>et al</w:t>
      </w:r>
      <w:r w:rsidR="00922B3F">
        <w:rPr>
          <w:rFonts w:ascii="Times New Roman" w:hAnsi="Times New Roman"/>
          <w:color w:val="auto"/>
        </w:rPr>
        <w:t>.</w:t>
      </w:r>
      <w:r w:rsidR="00922B3F" w:rsidRPr="0065491D">
        <w:rPr>
          <w:rFonts w:ascii="Times New Roman" w:hAnsi="Times New Roman"/>
          <w:color w:val="auto"/>
        </w:rPr>
        <w:t xml:space="preserve"> Lancet, 2015) </w:t>
      </w:r>
      <w:r w:rsidR="00922B3F">
        <w:rPr>
          <w:rFonts w:ascii="Times New Roman" w:hAnsi="Times New Roman"/>
          <w:color w:val="auto"/>
        </w:rPr>
        <w:t>suggested that any signal of an increased risk of stroke diminished over time.</w:t>
      </w:r>
    </w:p>
    <w:p w14:paraId="0E10474C" w14:textId="77777777" w:rsidR="006A7F8A" w:rsidRPr="008B63C2" w:rsidRDefault="006A7F8A" w:rsidP="00F9695B">
      <w:pPr>
        <w:pStyle w:val="Guidelines"/>
        <w:numPr>
          <w:ilvl w:val="0"/>
          <w:numId w:val="0"/>
        </w:numPr>
        <w:jc w:val="left"/>
        <w:rPr>
          <w:rFonts w:ascii="Times New Roman" w:hAnsi="Times New Roman"/>
          <w:color w:val="auto"/>
        </w:rPr>
      </w:pPr>
    </w:p>
    <w:p w14:paraId="218BF498" w14:textId="77777777" w:rsidR="00BC1364" w:rsidRPr="008D5885" w:rsidRDefault="00BC1364" w:rsidP="007B32D1">
      <w:pPr>
        <w:pStyle w:val="Heading1"/>
        <w:numPr>
          <w:ilvl w:val="0"/>
          <w:numId w:val="23"/>
        </w:numPr>
        <w:ind w:hanging="720"/>
      </w:pPr>
      <w:r w:rsidRPr="008D5885">
        <w:t>Comparative effectiveness</w:t>
      </w:r>
    </w:p>
    <w:p w14:paraId="113337B9" w14:textId="77777777" w:rsidR="00BC1364" w:rsidRPr="006A7F8A" w:rsidRDefault="00BC1364" w:rsidP="00DD2858"/>
    <w:p w14:paraId="74ED7923" w14:textId="3CDE6922" w:rsidR="00F9695B" w:rsidRPr="008B63C2" w:rsidRDefault="00F9695B" w:rsidP="00F9695B">
      <w:pPr>
        <w:pStyle w:val="Guidelines"/>
        <w:numPr>
          <w:ilvl w:val="0"/>
          <w:numId w:val="0"/>
        </w:numPr>
        <w:jc w:val="left"/>
        <w:rPr>
          <w:rFonts w:ascii="Times New Roman" w:hAnsi="Times New Roman"/>
          <w:color w:val="auto"/>
        </w:rPr>
      </w:pPr>
      <w:r w:rsidRPr="008B63C2">
        <w:rPr>
          <w:rFonts w:ascii="Times New Roman" w:hAnsi="Times New Roman"/>
          <w:color w:val="auto"/>
        </w:rPr>
        <w:t xml:space="preserve">The primary effectiveness and safety endpoint for the PARTNER trial (Cohort A and Cohort B) was all-cause mortality at 12 months, in the ITT population. Cohort </w:t>
      </w:r>
      <w:proofErr w:type="gramStart"/>
      <w:r w:rsidRPr="008B63C2">
        <w:rPr>
          <w:rFonts w:ascii="Times New Roman" w:hAnsi="Times New Roman"/>
          <w:color w:val="auto"/>
        </w:rPr>
        <w:t>A</w:t>
      </w:r>
      <w:proofErr w:type="gramEnd"/>
      <w:r w:rsidRPr="008B63C2">
        <w:rPr>
          <w:rFonts w:ascii="Times New Roman" w:hAnsi="Times New Roman"/>
          <w:color w:val="auto"/>
        </w:rPr>
        <w:t xml:space="preserve"> included patients considered to be at high surgical risk. Depending on whether the percutaneous access can be achieved through the femoral artery (peripheral access)</w:t>
      </w:r>
      <w:r w:rsidR="0004553C">
        <w:rPr>
          <w:rFonts w:ascii="Times New Roman" w:hAnsi="Times New Roman"/>
          <w:color w:val="auto"/>
        </w:rPr>
        <w:t>,</w:t>
      </w:r>
      <w:r w:rsidRPr="008B63C2">
        <w:rPr>
          <w:rFonts w:ascii="Times New Roman" w:hAnsi="Times New Roman"/>
          <w:color w:val="auto"/>
        </w:rPr>
        <w:t xml:space="preserve"> patients had either TAVI via a transfemoral access (TF-TAVI) or a transapical TAVI (TA-TAVI), the only type of minimally invasive surgery p</w:t>
      </w:r>
      <w:r w:rsidR="0004553C">
        <w:rPr>
          <w:rFonts w:ascii="Times New Roman" w:hAnsi="Times New Roman"/>
          <w:color w:val="auto"/>
        </w:rPr>
        <w:t xml:space="preserve">racticed in the PARTNER trial. </w:t>
      </w:r>
      <w:r w:rsidRPr="008B63C2">
        <w:rPr>
          <w:rFonts w:ascii="Times New Roman" w:hAnsi="Times New Roman"/>
          <w:color w:val="auto"/>
        </w:rPr>
        <w:t xml:space="preserve">Cohort B included patients considered to be inoperable. All patients from Cohort B had peripheral access and underwent TF-TAVI. Another pivotal trial presented in the </w:t>
      </w:r>
      <w:r w:rsidR="007C32E5">
        <w:rPr>
          <w:rFonts w:ascii="Times New Roman" w:hAnsi="Times New Roman"/>
          <w:color w:val="auto"/>
        </w:rPr>
        <w:t>SBA</w:t>
      </w:r>
      <w:r w:rsidRPr="008B63C2">
        <w:rPr>
          <w:rFonts w:ascii="Times New Roman" w:hAnsi="Times New Roman"/>
          <w:color w:val="auto"/>
        </w:rPr>
        <w:t xml:space="preserve"> was the US Medtronic </w:t>
      </w:r>
      <w:proofErr w:type="spellStart"/>
      <w:r w:rsidRPr="008B63C2">
        <w:rPr>
          <w:rFonts w:ascii="Times New Roman" w:hAnsi="Times New Roman"/>
          <w:color w:val="auto"/>
        </w:rPr>
        <w:t>CoreValve</w:t>
      </w:r>
      <w:proofErr w:type="spellEnd"/>
      <w:r w:rsidRPr="008B63C2">
        <w:rPr>
          <w:rFonts w:ascii="Times New Roman" w:hAnsi="Times New Roman"/>
          <w:color w:val="auto"/>
        </w:rPr>
        <w:t xml:space="preserve"> trial in high surgical risk patients. Patients who had peripheral access underwent TF-TAVI, otherwise subclavian </w:t>
      </w:r>
      <w:r w:rsidR="002371F6">
        <w:rPr>
          <w:rFonts w:ascii="Times New Roman" w:hAnsi="Times New Roman"/>
          <w:color w:val="auto"/>
        </w:rPr>
        <w:t xml:space="preserve">delivery </w:t>
      </w:r>
      <w:r w:rsidRPr="008B63C2">
        <w:rPr>
          <w:rFonts w:ascii="Times New Roman" w:hAnsi="Times New Roman"/>
          <w:color w:val="auto"/>
        </w:rPr>
        <w:t xml:space="preserve">was used. Results of this trial were not reported by the type of </w:t>
      </w:r>
      <w:r w:rsidR="002371F6">
        <w:rPr>
          <w:rFonts w:ascii="Times New Roman" w:hAnsi="Times New Roman"/>
          <w:color w:val="auto"/>
        </w:rPr>
        <w:t>delivery</w:t>
      </w:r>
      <w:r w:rsidRPr="008B63C2">
        <w:rPr>
          <w:rFonts w:ascii="Times New Roman" w:hAnsi="Times New Roman"/>
          <w:color w:val="auto"/>
        </w:rPr>
        <w:t>. The results are presented in the tables below.</w:t>
      </w:r>
    </w:p>
    <w:p w14:paraId="2653864A" w14:textId="77777777" w:rsidR="00D305C7" w:rsidRDefault="00D305C7" w:rsidP="00D305C7"/>
    <w:p w14:paraId="0E6E88E1" w14:textId="77777777" w:rsidR="00F9695B" w:rsidRPr="00D305C7" w:rsidRDefault="00F9695B" w:rsidP="00D305C7">
      <w:pPr>
        <w:rPr>
          <w:rFonts w:ascii="Arial" w:hAnsi="Arial" w:cs="Arial"/>
          <w:sz w:val="20"/>
        </w:rPr>
      </w:pPr>
      <w:r w:rsidRPr="00D305C7">
        <w:rPr>
          <w:rFonts w:ascii="Arial" w:hAnsi="Arial" w:cs="Arial"/>
          <w:sz w:val="20"/>
        </w:rPr>
        <w:t>Rate of death from any cause in inoperable patients (TF-TAVI)</w:t>
      </w:r>
      <w:r w:rsidR="009C19BF" w:rsidRPr="00D305C7">
        <w:rPr>
          <w:rFonts w:ascii="Arial" w:hAnsi="Arial" w:cs="Arial"/>
          <w:sz w:val="20"/>
        </w:rPr>
        <w:t>,</w:t>
      </w:r>
      <w:r w:rsidRPr="00D305C7">
        <w:rPr>
          <w:rFonts w:ascii="Arial" w:hAnsi="Arial" w:cs="Arial"/>
          <w:sz w:val="20"/>
        </w:rPr>
        <w:t xml:space="preserve"> ITT population</w:t>
      </w:r>
    </w:p>
    <w:tbl>
      <w:tblPr>
        <w:tblStyle w:val="TableGrid"/>
        <w:tblW w:w="0" w:type="auto"/>
        <w:tblLook w:val="04A0" w:firstRow="1" w:lastRow="0" w:firstColumn="1" w:lastColumn="0" w:noHBand="0" w:noVBand="1"/>
        <w:tblCaption w:val="Rate of death from any cause in inoperable patients"/>
      </w:tblPr>
      <w:tblGrid>
        <w:gridCol w:w="2235"/>
        <w:gridCol w:w="2385"/>
        <w:gridCol w:w="2311"/>
        <w:gridCol w:w="2311"/>
      </w:tblGrid>
      <w:tr w:rsidR="00F9695B" w:rsidRPr="00D305C7" w14:paraId="587BA4D1" w14:textId="77777777" w:rsidTr="001472CD">
        <w:trPr>
          <w:tblHeader/>
        </w:trPr>
        <w:tc>
          <w:tcPr>
            <w:tcW w:w="2235" w:type="dxa"/>
          </w:tcPr>
          <w:p w14:paraId="4185D922" w14:textId="77777777" w:rsidR="00F9695B" w:rsidRPr="00D305C7" w:rsidRDefault="00F9695B" w:rsidP="00D305C7">
            <w:pPr>
              <w:spacing w:before="0"/>
              <w:rPr>
                <w:rFonts w:ascii="Arial" w:hAnsi="Arial" w:cs="Arial"/>
                <w:sz w:val="20"/>
              </w:rPr>
            </w:pPr>
            <w:r w:rsidRPr="00D305C7">
              <w:rPr>
                <w:rFonts w:ascii="Arial" w:hAnsi="Arial" w:cs="Arial"/>
                <w:sz w:val="20"/>
              </w:rPr>
              <w:t>PARTNER (Cohort B)</w:t>
            </w:r>
          </w:p>
        </w:tc>
        <w:tc>
          <w:tcPr>
            <w:tcW w:w="2385" w:type="dxa"/>
          </w:tcPr>
          <w:p w14:paraId="46E7CC6F" w14:textId="77777777" w:rsidR="00F9695B" w:rsidRPr="00D305C7" w:rsidRDefault="0004553C" w:rsidP="00D305C7">
            <w:pPr>
              <w:spacing w:before="0"/>
              <w:rPr>
                <w:rFonts w:ascii="Arial" w:hAnsi="Arial" w:cs="Arial"/>
                <w:sz w:val="20"/>
              </w:rPr>
            </w:pPr>
            <w:r w:rsidRPr="00D305C7">
              <w:rPr>
                <w:rFonts w:ascii="Arial" w:hAnsi="Arial" w:cs="Arial"/>
                <w:sz w:val="20"/>
              </w:rPr>
              <w:t>TF-</w:t>
            </w:r>
            <w:r w:rsidR="00F9695B" w:rsidRPr="00D305C7">
              <w:rPr>
                <w:rFonts w:ascii="Arial" w:hAnsi="Arial" w:cs="Arial"/>
                <w:sz w:val="20"/>
              </w:rPr>
              <w:t>TAVI</w:t>
            </w:r>
            <w:r w:rsidR="009C19BF" w:rsidRPr="00D305C7">
              <w:rPr>
                <w:rFonts w:ascii="Arial" w:hAnsi="Arial" w:cs="Arial"/>
                <w:sz w:val="20"/>
              </w:rPr>
              <w:t>, N=179</w:t>
            </w:r>
          </w:p>
          <w:p w14:paraId="459AAB6B" w14:textId="77777777" w:rsidR="00F9695B" w:rsidRPr="00D305C7" w:rsidRDefault="009C19BF" w:rsidP="00D305C7">
            <w:pPr>
              <w:spacing w:before="0"/>
              <w:rPr>
                <w:rFonts w:ascii="Arial" w:hAnsi="Arial" w:cs="Arial"/>
                <w:sz w:val="20"/>
              </w:rPr>
            </w:pPr>
            <w:proofErr w:type="gramStart"/>
            <w:r w:rsidRPr="00D305C7">
              <w:rPr>
                <w:rFonts w:ascii="Arial" w:hAnsi="Arial" w:cs="Arial"/>
                <w:sz w:val="20"/>
              </w:rPr>
              <w:t>n</w:t>
            </w:r>
            <w:proofErr w:type="gramEnd"/>
            <w:r w:rsidRPr="00D305C7">
              <w:rPr>
                <w:rFonts w:ascii="Arial" w:hAnsi="Arial" w:cs="Arial"/>
                <w:sz w:val="20"/>
              </w:rPr>
              <w:t xml:space="preserve"> (%)</w:t>
            </w:r>
          </w:p>
        </w:tc>
        <w:tc>
          <w:tcPr>
            <w:tcW w:w="2311" w:type="dxa"/>
          </w:tcPr>
          <w:p w14:paraId="59AF13B1" w14:textId="77777777" w:rsidR="00F9695B" w:rsidRPr="00D305C7" w:rsidRDefault="00F9695B" w:rsidP="00D305C7">
            <w:pPr>
              <w:spacing w:before="0"/>
              <w:rPr>
                <w:rFonts w:ascii="Arial" w:hAnsi="Arial" w:cs="Arial"/>
                <w:sz w:val="20"/>
              </w:rPr>
            </w:pPr>
            <w:r w:rsidRPr="00D305C7">
              <w:rPr>
                <w:rFonts w:ascii="Arial" w:hAnsi="Arial" w:cs="Arial"/>
                <w:sz w:val="20"/>
              </w:rPr>
              <w:t>MM (+/- BAV)</w:t>
            </w:r>
            <w:r w:rsidR="009C19BF" w:rsidRPr="00D305C7">
              <w:rPr>
                <w:rFonts w:ascii="Arial" w:hAnsi="Arial" w:cs="Arial"/>
                <w:sz w:val="20"/>
              </w:rPr>
              <w:t>, N=179</w:t>
            </w:r>
          </w:p>
          <w:p w14:paraId="2C9355C1" w14:textId="77777777" w:rsidR="00F9695B" w:rsidRPr="00D305C7" w:rsidRDefault="00F9695B" w:rsidP="00D305C7">
            <w:pPr>
              <w:spacing w:before="0"/>
              <w:rPr>
                <w:rFonts w:ascii="Arial" w:hAnsi="Arial" w:cs="Arial"/>
                <w:sz w:val="20"/>
              </w:rPr>
            </w:pPr>
            <w:proofErr w:type="gramStart"/>
            <w:r w:rsidRPr="00D305C7">
              <w:rPr>
                <w:rFonts w:ascii="Arial" w:hAnsi="Arial" w:cs="Arial"/>
                <w:sz w:val="20"/>
              </w:rPr>
              <w:t>n</w:t>
            </w:r>
            <w:proofErr w:type="gramEnd"/>
            <w:r w:rsidRPr="00D305C7">
              <w:rPr>
                <w:rFonts w:ascii="Arial" w:hAnsi="Arial" w:cs="Arial"/>
                <w:sz w:val="20"/>
              </w:rPr>
              <w:t xml:space="preserve"> (%)</w:t>
            </w:r>
          </w:p>
        </w:tc>
        <w:tc>
          <w:tcPr>
            <w:tcW w:w="2311" w:type="dxa"/>
          </w:tcPr>
          <w:p w14:paraId="2B4D8888" w14:textId="77777777" w:rsidR="00F9695B" w:rsidRPr="00D305C7" w:rsidRDefault="00F9695B" w:rsidP="00D305C7">
            <w:pPr>
              <w:spacing w:before="0"/>
              <w:rPr>
                <w:rFonts w:ascii="Arial" w:hAnsi="Arial" w:cs="Arial"/>
                <w:sz w:val="20"/>
              </w:rPr>
            </w:pPr>
            <w:r w:rsidRPr="00D305C7">
              <w:rPr>
                <w:rFonts w:ascii="Arial" w:hAnsi="Arial" w:cs="Arial"/>
                <w:sz w:val="20"/>
              </w:rPr>
              <w:t>P</w:t>
            </w:r>
            <w:r w:rsidR="0004553C" w:rsidRPr="00D305C7">
              <w:rPr>
                <w:rFonts w:ascii="Arial" w:hAnsi="Arial" w:cs="Arial"/>
                <w:sz w:val="20"/>
              </w:rPr>
              <w:t>-v</w:t>
            </w:r>
            <w:r w:rsidRPr="00D305C7">
              <w:rPr>
                <w:rFonts w:ascii="Arial" w:hAnsi="Arial" w:cs="Arial"/>
                <w:sz w:val="20"/>
              </w:rPr>
              <w:t>alue</w:t>
            </w:r>
          </w:p>
        </w:tc>
      </w:tr>
      <w:tr w:rsidR="00F9695B" w:rsidRPr="00D305C7" w14:paraId="77E9D75C" w14:textId="77777777" w:rsidTr="00F9695B">
        <w:tc>
          <w:tcPr>
            <w:tcW w:w="2235" w:type="dxa"/>
          </w:tcPr>
          <w:p w14:paraId="1A6ED6D8" w14:textId="77777777" w:rsidR="00F9695B" w:rsidRPr="00D305C7" w:rsidRDefault="00F9695B" w:rsidP="00D305C7">
            <w:pPr>
              <w:spacing w:before="0"/>
              <w:rPr>
                <w:rFonts w:ascii="Arial" w:hAnsi="Arial" w:cs="Arial"/>
                <w:sz w:val="20"/>
              </w:rPr>
            </w:pPr>
            <w:r w:rsidRPr="00D305C7">
              <w:rPr>
                <w:rFonts w:ascii="Arial" w:hAnsi="Arial" w:cs="Arial"/>
                <w:sz w:val="20"/>
              </w:rPr>
              <w:t>Death at 30 days</w:t>
            </w:r>
          </w:p>
        </w:tc>
        <w:tc>
          <w:tcPr>
            <w:tcW w:w="2385" w:type="dxa"/>
          </w:tcPr>
          <w:p w14:paraId="2934EC0B" w14:textId="77777777" w:rsidR="00F9695B" w:rsidRPr="00D305C7" w:rsidRDefault="00F9695B" w:rsidP="00D305C7">
            <w:pPr>
              <w:spacing w:before="0"/>
              <w:rPr>
                <w:rFonts w:ascii="Arial" w:hAnsi="Arial" w:cs="Arial"/>
                <w:sz w:val="20"/>
              </w:rPr>
            </w:pPr>
            <w:r w:rsidRPr="00D305C7">
              <w:rPr>
                <w:rFonts w:ascii="Arial" w:hAnsi="Arial" w:cs="Arial"/>
                <w:sz w:val="20"/>
              </w:rPr>
              <w:t>9 (5.0)</w:t>
            </w:r>
          </w:p>
        </w:tc>
        <w:tc>
          <w:tcPr>
            <w:tcW w:w="2311" w:type="dxa"/>
          </w:tcPr>
          <w:p w14:paraId="6E503816" w14:textId="77777777" w:rsidR="00F9695B" w:rsidRPr="00D305C7" w:rsidRDefault="00F9695B" w:rsidP="00D305C7">
            <w:pPr>
              <w:spacing w:before="0"/>
              <w:rPr>
                <w:rFonts w:ascii="Arial" w:hAnsi="Arial" w:cs="Arial"/>
                <w:sz w:val="20"/>
              </w:rPr>
            </w:pPr>
            <w:r w:rsidRPr="00D305C7">
              <w:rPr>
                <w:rFonts w:ascii="Arial" w:hAnsi="Arial" w:cs="Arial"/>
                <w:sz w:val="20"/>
              </w:rPr>
              <w:t>5 (2.8)</w:t>
            </w:r>
          </w:p>
        </w:tc>
        <w:tc>
          <w:tcPr>
            <w:tcW w:w="2311" w:type="dxa"/>
          </w:tcPr>
          <w:p w14:paraId="168498E2" w14:textId="77777777" w:rsidR="00F9695B" w:rsidRPr="00D305C7" w:rsidRDefault="00F9695B" w:rsidP="00D305C7">
            <w:pPr>
              <w:spacing w:before="0"/>
              <w:rPr>
                <w:rFonts w:ascii="Arial" w:hAnsi="Arial" w:cs="Arial"/>
                <w:sz w:val="20"/>
              </w:rPr>
            </w:pPr>
            <w:r w:rsidRPr="00D305C7">
              <w:rPr>
                <w:rFonts w:ascii="Arial" w:hAnsi="Arial" w:cs="Arial"/>
                <w:sz w:val="20"/>
              </w:rPr>
              <w:t>0.41</w:t>
            </w:r>
          </w:p>
        </w:tc>
      </w:tr>
      <w:tr w:rsidR="00F9695B" w:rsidRPr="00D305C7" w14:paraId="3784FA36" w14:textId="77777777" w:rsidTr="00F9695B">
        <w:trPr>
          <w:trHeight w:val="105"/>
        </w:trPr>
        <w:tc>
          <w:tcPr>
            <w:tcW w:w="2235" w:type="dxa"/>
          </w:tcPr>
          <w:p w14:paraId="60F7ECA4" w14:textId="77777777" w:rsidR="00F9695B" w:rsidRPr="00D305C7" w:rsidRDefault="00F9695B" w:rsidP="00D305C7">
            <w:pPr>
              <w:spacing w:before="0"/>
              <w:rPr>
                <w:rFonts w:ascii="Arial" w:hAnsi="Arial" w:cs="Arial"/>
                <w:sz w:val="20"/>
              </w:rPr>
            </w:pPr>
            <w:r w:rsidRPr="00D305C7">
              <w:rPr>
                <w:rFonts w:ascii="Arial" w:hAnsi="Arial" w:cs="Arial"/>
                <w:sz w:val="20"/>
              </w:rPr>
              <w:t>Death at 12 months</w:t>
            </w:r>
          </w:p>
        </w:tc>
        <w:tc>
          <w:tcPr>
            <w:tcW w:w="2385" w:type="dxa"/>
          </w:tcPr>
          <w:p w14:paraId="223E321C" w14:textId="77777777" w:rsidR="00F9695B" w:rsidRPr="00D305C7" w:rsidRDefault="00F9695B" w:rsidP="00D305C7">
            <w:pPr>
              <w:spacing w:before="0"/>
              <w:rPr>
                <w:rFonts w:ascii="Arial" w:hAnsi="Arial" w:cs="Arial"/>
                <w:sz w:val="20"/>
              </w:rPr>
            </w:pPr>
            <w:r w:rsidRPr="00D305C7">
              <w:rPr>
                <w:rFonts w:ascii="Arial" w:hAnsi="Arial" w:cs="Arial"/>
                <w:sz w:val="20"/>
              </w:rPr>
              <w:t>55 (30.7)</w:t>
            </w:r>
          </w:p>
        </w:tc>
        <w:tc>
          <w:tcPr>
            <w:tcW w:w="2311" w:type="dxa"/>
          </w:tcPr>
          <w:p w14:paraId="4715308B" w14:textId="77777777" w:rsidR="00F9695B" w:rsidRPr="00D305C7" w:rsidRDefault="00F9695B" w:rsidP="00D305C7">
            <w:pPr>
              <w:spacing w:before="0"/>
              <w:rPr>
                <w:rFonts w:ascii="Arial" w:hAnsi="Arial" w:cs="Arial"/>
                <w:sz w:val="20"/>
              </w:rPr>
            </w:pPr>
            <w:r w:rsidRPr="00D305C7">
              <w:rPr>
                <w:rFonts w:ascii="Arial" w:hAnsi="Arial" w:cs="Arial"/>
                <w:sz w:val="20"/>
              </w:rPr>
              <w:t>89 (49.7**)</w:t>
            </w:r>
          </w:p>
        </w:tc>
        <w:tc>
          <w:tcPr>
            <w:tcW w:w="2311" w:type="dxa"/>
          </w:tcPr>
          <w:p w14:paraId="12F40C35" w14:textId="77777777" w:rsidR="00F9695B" w:rsidRPr="00D305C7" w:rsidRDefault="00F9695B" w:rsidP="00D305C7">
            <w:pPr>
              <w:spacing w:before="0"/>
              <w:rPr>
                <w:rFonts w:ascii="Arial" w:hAnsi="Arial" w:cs="Arial"/>
                <w:sz w:val="20"/>
              </w:rPr>
            </w:pPr>
            <w:r w:rsidRPr="00D305C7">
              <w:rPr>
                <w:rFonts w:ascii="Arial" w:hAnsi="Arial" w:cs="Arial"/>
                <w:sz w:val="20"/>
              </w:rPr>
              <w:t>&lt;0.001</w:t>
            </w:r>
          </w:p>
        </w:tc>
      </w:tr>
      <w:tr w:rsidR="00F9695B" w:rsidRPr="00D305C7" w14:paraId="4F603944" w14:textId="77777777" w:rsidTr="00F9695B">
        <w:tc>
          <w:tcPr>
            <w:tcW w:w="2235" w:type="dxa"/>
          </w:tcPr>
          <w:p w14:paraId="037FC2DC" w14:textId="77777777" w:rsidR="00F9695B" w:rsidRPr="00D305C7" w:rsidRDefault="00F9695B" w:rsidP="00D305C7">
            <w:pPr>
              <w:spacing w:before="0"/>
              <w:rPr>
                <w:rFonts w:ascii="Arial" w:hAnsi="Arial" w:cs="Arial"/>
                <w:sz w:val="20"/>
              </w:rPr>
            </w:pPr>
            <w:r w:rsidRPr="00D305C7">
              <w:rPr>
                <w:rFonts w:ascii="Arial" w:hAnsi="Arial" w:cs="Arial"/>
                <w:sz w:val="20"/>
              </w:rPr>
              <w:t>Death at 24 months*</w:t>
            </w:r>
          </w:p>
        </w:tc>
        <w:tc>
          <w:tcPr>
            <w:tcW w:w="2385" w:type="dxa"/>
          </w:tcPr>
          <w:p w14:paraId="57633236" w14:textId="77777777" w:rsidR="00F9695B" w:rsidRPr="00D305C7" w:rsidRDefault="00F9695B" w:rsidP="00D305C7">
            <w:pPr>
              <w:spacing w:before="0"/>
              <w:rPr>
                <w:rFonts w:ascii="Arial" w:hAnsi="Arial" w:cs="Arial"/>
                <w:sz w:val="20"/>
              </w:rPr>
            </w:pPr>
            <w:r w:rsidRPr="00D305C7">
              <w:rPr>
                <w:rFonts w:ascii="Arial" w:hAnsi="Arial" w:cs="Arial"/>
                <w:sz w:val="20"/>
              </w:rPr>
              <w:t>77 (43.3)</w:t>
            </w:r>
          </w:p>
        </w:tc>
        <w:tc>
          <w:tcPr>
            <w:tcW w:w="2311" w:type="dxa"/>
          </w:tcPr>
          <w:p w14:paraId="138A159D" w14:textId="77777777" w:rsidR="00F9695B" w:rsidRPr="00D305C7" w:rsidRDefault="00F9695B" w:rsidP="00D305C7">
            <w:pPr>
              <w:spacing w:before="0"/>
              <w:rPr>
                <w:rFonts w:ascii="Arial" w:hAnsi="Arial" w:cs="Arial"/>
                <w:sz w:val="20"/>
              </w:rPr>
            </w:pPr>
            <w:r w:rsidRPr="00D305C7">
              <w:rPr>
                <w:rFonts w:ascii="Arial" w:hAnsi="Arial" w:cs="Arial"/>
                <w:sz w:val="20"/>
              </w:rPr>
              <w:t>117 (68.0)</w:t>
            </w:r>
          </w:p>
        </w:tc>
        <w:tc>
          <w:tcPr>
            <w:tcW w:w="2311" w:type="dxa"/>
          </w:tcPr>
          <w:p w14:paraId="336BF344" w14:textId="77777777" w:rsidR="00F9695B" w:rsidRPr="00D305C7" w:rsidRDefault="00F9695B" w:rsidP="00D305C7">
            <w:pPr>
              <w:spacing w:before="0"/>
              <w:rPr>
                <w:rFonts w:ascii="Arial" w:hAnsi="Arial" w:cs="Arial"/>
                <w:sz w:val="20"/>
              </w:rPr>
            </w:pPr>
            <w:r w:rsidRPr="00D305C7">
              <w:rPr>
                <w:rFonts w:ascii="Arial" w:hAnsi="Arial" w:cs="Arial"/>
                <w:sz w:val="20"/>
              </w:rPr>
              <w:t>&lt;0.005***</w:t>
            </w:r>
          </w:p>
        </w:tc>
      </w:tr>
    </w:tbl>
    <w:p w14:paraId="3981BD12" w14:textId="77777777" w:rsidR="00F9695B" w:rsidRDefault="00F9695B" w:rsidP="00F9695B">
      <w:pPr>
        <w:rPr>
          <w:sz w:val="18"/>
          <w:szCs w:val="18"/>
        </w:rPr>
      </w:pPr>
      <w:r w:rsidRPr="008B63C2">
        <w:rPr>
          <w:sz w:val="18"/>
          <w:szCs w:val="18"/>
        </w:rPr>
        <w:t xml:space="preserve">Source: Leon (2010); </w:t>
      </w:r>
      <w:proofErr w:type="spellStart"/>
      <w:r w:rsidRPr="008B63C2">
        <w:rPr>
          <w:sz w:val="18"/>
          <w:szCs w:val="18"/>
        </w:rPr>
        <w:t>Makkar</w:t>
      </w:r>
      <w:proofErr w:type="spellEnd"/>
      <w:r w:rsidRPr="008B63C2">
        <w:rPr>
          <w:sz w:val="18"/>
          <w:szCs w:val="18"/>
        </w:rPr>
        <w:t xml:space="preserve"> (2012). </w:t>
      </w:r>
      <w:r w:rsidR="009C19BF">
        <w:rPr>
          <w:sz w:val="18"/>
          <w:szCs w:val="18"/>
        </w:rPr>
        <w:t xml:space="preserve">BAV = balloon </w:t>
      </w:r>
      <w:proofErr w:type="spellStart"/>
      <w:r w:rsidR="009C19BF">
        <w:rPr>
          <w:sz w:val="18"/>
          <w:szCs w:val="18"/>
        </w:rPr>
        <w:t>valvuloplasty</w:t>
      </w:r>
      <w:proofErr w:type="spellEnd"/>
      <w:r w:rsidRPr="008B63C2">
        <w:rPr>
          <w:sz w:val="18"/>
          <w:szCs w:val="18"/>
        </w:rPr>
        <w:t>; MM</w:t>
      </w:r>
      <w:r w:rsidR="004746B0">
        <w:rPr>
          <w:sz w:val="18"/>
          <w:szCs w:val="18"/>
        </w:rPr>
        <w:t xml:space="preserve"> </w:t>
      </w:r>
      <w:r w:rsidRPr="008B63C2">
        <w:rPr>
          <w:sz w:val="18"/>
          <w:szCs w:val="18"/>
        </w:rPr>
        <w:t>= medical management</w:t>
      </w:r>
      <w:r w:rsidR="000061C4">
        <w:rPr>
          <w:sz w:val="18"/>
          <w:szCs w:val="18"/>
        </w:rPr>
        <w:t>;</w:t>
      </w:r>
      <w:r w:rsidR="009C19BF" w:rsidRPr="009C19BF">
        <w:rPr>
          <w:sz w:val="18"/>
          <w:szCs w:val="18"/>
        </w:rPr>
        <w:t xml:space="preserve"> </w:t>
      </w:r>
      <w:r w:rsidR="009C19BF" w:rsidRPr="008B63C2">
        <w:rPr>
          <w:sz w:val="18"/>
          <w:szCs w:val="18"/>
        </w:rPr>
        <w:t>TF= transfemoral access</w:t>
      </w:r>
    </w:p>
    <w:p w14:paraId="413F2D70" w14:textId="77777777" w:rsidR="00F9695B" w:rsidRDefault="00F9695B" w:rsidP="00F9695B">
      <w:pPr>
        <w:rPr>
          <w:sz w:val="18"/>
          <w:szCs w:val="18"/>
        </w:rPr>
      </w:pPr>
      <w:r w:rsidRPr="00C57E7B">
        <w:rPr>
          <w:rFonts w:ascii="Arial" w:hAnsi="Arial"/>
          <w:sz w:val="18"/>
          <w:szCs w:val="18"/>
        </w:rPr>
        <w:t>*</w:t>
      </w:r>
      <w:r w:rsidRPr="008B63C2">
        <w:rPr>
          <w:sz w:val="18"/>
          <w:szCs w:val="18"/>
        </w:rPr>
        <w:t>cross-over to TAVI after 12 months was allowed</w:t>
      </w:r>
    </w:p>
    <w:p w14:paraId="2FBEE99F" w14:textId="77777777" w:rsidR="00F9695B" w:rsidRDefault="00F9695B" w:rsidP="00F9695B">
      <w:pPr>
        <w:rPr>
          <w:sz w:val="18"/>
          <w:szCs w:val="18"/>
        </w:rPr>
      </w:pPr>
      <w:r w:rsidRPr="008B63C2">
        <w:rPr>
          <w:sz w:val="18"/>
          <w:szCs w:val="18"/>
        </w:rPr>
        <w:t>**different from the Kaplan–Meier analysis estimate of 50.7%, presented elsewhere</w:t>
      </w:r>
    </w:p>
    <w:p w14:paraId="4A153AA0" w14:textId="77777777" w:rsidR="00F9695B" w:rsidRPr="0004553C" w:rsidRDefault="00F9695B" w:rsidP="00F9695B">
      <w:pPr>
        <w:rPr>
          <w:sz w:val="18"/>
          <w:szCs w:val="18"/>
        </w:rPr>
      </w:pPr>
      <w:r w:rsidRPr="008B63C2">
        <w:rPr>
          <w:sz w:val="18"/>
          <w:szCs w:val="18"/>
        </w:rPr>
        <w:t>***P-value is for between-group comparison of the frequency of the event (point-in-time analysis</w:t>
      </w:r>
      <w:r w:rsidRPr="0004553C">
        <w:rPr>
          <w:sz w:val="18"/>
          <w:szCs w:val="18"/>
        </w:rPr>
        <w:t>)</w:t>
      </w:r>
    </w:p>
    <w:p w14:paraId="2B76D901" w14:textId="77777777" w:rsidR="0004553C" w:rsidRPr="008B63C2" w:rsidRDefault="0004553C" w:rsidP="00F9695B"/>
    <w:p w14:paraId="096FBCC8" w14:textId="77777777" w:rsidR="00F9695B" w:rsidRPr="00D305C7" w:rsidRDefault="00F9695B" w:rsidP="00D305C7">
      <w:pPr>
        <w:rPr>
          <w:rFonts w:ascii="Arial" w:hAnsi="Arial" w:cs="Arial"/>
          <w:sz w:val="20"/>
        </w:rPr>
      </w:pPr>
      <w:r w:rsidRPr="00D305C7">
        <w:rPr>
          <w:rFonts w:ascii="Arial" w:hAnsi="Arial" w:cs="Arial"/>
          <w:sz w:val="20"/>
        </w:rPr>
        <w:t>Rate of death from any cause in high surgica</w:t>
      </w:r>
      <w:r w:rsidR="0004553C" w:rsidRPr="00D305C7">
        <w:rPr>
          <w:rFonts w:ascii="Arial" w:hAnsi="Arial" w:cs="Arial"/>
          <w:sz w:val="20"/>
        </w:rPr>
        <w:t>l risk patients</w:t>
      </w:r>
      <w:r w:rsidR="009C19BF" w:rsidRPr="00D305C7">
        <w:rPr>
          <w:rFonts w:ascii="Arial" w:hAnsi="Arial" w:cs="Arial"/>
          <w:sz w:val="20"/>
        </w:rPr>
        <w:t>,</w:t>
      </w:r>
      <w:r w:rsidR="0004553C" w:rsidRPr="00D305C7">
        <w:rPr>
          <w:rFonts w:ascii="Arial" w:hAnsi="Arial" w:cs="Arial"/>
          <w:sz w:val="20"/>
        </w:rPr>
        <w:t xml:space="preserve"> ITT population</w:t>
      </w:r>
    </w:p>
    <w:tbl>
      <w:tblPr>
        <w:tblStyle w:val="TableGrid"/>
        <w:tblW w:w="0" w:type="auto"/>
        <w:tblLook w:val="04A0" w:firstRow="1" w:lastRow="0" w:firstColumn="1" w:lastColumn="0" w:noHBand="0" w:noVBand="1"/>
        <w:tblCaption w:val="rate of death from any cause in high surgical risk patients ITT population"/>
      </w:tblPr>
      <w:tblGrid>
        <w:gridCol w:w="2235"/>
        <w:gridCol w:w="2385"/>
        <w:gridCol w:w="2311"/>
        <w:gridCol w:w="2311"/>
      </w:tblGrid>
      <w:tr w:rsidR="00F9695B" w:rsidRPr="00D305C7" w14:paraId="018A3927" w14:textId="77777777" w:rsidTr="001472CD">
        <w:trPr>
          <w:tblHeader/>
        </w:trPr>
        <w:tc>
          <w:tcPr>
            <w:tcW w:w="2235" w:type="dxa"/>
          </w:tcPr>
          <w:p w14:paraId="1EA9E7BA" w14:textId="77777777" w:rsidR="00F9695B" w:rsidRPr="00D305C7" w:rsidRDefault="00F9695B" w:rsidP="00D305C7">
            <w:pPr>
              <w:spacing w:before="0"/>
              <w:rPr>
                <w:rFonts w:ascii="Arial" w:hAnsi="Arial" w:cs="Arial"/>
                <w:sz w:val="20"/>
              </w:rPr>
            </w:pPr>
            <w:r w:rsidRPr="00D305C7">
              <w:rPr>
                <w:rFonts w:ascii="Arial" w:hAnsi="Arial" w:cs="Arial"/>
                <w:sz w:val="20"/>
              </w:rPr>
              <w:t>PARTNER (Cohort A)</w:t>
            </w:r>
          </w:p>
        </w:tc>
        <w:tc>
          <w:tcPr>
            <w:tcW w:w="2385" w:type="dxa"/>
          </w:tcPr>
          <w:p w14:paraId="772B7E58" w14:textId="77777777" w:rsidR="00F9695B" w:rsidRPr="00D305C7" w:rsidRDefault="0004553C" w:rsidP="00D305C7">
            <w:pPr>
              <w:spacing w:before="0"/>
              <w:rPr>
                <w:rFonts w:ascii="Arial" w:hAnsi="Arial" w:cs="Arial"/>
                <w:sz w:val="20"/>
              </w:rPr>
            </w:pPr>
            <w:r w:rsidRPr="00D305C7">
              <w:rPr>
                <w:rFonts w:ascii="Arial" w:hAnsi="Arial" w:cs="Arial"/>
                <w:sz w:val="20"/>
              </w:rPr>
              <w:t>TF-</w:t>
            </w:r>
            <w:r w:rsidR="00F9695B" w:rsidRPr="00D305C7">
              <w:rPr>
                <w:rFonts w:ascii="Arial" w:hAnsi="Arial" w:cs="Arial"/>
                <w:sz w:val="20"/>
              </w:rPr>
              <w:t>TAVI</w:t>
            </w:r>
            <w:r w:rsidR="009C19BF" w:rsidRPr="00D305C7">
              <w:rPr>
                <w:rFonts w:ascii="Arial" w:hAnsi="Arial" w:cs="Arial"/>
                <w:sz w:val="20"/>
              </w:rPr>
              <w:t>, N=244</w:t>
            </w:r>
          </w:p>
          <w:p w14:paraId="5A9AE383" w14:textId="77777777" w:rsidR="00F9695B" w:rsidRPr="00D305C7" w:rsidRDefault="009C19BF" w:rsidP="00D305C7">
            <w:pPr>
              <w:spacing w:before="0"/>
              <w:rPr>
                <w:rFonts w:ascii="Arial" w:hAnsi="Arial" w:cs="Arial"/>
                <w:sz w:val="20"/>
              </w:rPr>
            </w:pPr>
            <w:r w:rsidRPr="00D305C7">
              <w:rPr>
                <w:rFonts w:ascii="Arial" w:hAnsi="Arial" w:cs="Arial"/>
                <w:sz w:val="20"/>
              </w:rPr>
              <w:t>n (%**)</w:t>
            </w:r>
          </w:p>
        </w:tc>
        <w:tc>
          <w:tcPr>
            <w:tcW w:w="2311" w:type="dxa"/>
          </w:tcPr>
          <w:p w14:paraId="03170803" w14:textId="77777777" w:rsidR="00F9695B" w:rsidRPr="00D305C7" w:rsidRDefault="0004553C" w:rsidP="00D305C7">
            <w:pPr>
              <w:spacing w:before="0"/>
              <w:rPr>
                <w:rFonts w:ascii="Arial" w:hAnsi="Arial" w:cs="Arial"/>
                <w:sz w:val="20"/>
              </w:rPr>
            </w:pPr>
            <w:r w:rsidRPr="00D305C7">
              <w:rPr>
                <w:rFonts w:ascii="Arial" w:hAnsi="Arial" w:cs="Arial"/>
                <w:sz w:val="20"/>
              </w:rPr>
              <w:t>TF/TA-SAVR*</w:t>
            </w:r>
            <w:r w:rsidR="009C19BF" w:rsidRPr="00D305C7">
              <w:rPr>
                <w:rFonts w:ascii="Arial" w:hAnsi="Arial" w:cs="Arial"/>
                <w:sz w:val="20"/>
              </w:rPr>
              <w:t>, N=248</w:t>
            </w:r>
          </w:p>
          <w:p w14:paraId="259B1264" w14:textId="77777777" w:rsidR="00F9695B" w:rsidRPr="00D305C7" w:rsidRDefault="00F9695B" w:rsidP="00D305C7">
            <w:pPr>
              <w:spacing w:before="0"/>
              <w:rPr>
                <w:rFonts w:ascii="Arial" w:hAnsi="Arial" w:cs="Arial"/>
                <w:sz w:val="20"/>
              </w:rPr>
            </w:pPr>
            <w:r w:rsidRPr="00D305C7">
              <w:rPr>
                <w:rFonts w:ascii="Arial" w:hAnsi="Arial" w:cs="Arial"/>
                <w:sz w:val="20"/>
              </w:rPr>
              <w:t>n (%**)</w:t>
            </w:r>
          </w:p>
        </w:tc>
        <w:tc>
          <w:tcPr>
            <w:tcW w:w="2311" w:type="dxa"/>
          </w:tcPr>
          <w:p w14:paraId="491D3BC1" w14:textId="77777777" w:rsidR="00F9695B" w:rsidRPr="00D305C7" w:rsidRDefault="00F9695B" w:rsidP="00D305C7">
            <w:pPr>
              <w:spacing w:before="0"/>
              <w:rPr>
                <w:rFonts w:ascii="Arial" w:hAnsi="Arial" w:cs="Arial"/>
                <w:sz w:val="20"/>
              </w:rPr>
            </w:pPr>
            <w:r w:rsidRPr="00D305C7">
              <w:rPr>
                <w:rFonts w:ascii="Arial" w:hAnsi="Arial" w:cs="Arial"/>
                <w:sz w:val="20"/>
              </w:rPr>
              <w:t>P</w:t>
            </w:r>
            <w:r w:rsidR="0004553C" w:rsidRPr="00D305C7">
              <w:rPr>
                <w:rFonts w:ascii="Arial" w:hAnsi="Arial" w:cs="Arial"/>
                <w:sz w:val="20"/>
              </w:rPr>
              <w:t>-v</w:t>
            </w:r>
            <w:r w:rsidRPr="00D305C7">
              <w:rPr>
                <w:rFonts w:ascii="Arial" w:hAnsi="Arial" w:cs="Arial"/>
                <w:sz w:val="20"/>
              </w:rPr>
              <w:t>alue</w:t>
            </w:r>
            <w:r w:rsidR="0004553C" w:rsidRPr="00D305C7">
              <w:rPr>
                <w:rFonts w:ascii="Arial" w:hAnsi="Arial" w:cs="Arial"/>
                <w:sz w:val="20"/>
              </w:rPr>
              <w:t>***</w:t>
            </w:r>
          </w:p>
        </w:tc>
      </w:tr>
      <w:tr w:rsidR="00F9695B" w:rsidRPr="00D305C7" w14:paraId="30A2BBCF" w14:textId="77777777" w:rsidTr="00F9695B">
        <w:tc>
          <w:tcPr>
            <w:tcW w:w="2235" w:type="dxa"/>
          </w:tcPr>
          <w:p w14:paraId="2EBF3F12" w14:textId="77777777" w:rsidR="00F9695B" w:rsidRPr="00D305C7" w:rsidRDefault="00F9695B" w:rsidP="00D305C7">
            <w:pPr>
              <w:spacing w:before="0"/>
              <w:rPr>
                <w:rFonts w:ascii="Arial" w:hAnsi="Arial" w:cs="Arial"/>
                <w:sz w:val="20"/>
              </w:rPr>
            </w:pPr>
            <w:r w:rsidRPr="00D305C7">
              <w:rPr>
                <w:rFonts w:ascii="Arial" w:hAnsi="Arial" w:cs="Arial"/>
                <w:sz w:val="20"/>
              </w:rPr>
              <w:t>Death at 30 days</w:t>
            </w:r>
          </w:p>
        </w:tc>
        <w:tc>
          <w:tcPr>
            <w:tcW w:w="2385" w:type="dxa"/>
          </w:tcPr>
          <w:p w14:paraId="79E36E54" w14:textId="77777777" w:rsidR="00F9695B" w:rsidRPr="00D305C7" w:rsidRDefault="00F9695B" w:rsidP="00D305C7">
            <w:pPr>
              <w:spacing w:before="0"/>
              <w:rPr>
                <w:rFonts w:ascii="Arial" w:hAnsi="Arial" w:cs="Arial"/>
                <w:sz w:val="20"/>
              </w:rPr>
            </w:pPr>
            <w:r w:rsidRPr="00D305C7">
              <w:rPr>
                <w:rFonts w:ascii="Arial" w:hAnsi="Arial" w:cs="Arial"/>
                <w:sz w:val="20"/>
              </w:rPr>
              <w:t>8 (3.3)</w:t>
            </w:r>
          </w:p>
        </w:tc>
        <w:tc>
          <w:tcPr>
            <w:tcW w:w="2311" w:type="dxa"/>
          </w:tcPr>
          <w:p w14:paraId="250C7B39" w14:textId="77777777" w:rsidR="00F9695B" w:rsidRPr="00D305C7" w:rsidRDefault="00F9695B" w:rsidP="00D305C7">
            <w:pPr>
              <w:spacing w:before="0"/>
              <w:rPr>
                <w:rFonts w:ascii="Arial" w:hAnsi="Arial" w:cs="Arial"/>
                <w:sz w:val="20"/>
              </w:rPr>
            </w:pPr>
            <w:r w:rsidRPr="00D305C7">
              <w:rPr>
                <w:rFonts w:ascii="Arial" w:hAnsi="Arial" w:cs="Arial"/>
                <w:sz w:val="20"/>
              </w:rPr>
              <w:t>15 (6.2)</w:t>
            </w:r>
          </w:p>
        </w:tc>
        <w:tc>
          <w:tcPr>
            <w:tcW w:w="2311" w:type="dxa"/>
          </w:tcPr>
          <w:p w14:paraId="6AE00EC0" w14:textId="77777777" w:rsidR="00F9695B" w:rsidRPr="00D305C7" w:rsidRDefault="00F9695B" w:rsidP="00D305C7">
            <w:pPr>
              <w:spacing w:before="0"/>
              <w:rPr>
                <w:rFonts w:ascii="Arial" w:hAnsi="Arial" w:cs="Arial"/>
                <w:sz w:val="20"/>
              </w:rPr>
            </w:pPr>
            <w:r w:rsidRPr="00D305C7">
              <w:rPr>
                <w:rFonts w:ascii="Arial" w:hAnsi="Arial" w:cs="Arial"/>
                <w:sz w:val="20"/>
              </w:rPr>
              <w:t>0.13</w:t>
            </w:r>
          </w:p>
        </w:tc>
      </w:tr>
      <w:tr w:rsidR="00F9695B" w:rsidRPr="00D305C7" w14:paraId="07F1298E" w14:textId="77777777" w:rsidTr="00F9695B">
        <w:trPr>
          <w:trHeight w:val="105"/>
        </w:trPr>
        <w:tc>
          <w:tcPr>
            <w:tcW w:w="2235" w:type="dxa"/>
          </w:tcPr>
          <w:p w14:paraId="6E0BC8F1" w14:textId="77777777" w:rsidR="00F9695B" w:rsidRPr="00D305C7" w:rsidRDefault="00F9695B" w:rsidP="00D305C7">
            <w:pPr>
              <w:spacing w:before="0"/>
              <w:rPr>
                <w:rFonts w:ascii="Arial" w:hAnsi="Arial" w:cs="Arial"/>
                <w:sz w:val="20"/>
              </w:rPr>
            </w:pPr>
            <w:r w:rsidRPr="00D305C7">
              <w:rPr>
                <w:rFonts w:ascii="Arial" w:hAnsi="Arial" w:cs="Arial"/>
                <w:sz w:val="20"/>
              </w:rPr>
              <w:t>Death at 12 month</w:t>
            </w:r>
          </w:p>
        </w:tc>
        <w:tc>
          <w:tcPr>
            <w:tcW w:w="2385" w:type="dxa"/>
          </w:tcPr>
          <w:p w14:paraId="5528B019" w14:textId="77777777" w:rsidR="00F9695B" w:rsidRPr="00D305C7" w:rsidRDefault="00F9695B" w:rsidP="00D305C7">
            <w:pPr>
              <w:spacing w:before="0"/>
              <w:rPr>
                <w:rFonts w:ascii="Arial" w:hAnsi="Arial" w:cs="Arial"/>
                <w:sz w:val="20"/>
              </w:rPr>
            </w:pPr>
            <w:r w:rsidRPr="00D305C7">
              <w:rPr>
                <w:rFonts w:ascii="Arial" w:hAnsi="Arial" w:cs="Arial"/>
                <w:sz w:val="20"/>
              </w:rPr>
              <w:t>54 (22.2)</w:t>
            </w:r>
          </w:p>
        </w:tc>
        <w:tc>
          <w:tcPr>
            <w:tcW w:w="2311" w:type="dxa"/>
          </w:tcPr>
          <w:p w14:paraId="14F89450" w14:textId="77777777" w:rsidR="00F9695B" w:rsidRPr="00D305C7" w:rsidRDefault="00F9695B" w:rsidP="00D305C7">
            <w:pPr>
              <w:spacing w:before="0"/>
              <w:rPr>
                <w:rFonts w:ascii="Arial" w:hAnsi="Arial" w:cs="Arial"/>
                <w:sz w:val="20"/>
              </w:rPr>
            </w:pPr>
            <w:r w:rsidRPr="00D305C7">
              <w:rPr>
                <w:rFonts w:ascii="Arial" w:hAnsi="Arial" w:cs="Arial"/>
                <w:sz w:val="20"/>
              </w:rPr>
              <w:t>62 (26.4)</w:t>
            </w:r>
          </w:p>
        </w:tc>
        <w:tc>
          <w:tcPr>
            <w:tcW w:w="2311" w:type="dxa"/>
          </w:tcPr>
          <w:p w14:paraId="1F5E83C0" w14:textId="77777777" w:rsidR="00F9695B" w:rsidRPr="00D305C7" w:rsidRDefault="00F9695B" w:rsidP="00D305C7">
            <w:pPr>
              <w:spacing w:before="0"/>
              <w:rPr>
                <w:rFonts w:ascii="Arial" w:hAnsi="Arial" w:cs="Arial"/>
                <w:sz w:val="20"/>
              </w:rPr>
            </w:pPr>
            <w:r w:rsidRPr="00D305C7">
              <w:rPr>
                <w:rFonts w:ascii="Arial" w:hAnsi="Arial" w:cs="Arial"/>
                <w:sz w:val="20"/>
              </w:rPr>
              <w:t>0.29</w:t>
            </w:r>
          </w:p>
        </w:tc>
      </w:tr>
      <w:tr w:rsidR="00F9695B" w:rsidRPr="00D305C7" w14:paraId="17E2E914" w14:textId="77777777" w:rsidTr="00F9695B">
        <w:tc>
          <w:tcPr>
            <w:tcW w:w="2235" w:type="dxa"/>
          </w:tcPr>
          <w:p w14:paraId="49D3E708" w14:textId="77777777" w:rsidR="00F9695B" w:rsidRPr="00D305C7" w:rsidRDefault="00F9695B" w:rsidP="00D305C7">
            <w:pPr>
              <w:spacing w:before="0"/>
              <w:rPr>
                <w:rFonts w:ascii="Arial" w:hAnsi="Arial" w:cs="Arial"/>
                <w:sz w:val="20"/>
              </w:rPr>
            </w:pPr>
            <w:r w:rsidRPr="00D305C7">
              <w:rPr>
                <w:rFonts w:ascii="Arial" w:hAnsi="Arial" w:cs="Arial"/>
                <w:sz w:val="20"/>
              </w:rPr>
              <w:t>Death at 24 months</w:t>
            </w:r>
          </w:p>
        </w:tc>
        <w:tc>
          <w:tcPr>
            <w:tcW w:w="2385" w:type="dxa"/>
          </w:tcPr>
          <w:p w14:paraId="6152EB75" w14:textId="77777777" w:rsidR="00F9695B" w:rsidRPr="00D305C7" w:rsidRDefault="00F9695B" w:rsidP="00D305C7">
            <w:pPr>
              <w:spacing w:before="0"/>
              <w:rPr>
                <w:rFonts w:ascii="Arial" w:hAnsi="Arial" w:cs="Arial"/>
                <w:sz w:val="20"/>
              </w:rPr>
            </w:pPr>
            <w:r w:rsidRPr="00D305C7">
              <w:rPr>
                <w:rFonts w:ascii="Arial" w:hAnsi="Arial" w:cs="Arial"/>
                <w:sz w:val="20"/>
              </w:rPr>
              <w:t>74 (30.9)</w:t>
            </w:r>
          </w:p>
        </w:tc>
        <w:tc>
          <w:tcPr>
            <w:tcW w:w="2311" w:type="dxa"/>
          </w:tcPr>
          <w:p w14:paraId="451FC145" w14:textId="77777777" w:rsidR="00F9695B" w:rsidRPr="00D305C7" w:rsidRDefault="00F9695B" w:rsidP="00D305C7">
            <w:pPr>
              <w:spacing w:before="0"/>
              <w:rPr>
                <w:rFonts w:ascii="Arial" w:hAnsi="Arial" w:cs="Arial"/>
                <w:sz w:val="20"/>
              </w:rPr>
            </w:pPr>
            <w:r w:rsidRPr="00D305C7">
              <w:rPr>
                <w:rFonts w:ascii="Arial" w:hAnsi="Arial" w:cs="Arial"/>
                <w:sz w:val="20"/>
              </w:rPr>
              <w:t>80 (34.6)</w:t>
            </w:r>
          </w:p>
        </w:tc>
        <w:tc>
          <w:tcPr>
            <w:tcW w:w="2311" w:type="dxa"/>
          </w:tcPr>
          <w:p w14:paraId="6E463EC4" w14:textId="77777777" w:rsidR="00F9695B" w:rsidRPr="00D305C7" w:rsidRDefault="00F9695B" w:rsidP="00D305C7">
            <w:pPr>
              <w:spacing w:before="0"/>
              <w:rPr>
                <w:rFonts w:ascii="Arial" w:hAnsi="Arial" w:cs="Arial"/>
                <w:sz w:val="20"/>
              </w:rPr>
            </w:pPr>
            <w:r w:rsidRPr="00D305C7">
              <w:rPr>
                <w:rFonts w:ascii="Arial" w:hAnsi="Arial" w:cs="Arial"/>
                <w:sz w:val="20"/>
              </w:rPr>
              <w:t>0.38</w:t>
            </w:r>
          </w:p>
        </w:tc>
      </w:tr>
    </w:tbl>
    <w:p w14:paraId="7714721D" w14:textId="77777777" w:rsidR="00F9695B" w:rsidRPr="00D305C7" w:rsidRDefault="00F9695B" w:rsidP="00D305C7">
      <w:pPr>
        <w:rPr>
          <w:sz w:val="18"/>
          <w:szCs w:val="18"/>
        </w:rPr>
      </w:pPr>
      <w:r w:rsidRPr="00D305C7">
        <w:rPr>
          <w:sz w:val="18"/>
          <w:szCs w:val="18"/>
        </w:rPr>
        <w:t xml:space="preserve">Source: Smith (2011); </w:t>
      </w:r>
      <w:proofErr w:type="spellStart"/>
      <w:r w:rsidRPr="00D305C7">
        <w:rPr>
          <w:sz w:val="18"/>
          <w:szCs w:val="18"/>
        </w:rPr>
        <w:t>Kodali</w:t>
      </w:r>
      <w:proofErr w:type="spellEnd"/>
      <w:r w:rsidRPr="00D305C7">
        <w:rPr>
          <w:sz w:val="18"/>
          <w:szCs w:val="18"/>
        </w:rPr>
        <w:t xml:space="preserve"> (2012)</w:t>
      </w:r>
      <w:r w:rsidR="009C19BF" w:rsidRPr="00D305C7">
        <w:rPr>
          <w:sz w:val="18"/>
          <w:szCs w:val="18"/>
        </w:rPr>
        <w:t xml:space="preserve">. TA = transapical access; </w:t>
      </w:r>
      <w:r w:rsidRPr="00D305C7">
        <w:rPr>
          <w:sz w:val="18"/>
          <w:szCs w:val="18"/>
        </w:rPr>
        <w:t>TF= transfemoral</w:t>
      </w:r>
      <w:r w:rsidR="009C19BF" w:rsidRPr="00D305C7">
        <w:rPr>
          <w:sz w:val="18"/>
          <w:szCs w:val="18"/>
        </w:rPr>
        <w:t xml:space="preserve"> access</w:t>
      </w:r>
    </w:p>
    <w:p w14:paraId="666AB82C" w14:textId="77777777" w:rsidR="00F9695B" w:rsidRPr="00D305C7" w:rsidRDefault="00F9695B" w:rsidP="00D305C7">
      <w:pPr>
        <w:rPr>
          <w:sz w:val="18"/>
          <w:szCs w:val="18"/>
        </w:rPr>
      </w:pPr>
      <w:r w:rsidRPr="00D305C7">
        <w:rPr>
          <w:sz w:val="18"/>
          <w:szCs w:val="18"/>
        </w:rPr>
        <w:t>*The TF and TA control groups in the SAVR arm of the trial include the patients who at the pre-randomisation stage were categorised as eligible for TF or TA procedures respectively</w:t>
      </w:r>
    </w:p>
    <w:p w14:paraId="272850B8" w14:textId="77777777" w:rsidR="00F9695B" w:rsidRPr="00D305C7" w:rsidRDefault="00F9695B" w:rsidP="00D305C7">
      <w:pPr>
        <w:rPr>
          <w:sz w:val="18"/>
          <w:szCs w:val="18"/>
        </w:rPr>
      </w:pPr>
      <w:r w:rsidRPr="00D305C7">
        <w:rPr>
          <w:sz w:val="18"/>
          <w:szCs w:val="18"/>
        </w:rPr>
        <w:t>**All percentages are Kaplan-Meier estimates at the specific time point and thus do not equal the number of patients divided by the total number in the study group</w:t>
      </w:r>
    </w:p>
    <w:p w14:paraId="50AD696D" w14:textId="77777777" w:rsidR="00F9695B" w:rsidRPr="00D305C7" w:rsidRDefault="00F9695B" w:rsidP="00D305C7">
      <w:pPr>
        <w:rPr>
          <w:sz w:val="18"/>
          <w:szCs w:val="18"/>
        </w:rPr>
      </w:pPr>
      <w:r w:rsidRPr="00D305C7">
        <w:rPr>
          <w:sz w:val="18"/>
          <w:szCs w:val="18"/>
        </w:rPr>
        <w:t>***P-values are for between-group comparisons of the frequency of the event at each time point (log-rank test)</w:t>
      </w:r>
    </w:p>
    <w:p w14:paraId="05C7DDDC" w14:textId="77777777" w:rsidR="00917EAD" w:rsidRPr="00D305C7" w:rsidRDefault="00917EAD" w:rsidP="00D305C7"/>
    <w:p w14:paraId="7FF9575F" w14:textId="77777777" w:rsidR="00F9695B" w:rsidRPr="00D305C7" w:rsidRDefault="00F9695B" w:rsidP="00D305C7">
      <w:pPr>
        <w:rPr>
          <w:rFonts w:ascii="Arial" w:hAnsi="Arial" w:cs="Arial"/>
          <w:sz w:val="20"/>
        </w:rPr>
      </w:pPr>
      <w:r w:rsidRPr="00D305C7">
        <w:rPr>
          <w:rFonts w:ascii="Arial" w:hAnsi="Arial" w:cs="Arial"/>
          <w:sz w:val="20"/>
        </w:rPr>
        <w:t>Rate of death from any cause TAVI in high surgical risk patients</w:t>
      </w:r>
      <w:r w:rsidR="009C19BF" w:rsidRPr="00D305C7">
        <w:rPr>
          <w:rFonts w:ascii="Arial" w:hAnsi="Arial" w:cs="Arial"/>
          <w:sz w:val="20"/>
        </w:rPr>
        <w:t>,</w:t>
      </w:r>
      <w:r w:rsidRPr="00D305C7">
        <w:rPr>
          <w:rFonts w:ascii="Arial" w:hAnsi="Arial" w:cs="Arial"/>
          <w:sz w:val="20"/>
        </w:rPr>
        <w:t xml:space="preserve"> ITT population</w:t>
      </w:r>
    </w:p>
    <w:tbl>
      <w:tblPr>
        <w:tblStyle w:val="TableGrid"/>
        <w:tblW w:w="0" w:type="auto"/>
        <w:tblLook w:val="04A0" w:firstRow="1" w:lastRow="0" w:firstColumn="1" w:lastColumn="0" w:noHBand="0" w:noVBand="1"/>
        <w:tblCaption w:val="Rate of death from any cause TAVI in a high surgical risk patients ITT population"/>
      </w:tblPr>
      <w:tblGrid>
        <w:gridCol w:w="2518"/>
        <w:gridCol w:w="1843"/>
        <w:gridCol w:w="1984"/>
        <w:gridCol w:w="2897"/>
      </w:tblGrid>
      <w:tr w:rsidR="00F9695B" w:rsidRPr="00D305C7" w14:paraId="283E2526" w14:textId="77777777" w:rsidTr="001472CD">
        <w:trPr>
          <w:tblHeader/>
        </w:trPr>
        <w:tc>
          <w:tcPr>
            <w:tcW w:w="2518" w:type="dxa"/>
          </w:tcPr>
          <w:p w14:paraId="1B99DEE9" w14:textId="77777777" w:rsidR="00F9695B" w:rsidRPr="00D305C7" w:rsidRDefault="00F9695B" w:rsidP="00D305C7">
            <w:pPr>
              <w:spacing w:before="0"/>
              <w:rPr>
                <w:rFonts w:ascii="Arial" w:hAnsi="Arial" w:cs="Arial"/>
                <w:sz w:val="20"/>
              </w:rPr>
            </w:pPr>
            <w:r w:rsidRPr="00D305C7">
              <w:rPr>
                <w:rFonts w:ascii="Arial" w:hAnsi="Arial" w:cs="Arial"/>
                <w:sz w:val="20"/>
              </w:rPr>
              <w:t xml:space="preserve">Medtronic </w:t>
            </w:r>
            <w:proofErr w:type="spellStart"/>
            <w:r w:rsidRPr="00D305C7">
              <w:rPr>
                <w:rFonts w:ascii="Arial" w:hAnsi="Arial" w:cs="Arial"/>
                <w:sz w:val="20"/>
              </w:rPr>
              <w:t>CoreValve</w:t>
            </w:r>
            <w:proofErr w:type="spellEnd"/>
            <w:r w:rsidRPr="00D305C7">
              <w:rPr>
                <w:rFonts w:ascii="Arial" w:hAnsi="Arial" w:cs="Arial"/>
                <w:sz w:val="20"/>
              </w:rPr>
              <w:t xml:space="preserve"> trial</w:t>
            </w:r>
          </w:p>
        </w:tc>
        <w:tc>
          <w:tcPr>
            <w:tcW w:w="1843" w:type="dxa"/>
          </w:tcPr>
          <w:p w14:paraId="79094CCF" w14:textId="77777777" w:rsidR="00F9695B" w:rsidRPr="00D305C7" w:rsidRDefault="00F9695B" w:rsidP="00D305C7">
            <w:pPr>
              <w:spacing w:before="0"/>
              <w:rPr>
                <w:rFonts w:ascii="Arial" w:hAnsi="Arial" w:cs="Arial"/>
                <w:sz w:val="20"/>
              </w:rPr>
            </w:pPr>
            <w:r w:rsidRPr="00D305C7">
              <w:rPr>
                <w:rFonts w:ascii="Arial" w:hAnsi="Arial" w:cs="Arial"/>
                <w:sz w:val="20"/>
              </w:rPr>
              <w:t>TAVI</w:t>
            </w:r>
            <w:r w:rsidR="009C19BF" w:rsidRPr="00D305C7">
              <w:rPr>
                <w:rFonts w:ascii="Arial" w:hAnsi="Arial" w:cs="Arial"/>
                <w:sz w:val="20"/>
              </w:rPr>
              <w:t>, N=390</w:t>
            </w:r>
          </w:p>
          <w:p w14:paraId="74D49BEE" w14:textId="77777777" w:rsidR="00F9695B" w:rsidRPr="00D305C7" w:rsidRDefault="00F9695B" w:rsidP="00D305C7">
            <w:pPr>
              <w:spacing w:before="0"/>
              <w:rPr>
                <w:rFonts w:ascii="Arial" w:hAnsi="Arial" w:cs="Arial"/>
                <w:sz w:val="20"/>
              </w:rPr>
            </w:pPr>
            <w:r w:rsidRPr="00D305C7">
              <w:rPr>
                <w:rFonts w:ascii="Arial" w:hAnsi="Arial" w:cs="Arial"/>
                <w:sz w:val="20"/>
              </w:rPr>
              <w:t>n (%**)</w:t>
            </w:r>
          </w:p>
        </w:tc>
        <w:tc>
          <w:tcPr>
            <w:tcW w:w="1984" w:type="dxa"/>
          </w:tcPr>
          <w:p w14:paraId="1B6EE7AF" w14:textId="77777777" w:rsidR="00F9695B" w:rsidRPr="00D305C7" w:rsidRDefault="00F9695B" w:rsidP="00D305C7">
            <w:pPr>
              <w:spacing w:before="0"/>
              <w:rPr>
                <w:rFonts w:ascii="Arial" w:hAnsi="Arial" w:cs="Arial"/>
                <w:sz w:val="20"/>
              </w:rPr>
            </w:pPr>
            <w:r w:rsidRPr="00D305C7">
              <w:rPr>
                <w:rFonts w:ascii="Arial" w:hAnsi="Arial" w:cs="Arial"/>
                <w:sz w:val="20"/>
              </w:rPr>
              <w:t>SAVR</w:t>
            </w:r>
            <w:r w:rsidR="009C19BF" w:rsidRPr="00D305C7">
              <w:rPr>
                <w:rFonts w:ascii="Arial" w:hAnsi="Arial" w:cs="Arial"/>
                <w:sz w:val="20"/>
              </w:rPr>
              <w:t>, N=357</w:t>
            </w:r>
          </w:p>
          <w:p w14:paraId="08BADF8C" w14:textId="77777777" w:rsidR="00F9695B" w:rsidRPr="00D305C7" w:rsidRDefault="0004553C" w:rsidP="00D305C7">
            <w:pPr>
              <w:spacing w:before="0"/>
              <w:rPr>
                <w:rFonts w:ascii="Arial" w:hAnsi="Arial" w:cs="Arial"/>
                <w:sz w:val="20"/>
              </w:rPr>
            </w:pPr>
            <w:r w:rsidRPr="00D305C7">
              <w:rPr>
                <w:rFonts w:ascii="Arial" w:hAnsi="Arial" w:cs="Arial"/>
                <w:sz w:val="20"/>
              </w:rPr>
              <w:t>n (%**)</w:t>
            </w:r>
          </w:p>
        </w:tc>
        <w:tc>
          <w:tcPr>
            <w:tcW w:w="2897" w:type="dxa"/>
          </w:tcPr>
          <w:p w14:paraId="041EAF77" w14:textId="77777777" w:rsidR="00F9695B" w:rsidRPr="00D305C7" w:rsidRDefault="00F9695B" w:rsidP="00D305C7">
            <w:pPr>
              <w:spacing w:before="0"/>
              <w:rPr>
                <w:rFonts w:ascii="Arial" w:hAnsi="Arial" w:cs="Arial"/>
                <w:sz w:val="20"/>
              </w:rPr>
            </w:pPr>
            <w:r w:rsidRPr="00D305C7">
              <w:rPr>
                <w:rFonts w:ascii="Arial" w:hAnsi="Arial" w:cs="Arial"/>
                <w:sz w:val="20"/>
              </w:rPr>
              <w:t>P</w:t>
            </w:r>
            <w:r w:rsidR="0004553C" w:rsidRPr="00D305C7">
              <w:rPr>
                <w:rFonts w:ascii="Arial" w:hAnsi="Arial" w:cs="Arial"/>
                <w:sz w:val="20"/>
              </w:rPr>
              <w:t>-</w:t>
            </w:r>
            <w:r w:rsidRPr="00D305C7">
              <w:rPr>
                <w:rFonts w:ascii="Arial" w:hAnsi="Arial" w:cs="Arial"/>
                <w:sz w:val="20"/>
              </w:rPr>
              <w:t>value</w:t>
            </w:r>
            <w:r w:rsidR="0004553C" w:rsidRPr="00D305C7">
              <w:rPr>
                <w:rFonts w:ascii="Arial" w:hAnsi="Arial" w:cs="Arial"/>
                <w:sz w:val="20"/>
              </w:rPr>
              <w:t>***</w:t>
            </w:r>
          </w:p>
        </w:tc>
      </w:tr>
      <w:tr w:rsidR="00F9695B" w:rsidRPr="00D305C7" w14:paraId="15D5DFAD" w14:textId="77777777" w:rsidTr="0082448C">
        <w:tc>
          <w:tcPr>
            <w:tcW w:w="2518" w:type="dxa"/>
          </w:tcPr>
          <w:p w14:paraId="7323F021" w14:textId="77777777" w:rsidR="00F9695B" w:rsidRPr="00D305C7" w:rsidRDefault="00F9695B" w:rsidP="00D305C7">
            <w:pPr>
              <w:spacing w:before="0"/>
              <w:rPr>
                <w:rFonts w:ascii="Arial" w:hAnsi="Arial" w:cs="Arial"/>
                <w:sz w:val="20"/>
              </w:rPr>
            </w:pPr>
            <w:r w:rsidRPr="00D305C7">
              <w:rPr>
                <w:rFonts w:ascii="Arial" w:hAnsi="Arial" w:cs="Arial"/>
                <w:sz w:val="20"/>
              </w:rPr>
              <w:t>Death at 30 days*</w:t>
            </w:r>
          </w:p>
        </w:tc>
        <w:tc>
          <w:tcPr>
            <w:tcW w:w="1843" w:type="dxa"/>
          </w:tcPr>
          <w:p w14:paraId="44C00D36" w14:textId="77777777" w:rsidR="00F9695B" w:rsidRPr="00D305C7" w:rsidRDefault="00F9695B" w:rsidP="00D305C7">
            <w:pPr>
              <w:spacing w:before="0"/>
              <w:rPr>
                <w:rFonts w:ascii="Arial" w:hAnsi="Arial" w:cs="Arial"/>
                <w:sz w:val="20"/>
              </w:rPr>
            </w:pPr>
            <w:r w:rsidRPr="00D305C7">
              <w:rPr>
                <w:rFonts w:ascii="Arial" w:hAnsi="Arial" w:cs="Arial"/>
                <w:sz w:val="20"/>
              </w:rPr>
              <w:t>13 (3.3)</w:t>
            </w:r>
          </w:p>
        </w:tc>
        <w:tc>
          <w:tcPr>
            <w:tcW w:w="1984" w:type="dxa"/>
          </w:tcPr>
          <w:p w14:paraId="16C7A7C3" w14:textId="77777777" w:rsidR="00F9695B" w:rsidRPr="00D305C7" w:rsidRDefault="00F9695B" w:rsidP="00D305C7">
            <w:pPr>
              <w:spacing w:before="0"/>
              <w:rPr>
                <w:rFonts w:ascii="Arial" w:hAnsi="Arial" w:cs="Arial"/>
                <w:sz w:val="20"/>
              </w:rPr>
            </w:pPr>
            <w:r w:rsidRPr="00D305C7">
              <w:rPr>
                <w:rFonts w:ascii="Arial" w:hAnsi="Arial" w:cs="Arial"/>
                <w:sz w:val="20"/>
              </w:rPr>
              <w:t>16 (4.5)</w:t>
            </w:r>
          </w:p>
        </w:tc>
        <w:tc>
          <w:tcPr>
            <w:tcW w:w="2897" w:type="dxa"/>
          </w:tcPr>
          <w:p w14:paraId="047BA0D6" w14:textId="77777777" w:rsidR="00F9695B" w:rsidRPr="00D305C7" w:rsidRDefault="00F9695B" w:rsidP="00D305C7">
            <w:pPr>
              <w:spacing w:before="0"/>
              <w:rPr>
                <w:rFonts w:ascii="Arial" w:hAnsi="Arial" w:cs="Arial"/>
                <w:sz w:val="20"/>
              </w:rPr>
            </w:pPr>
            <w:r w:rsidRPr="00D305C7">
              <w:rPr>
                <w:rFonts w:ascii="Arial" w:hAnsi="Arial" w:cs="Arial"/>
                <w:sz w:val="20"/>
              </w:rPr>
              <w:t>0.43</w:t>
            </w:r>
          </w:p>
        </w:tc>
      </w:tr>
      <w:tr w:rsidR="00F9695B" w:rsidRPr="00D305C7" w14:paraId="3A0F3F28" w14:textId="77777777" w:rsidTr="0082448C">
        <w:trPr>
          <w:trHeight w:val="105"/>
        </w:trPr>
        <w:tc>
          <w:tcPr>
            <w:tcW w:w="2518" w:type="dxa"/>
          </w:tcPr>
          <w:p w14:paraId="48F2B096" w14:textId="77777777" w:rsidR="00F9695B" w:rsidRPr="00D305C7" w:rsidRDefault="00F9695B" w:rsidP="00D305C7">
            <w:pPr>
              <w:spacing w:before="0"/>
              <w:rPr>
                <w:rFonts w:ascii="Arial" w:hAnsi="Arial" w:cs="Arial"/>
                <w:sz w:val="20"/>
              </w:rPr>
            </w:pPr>
            <w:r w:rsidRPr="00D305C7">
              <w:rPr>
                <w:rFonts w:ascii="Arial" w:hAnsi="Arial" w:cs="Arial"/>
                <w:sz w:val="20"/>
              </w:rPr>
              <w:t>Death at 12 months (ITT)</w:t>
            </w:r>
          </w:p>
        </w:tc>
        <w:tc>
          <w:tcPr>
            <w:tcW w:w="1843" w:type="dxa"/>
          </w:tcPr>
          <w:p w14:paraId="216D41F0" w14:textId="77777777" w:rsidR="00F9695B" w:rsidRPr="00D305C7" w:rsidRDefault="00F9695B" w:rsidP="00D305C7">
            <w:pPr>
              <w:spacing w:before="0"/>
              <w:rPr>
                <w:rFonts w:ascii="Arial" w:hAnsi="Arial" w:cs="Arial"/>
                <w:sz w:val="20"/>
              </w:rPr>
            </w:pPr>
            <w:r w:rsidRPr="00D305C7">
              <w:rPr>
                <w:rFonts w:ascii="Arial" w:hAnsi="Arial" w:cs="Arial"/>
                <w:sz w:val="20"/>
              </w:rPr>
              <w:t>NR (13.9)</w:t>
            </w:r>
          </w:p>
        </w:tc>
        <w:tc>
          <w:tcPr>
            <w:tcW w:w="1984" w:type="dxa"/>
          </w:tcPr>
          <w:p w14:paraId="778746B0" w14:textId="77777777" w:rsidR="00F9695B" w:rsidRPr="00D305C7" w:rsidRDefault="00F9695B" w:rsidP="00D305C7">
            <w:pPr>
              <w:spacing w:before="0"/>
              <w:rPr>
                <w:rFonts w:ascii="Arial" w:hAnsi="Arial" w:cs="Arial"/>
                <w:sz w:val="20"/>
              </w:rPr>
            </w:pPr>
            <w:r w:rsidRPr="00D305C7">
              <w:rPr>
                <w:rFonts w:ascii="Arial" w:hAnsi="Arial" w:cs="Arial"/>
                <w:sz w:val="20"/>
              </w:rPr>
              <w:t>NR (18.7)</w:t>
            </w:r>
          </w:p>
        </w:tc>
        <w:tc>
          <w:tcPr>
            <w:tcW w:w="2897" w:type="dxa"/>
          </w:tcPr>
          <w:p w14:paraId="1BAFB81D" w14:textId="77777777" w:rsidR="00F9695B" w:rsidRPr="00D305C7" w:rsidRDefault="00F9695B" w:rsidP="00D305C7">
            <w:pPr>
              <w:spacing w:before="0"/>
              <w:rPr>
                <w:rFonts w:ascii="Arial" w:hAnsi="Arial" w:cs="Arial"/>
                <w:sz w:val="20"/>
              </w:rPr>
            </w:pPr>
            <w:r w:rsidRPr="00D305C7">
              <w:rPr>
                <w:rFonts w:ascii="Arial" w:hAnsi="Arial" w:cs="Arial"/>
                <w:sz w:val="20"/>
              </w:rPr>
              <w:t>&lt;</w:t>
            </w:r>
            <w:r w:rsidR="0004553C" w:rsidRPr="00D305C7">
              <w:rPr>
                <w:rFonts w:ascii="Arial" w:hAnsi="Arial" w:cs="Arial"/>
                <w:sz w:val="20"/>
              </w:rPr>
              <w:t> </w:t>
            </w:r>
            <w:r w:rsidRPr="00D305C7">
              <w:rPr>
                <w:rFonts w:ascii="Arial" w:hAnsi="Arial" w:cs="Arial"/>
                <w:sz w:val="20"/>
              </w:rPr>
              <w:t>0.001 for non-inferiority;</w:t>
            </w:r>
          </w:p>
          <w:p w14:paraId="3F36F2D9" w14:textId="77777777" w:rsidR="00F9695B" w:rsidRPr="00D305C7" w:rsidRDefault="00F9695B" w:rsidP="00D305C7">
            <w:pPr>
              <w:spacing w:before="0"/>
              <w:rPr>
                <w:rFonts w:ascii="Arial" w:hAnsi="Arial" w:cs="Arial"/>
                <w:sz w:val="20"/>
              </w:rPr>
            </w:pPr>
            <w:r w:rsidRPr="00D305C7">
              <w:rPr>
                <w:rFonts w:ascii="Arial" w:hAnsi="Arial" w:cs="Arial"/>
                <w:sz w:val="20"/>
              </w:rPr>
              <w:t>0.04 for superiority</w:t>
            </w:r>
          </w:p>
        </w:tc>
      </w:tr>
    </w:tbl>
    <w:p w14:paraId="75F6B094" w14:textId="77777777" w:rsidR="00F9695B" w:rsidRPr="00D305C7" w:rsidRDefault="00F9695B" w:rsidP="00D305C7">
      <w:pPr>
        <w:rPr>
          <w:sz w:val="18"/>
          <w:szCs w:val="18"/>
        </w:rPr>
      </w:pPr>
      <w:r w:rsidRPr="00D305C7">
        <w:rPr>
          <w:sz w:val="18"/>
          <w:szCs w:val="18"/>
        </w:rPr>
        <w:t>Source: Adams (2014)</w:t>
      </w:r>
      <w:r w:rsidR="004746B0" w:rsidRPr="00D305C7">
        <w:rPr>
          <w:sz w:val="18"/>
          <w:szCs w:val="18"/>
        </w:rPr>
        <w:t>.</w:t>
      </w:r>
      <w:r w:rsidRPr="00D305C7">
        <w:rPr>
          <w:sz w:val="18"/>
          <w:szCs w:val="18"/>
        </w:rPr>
        <w:t xml:space="preserve"> NR</w:t>
      </w:r>
      <w:r w:rsidR="004746B0" w:rsidRPr="00D305C7">
        <w:rPr>
          <w:sz w:val="18"/>
          <w:szCs w:val="18"/>
        </w:rPr>
        <w:t xml:space="preserve"> </w:t>
      </w:r>
      <w:r w:rsidRPr="00D305C7">
        <w:rPr>
          <w:sz w:val="18"/>
          <w:szCs w:val="18"/>
        </w:rPr>
        <w:t>=</w:t>
      </w:r>
      <w:r w:rsidR="004746B0" w:rsidRPr="00D305C7">
        <w:rPr>
          <w:sz w:val="18"/>
          <w:szCs w:val="18"/>
        </w:rPr>
        <w:t xml:space="preserve"> </w:t>
      </w:r>
      <w:r w:rsidRPr="00D305C7">
        <w:rPr>
          <w:sz w:val="18"/>
          <w:szCs w:val="18"/>
        </w:rPr>
        <w:t>not reported</w:t>
      </w:r>
    </w:p>
    <w:p w14:paraId="13E10FCF" w14:textId="77777777" w:rsidR="00F9695B" w:rsidRPr="00D305C7" w:rsidRDefault="00F9695B" w:rsidP="00D305C7">
      <w:pPr>
        <w:rPr>
          <w:sz w:val="18"/>
          <w:szCs w:val="18"/>
        </w:rPr>
      </w:pPr>
      <w:r w:rsidRPr="00D305C7">
        <w:rPr>
          <w:sz w:val="18"/>
          <w:szCs w:val="18"/>
        </w:rPr>
        <w:t>*as-treated population</w:t>
      </w:r>
    </w:p>
    <w:p w14:paraId="3C283D5C" w14:textId="77777777" w:rsidR="00F9695B" w:rsidRPr="00D305C7" w:rsidRDefault="00F9695B" w:rsidP="00D305C7">
      <w:pPr>
        <w:rPr>
          <w:sz w:val="18"/>
          <w:szCs w:val="18"/>
        </w:rPr>
      </w:pPr>
      <w:r w:rsidRPr="00D305C7">
        <w:rPr>
          <w:sz w:val="18"/>
          <w:szCs w:val="18"/>
        </w:rPr>
        <w:t>**All percentages are Kaplan-Meier estimates at the specific time point and thus do not equal the number of patients divided by the total number in the study group.</w:t>
      </w:r>
    </w:p>
    <w:p w14:paraId="6EC6BEFF" w14:textId="77777777" w:rsidR="00F9695B" w:rsidRPr="00D305C7" w:rsidRDefault="00F9695B" w:rsidP="00D305C7">
      <w:pPr>
        <w:rPr>
          <w:sz w:val="18"/>
          <w:szCs w:val="18"/>
        </w:rPr>
      </w:pPr>
      <w:r w:rsidRPr="00D305C7">
        <w:rPr>
          <w:sz w:val="18"/>
          <w:szCs w:val="18"/>
        </w:rPr>
        <w:t>***P-values are for between-group comparisons of the frequency of the event at e</w:t>
      </w:r>
      <w:r w:rsidR="00AF535C" w:rsidRPr="00D305C7">
        <w:rPr>
          <w:sz w:val="18"/>
          <w:szCs w:val="18"/>
        </w:rPr>
        <w:t>ach time point (log-rank test).</w:t>
      </w:r>
    </w:p>
    <w:p w14:paraId="0B062DE9" w14:textId="77777777" w:rsidR="00F9695B" w:rsidRPr="008B63C2" w:rsidRDefault="00F9695B" w:rsidP="00F9695B">
      <w:r w:rsidRPr="008B63C2">
        <w:lastRenderedPageBreak/>
        <w:t>The critique stated that</w:t>
      </w:r>
      <w:r w:rsidR="00AF535C">
        <w:t>,</w:t>
      </w:r>
      <w:r w:rsidRPr="008B63C2">
        <w:t xml:space="preserve"> in the “inoperable” population</w:t>
      </w:r>
      <w:r w:rsidR="00AF535C">
        <w:t>,</w:t>
      </w:r>
      <w:r w:rsidRPr="008B63C2">
        <w:t xml:space="preserve"> TAVI using transfemoral </w:t>
      </w:r>
      <w:r w:rsidR="002371F6">
        <w:t>delivery</w:t>
      </w:r>
      <w:r w:rsidRPr="008B63C2">
        <w:t xml:space="preserve"> </w:t>
      </w:r>
      <w:r w:rsidR="00AF535C">
        <w:t>wa</w:t>
      </w:r>
      <w:r w:rsidRPr="008B63C2">
        <w:t>s associated with significant improvement in patient survival at one and two years, and an increased risk of neurological events, major vascular complications and major bleeding when compared with patients</w:t>
      </w:r>
      <w:r w:rsidR="00AF535C">
        <w:t xml:space="preserve"> receiving medical management.</w:t>
      </w:r>
    </w:p>
    <w:p w14:paraId="071BFCE5" w14:textId="77777777" w:rsidR="00F9695B" w:rsidRPr="008B63C2" w:rsidRDefault="00F9695B" w:rsidP="00F9695B"/>
    <w:p w14:paraId="57C187F9" w14:textId="77777777" w:rsidR="00F9695B" w:rsidRPr="008B63C2" w:rsidRDefault="00F9695B" w:rsidP="00F9695B">
      <w:r w:rsidRPr="008B63C2">
        <w:t>In the “high surgical risk” population</w:t>
      </w:r>
      <w:r w:rsidR="00AF535C">
        <w:t>,</w:t>
      </w:r>
      <w:r w:rsidRPr="008B63C2">
        <w:t xml:space="preserve"> TAVI using transfemoral </w:t>
      </w:r>
      <w:r w:rsidR="002371F6">
        <w:t>delivery</w:t>
      </w:r>
      <w:r w:rsidRPr="008B63C2">
        <w:t xml:space="preserve"> </w:t>
      </w:r>
      <w:r w:rsidR="00AF535C">
        <w:t>wa</w:t>
      </w:r>
      <w:r w:rsidRPr="008B63C2">
        <w:t>s associated with the similar patient survival at one and two years, and an increased risk of neurological events and major vascular complications when compared with patients receiving SAVR. Conversely, the incidence of major bleeding was less frequent in TAVI group than in SAVR group.</w:t>
      </w:r>
    </w:p>
    <w:p w14:paraId="368A50CC" w14:textId="77777777" w:rsidR="00F9695B" w:rsidRPr="008B63C2" w:rsidRDefault="00F9695B" w:rsidP="00F9695B"/>
    <w:p w14:paraId="734A66D1" w14:textId="77777777" w:rsidR="00F9695B" w:rsidRDefault="00F9695B" w:rsidP="00F9695B">
      <w:r w:rsidRPr="008B63C2">
        <w:t>The critique considered that there was insufficient evidence to estimate clinical effectiveness and safety outcomes for the high surgical risk/inoperable patients not suitable for</w:t>
      </w:r>
      <w:r w:rsidR="00AF535C">
        <w:t xml:space="preserve"> </w:t>
      </w:r>
      <w:r w:rsidRPr="008B63C2">
        <w:t xml:space="preserve">transfemoral </w:t>
      </w:r>
      <w:r w:rsidR="002371F6">
        <w:t>delivery</w:t>
      </w:r>
      <w:r w:rsidRPr="008B63C2">
        <w:t xml:space="preserve"> in TAVI.</w:t>
      </w:r>
    </w:p>
    <w:p w14:paraId="08574F6C" w14:textId="77777777" w:rsidR="00AF535C" w:rsidRDefault="00AF535C" w:rsidP="00F9695B"/>
    <w:p w14:paraId="188EA081" w14:textId="77777777" w:rsidR="0065491D" w:rsidRDefault="0065491D" w:rsidP="0065491D">
      <w:r>
        <w:t xml:space="preserve">MSAC noted that the recently published 5-year results for the PARTNER Cohort </w:t>
      </w:r>
      <w:r w:rsidR="00922B3F">
        <w:t>B</w:t>
      </w:r>
      <w:r>
        <w:t xml:space="preserve"> trial (</w:t>
      </w:r>
      <w:r w:rsidR="00435F60">
        <w:t>Kapadia</w:t>
      </w:r>
      <w:r>
        <w:t xml:space="preserve"> et al</w:t>
      </w:r>
      <w:r w:rsidR="00922B3F">
        <w:t>.</w:t>
      </w:r>
      <w:r>
        <w:t xml:space="preserve"> Lancet, 2015) demonstrated </w:t>
      </w:r>
      <w:r w:rsidR="001160A7">
        <w:t>continuing</w:t>
      </w:r>
      <w:r>
        <w:t xml:space="preserve"> superior all-cause mortality for TAVI over medical management (at 2 years: 57% alive on TAVI vs 32% alive on medical management; at 5 years: 28% alive on TAVI vs 6% alive on medical management):</w:t>
      </w:r>
    </w:p>
    <w:p w14:paraId="2AB50708" w14:textId="77777777" w:rsidR="00855EAF" w:rsidRDefault="00855EAF" w:rsidP="0065491D"/>
    <w:p w14:paraId="7DDB755A" w14:textId="77777777" w:rsidR="0065491D" w:rsidRDefault="0065491D" w:rsidP="0065491D">
      <w:r w:rsidRPr="00705E67">
        <w:rPr>
          <w:noProof/>
        </w:rPr>
        <w:drawing>
          <wp:inline distT="0" distB="0" distL="0" distR="0" wp14:anchorId="0B087CE3" wp14:editId="5FABD326">
            <wp:extent cx="5724525" cy="3457533"/>
            <wp:effectExtent l="0" t="0" r="0" b="0"/>
            <wp:docPr id="1" name="Picture 1" descr="at 2 years: 57% alive on TAVI vs 32% alive on medical management; at 5 years: 28% alive on TAVI vs 6% alive on medical management" title="5-year results for the PARTNER Cohort B 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2"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461752"/>
                    </a:xfrm>
                    <a:prstGeom prst="rect">
                      <a:avLst/>
                    </a:prstGeom>
                    <a:noFill/>
                    <a:ln>
                      <a:noFill/>
                    </a:ln>
                    <a:extLst/>
                  </pic:spPr>
                </pic:pic>
              </a:graphicData>
            </a:graphic>
          </wp:inline>
        </w:drawing>
      </w:r>
    </w:p>
    <w:p w14:paraId="05ED4E28" w14:textId="77777777" w:rsidR="00855EAF" w:rsidRDefault="00855EAF" w:rsidP="0065491D"/>
    <w:p w14:paraId="7BDC1A96" w14:textId="77777777" w:rsidR="0065491D" w:rsidRDefault="0065491D" w:rsidP="0065491D">
      <w:r>
        <w:t xml:space="preserve">MSAC also noted that these recently published results also provided some evidence </w:t>
      </w:r>
      <w:r w:rsidR="00922B3F">
        <w:t>suggesting</w:t>
      </w:r>
      <w:r>
        <w:t xml:space="preserve"> more favourable NYHA functional class in surviving trial participants:</w:t>
      </w:r>
    </w:p>
    <w:p w14:paraId="45F4E653" w14:textId="77777777" w:rsidR="0065491D" w:rsidRDefault="0065491D" w:rsidP="0065491D">
      <w:r w:rsidRPr="005D5137">
        <w:rPr>
          <w:noProof/>
        </w:rPr>
        <w:lastRenderedPageBreak/>
        <w:drawing>
          <wp:inline distT="0" distB="0" distL="0" distR="0" wp14:anchorId="5DD04BF8" wp14:editId="1AFF49E7">
            <wp:extent cx="5943600" cy="2338070"/>
            <wp:effectExtent l="0" t="0" r="0" b="5080"/>
            <wp:docPr id="3" name="Picture 1" title="recently published results also provided some evidence suggesting more favourable NYHA functional class in surviving trial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6" name="Picture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338070"/>
                    </a:xfrm>
                    <a:prstGeom prst="rect">
                      <a:avLst/>
                    </a:prstGeom>
                    <a:noFill/>
                    <a:ln>
                      <a:noFill/>
                    </a:ln>
                    <a:extLst/>
                  </pic:spPr>
                </pic:pic>
              </a:graphicData>
            </a:graphic>
          </wp:inline>
        </w:drawing>
      </w:r>
    </w:p>
    <w:p w14:paraId="5F34E57A" w14:textId="77777777" w:rsidR="0065491D" w:rsidRDefault="0065491D" w:rsidP="00F9695B"/>
    <w:p w14:paraId="0B5465AC" w14:textId="77777777" w:rsidR="0088003B" w:rsidRDefault="0088003B" w:rsidP="00F9695B">
      <w:r>
        <w:t xml:space="preserve">Similarly, MSAC noted that the recently published 5-year results for the PARTNER Cohort A trial (Mack et al. Lancet, 2015) demonstrated a continuing non-inferior all-cause mortality between TAVI via transfemoral </w:t>
      </w:r>
      <w:r w:rsidR="002371F6">
        <w:t>delivery</w:t>
      </w:r>
      <w:r>
        <w:t xml:space="preserve"> and SAVR (at 5 years: 37% alive on TAVI vs 36% alive on SAVR; hazard ratio 1.01; 95% CI: 0.86-1.24, log rank P = 0.76).</w:t>
      </w:r>
    </w:p>
    <w:p w14:paraId="3AF6480F" w14:textId="77777777" w:rsidR="00AF535C" w:rsidRPr="008B63C2" w:rsidRDefault="00AF535C" w:rsidP="00F9695B"/>
    <w:p w14:paraId="1537457D" w14:textId="77777777" w:rsidR="00BC1364" w:rsidRDefault="00BC1364" w:rsidP="007B32D1">
      <w:pPr>
        <w:pStyle w:val="Heading1"/>
        <w:numPr>
          <w:ilvl w:val="0"/>
          <w:numId w:val="23"/>
        </w:numPr>
        <w:ind w:hanging="720"/>
      </w:pPr>
      <w:r w:rsidRPr="008D5885">
        <w:t>Economic evaluation</w:t>
      </w:r>
    </w:p>
    <w:p w14:paraId="04717E51" w14:textId="77777777" w:rsidR="00BC1364" w:rsidRPr="00AF535C" w:rsidRDefault="00BC1364" w:rsidP="00DD2858">
      <w:pPr>
        <w:rPr>
          <w:szCs w:val="24"/>
        </w:rPr>
      </w:pPr>
    </w:p>
    <w:p w14:paraId="11079BDB" w14:textId="6D0FA279" w:rsidR="00F9695B" w:rsidRPr="008B63C2" w:rsidRDefault="00F9695B" w:rsidP="00F9695B">
      <w:r w:rsidRPr="008B63C2">
        <w:t>A modelled economic evaluation, in the form of a cost-utility analysis,</w:t>
      </w:r>
      <w:r>
        <w:t xml:space="preserve"> was</w:t>
      </w:r>
      <w:r w:rsidRPr="008B63C2">
        <w:t xml:space="preserve"> presented with the time horizon of 10 years. Two separate models </w:t>
      </w:r>
      <w:r w:rsidR="00AF535C">
        <w:t>were</w:t>
      </w:r>
      <w:r w:rsidR="00AF535C" w:rsidRPr="008B63C2">
        <w:t xml:space="preserve"> presented </w:t>
      </w:r>
      <w:r w:rsidRPr="008B63C2">
        <w:t>to estimate costs and health outcomes associated with TAVI in two populations (</w:t>
      </w:r>
      <w:proofErr w:type="spellStart"/>
      <w:r w:rsidRPr="008B63C2">
        <w:t>i</w:t>
      </w:r>
      <w:proofErr w:type="spellEnd"/>
      <w:r w:rsidRPr="008B63C2">
        <w:t>) inoperable patients and (ii) ‘high surgical risk’ patients</w:t>
      </w:r>
      <w:r>
        <w:t xml:space="preserve"> with severe aortic stenosis</w:t>
      </w:r>
      <w:r w:rsidRPr="008B63C2">
        <w:t>.</w:t>
      </w:r>
      <w:r>
        <w:t xml:space="preserve"> Each modelled analysis wa</w:t>
      </w:r>
      <w:r w:rsidRPr="008B63C2">
        <w:t xml:space="preserve">s conducted twice; firstly for TAVI using transfemoral </w:t>
      </w:r>
      <w:r w:rsidR="002371F6">
        <w:t>delivery</w:t>
      </w:r>
      <w:r w:rsidRPr="008B63C2">
        <w:t xml:space="preserve"> (TF-TAVI) and secondly for TAVI using transapical </w:t>
      </w:r>
      <w:r w:rsidR="002371F6">
        <w:t>delivery</w:t>
      </w:r>
      <w:r w:rsidRPr="008B63C2">
        <w:t xml:space="preserve"> (TA-TAVI).</w:t>
      </w:r>
      <w:r w:rsidR="007C376F">
        <w:t xml:space="preserve"> MSAC noted that the clinical evidence</w:t>
      </w:r>
      <w:r w:rsidR="007E2B92">
        <w:t>-</w:t>
      </w:r>
      <w:r w:rsidR="007C376F">
        <w:t xml:space="preserve">base was derived primarily from the PARTNER trial, rather than the </w:t>
      </w:r>
      <w:r w:rsidR="003B6C13">
        <w:t xml:space="preserve">Medtronic </w:t>
      </w:r>
      <w:proofErr w:type="spellStart"/>
      <w:r w:rsidR="007C376F">
        <w:t>CoreValve</w:t>
      </w:r>
      <w:proofErr w:type="spellEnd"/>
      <w:r w:rsidR="007C376F">
        <w:t xml:space="preserve"> trial.</w:t>
      </w:r>
    </w:p>
    <w:p w14:paraId="6BF2DD66" w14:textId="77777777" w:rsidR="00F9695B" w:rsidRPr="008B63C2" w:rsidRDefault="00F9695B" w:rsidP="00F9695B">
      <w:pPr>
        <w:jc w:val="both"/>
        <w:rPr>
          <w:szCs w:val="24"/>
          <w:lang w:eastAsia="en-US"/>
        </w:rPr>
      </w:pPr>
    </w:p>
    <w:p w14:paraId="5F247EC6" w14:textId="77777777" w:rsidR="00F9695B" w:rsidRPr="008B63C2" w:rsidRDefault="00F9695B" w:rsidP="00F9695B">
      <w:pPr>
        <w:jc w:val="both"/>
        <w:rPr>
          <w:szCs w:val="24"/>
          <w:lang w:eastAsia="en-US"/>
        </w:rPr>
      </w:pPr>
      <w:r w:rsidRPr="008B63C2">
        <w:rPr>
          <w:szCs w:val="24"/>
          <w:lang w:eastAsia="en-US"/>
        </w:rPr>
        <w:t>The results of the economic evaluation ar</w:t>
      </w:r>
      <w:r w:rsidR="00AF535C">
        <w:rPr>
          <w:szCs w:val="24"/>
          <w:lang w:eastAsia="en-US"/>
        </w:rPr>
        <w:t>e presented in the table below.</w:t>
      </w:r>
    </w:p>
    <w:p w14:paraId="734370FD" w14:textId="77777777" w:rsidR="00F9695B" w:rsidRDefault="00F9695B" w:rsidP="00F26C06">
      <w:pPr>
        <w:pStyle w:val="Tabletextboldleft"/>
      </w:pPr>
      <w:r w:rsidRPr="008B63C2">
        <w:t>Resu</w:t>
      </w:r>
      <w:r w:rsidR="00AF535C">
        <w:t>lts of the economic evaluation</w:t>
      </w:r>
    </w:p>
    <w:tbl>
      <w:tblPr>
        <w:tblStyle w:val="TableGrid"/>
        <w:tblW w:w="0" w:type="auto"/>
        <w:tblLook w:val="04A0" w:firstRow="1" w:lastRow="0" w:firstColumn="1" w:lastColumn="0" w:noHBand="0" w:noVBand="1"/>
        <w:tblCaption w:val="Results of the economic evaluation"/>
        <w:tblDescription w:val="Results of the economic evaluation"/>
      </w:tblPr>
      <w:tblGrid>
        <w:gridCol w:w="1759"/>
        <w:gridCol w:w="1043"/>
        <w:gridCol w:w="1134"/>
        <w:gridCol w:w="1134"/>
        <w:gridCol w:w="992"/>
        <w:gridCol w:w="1134"/>
        <w:gridCol w:w="1134"/>
      </w:tblGrid>
      <w:tr w:rsidR="00343924" w14:paraId="43C15A95" w14:textId="77777777" w:rsidTr="00D71A8F">
        <w:trPr>
          <w:tblHeader/>
        </w:trPr>
        <w:tc>
          <w:tcPr>
            <w:tcW w:w="1759" w:type="dxa"/>
          </w:tcPr>
          <w:p w14:paraId="39135A18" w14:textId="1AB0D9AB" w:rsidR="00343924" w:rsidRDefault="00343924" w:rsidP="00D305C7">
            <w:pPr>
              <w:pStyle w:val="Tabletextboldleft"/>
              <w:spacing w:before="0" w:after="0"/>
            </w:pPr>
            <w:r w:rsidRPr="008B63C2">
              <w:rPr>
                <w:b w:val="0"/>
                <w:lang w:val="en-GB"/>
              </w:rPr>
              <w:t>High-risk patients</w:t>
            </w:r>
          </w:p>
        </w:tc>
        <w:tc>
          <w:tcPr>
            <w:tcW w:w="1043" w:type="dxa"/>
          </w:tcPr>
          <w:p w14:paraId="36742C80" w14:textId="0D9B2C32" w:rsidR="00343924" w:rsidRDefault="00343924" w:rsidP="00D305C7">
            <w:pPr>
              <w:pStyle w:val="Tabletextboldleft"/>
              <w:spacing w:before="0" w:after="0"/>
            </w:pPr>
            <w:r w:rsidRPr="008B63C2">
              <w:rPr>
                <w:b w:val="0"/>
                <w:lang w:val="en-GB"/>
              </w:rPr>
              <w:t>SAVR</w:t>
            </w:r>
          </w:p>
        </w:tc>
        <w:tc>
          <w:tcPr>
            <w:tcW w:w="1134" w:type="dxa"/>
          </w:tcPr>
          <w:p w14:paraId="21DC05EA" w14:textId="14FB410D" w:rsidR="00343924" w:rsidRDefault="00343924" w:rsidP="00D305C7">
            <w:pPr>
              <w:pStyle w:val="Tabletextboldleft"/>
              <w:spacing w:before="0" w:after="0"/>
            </w:pPr>
            <w:r w:rsidRPr="008B63C2">
              <w:rPr>
                <w:b w:val="0"/>
                <w:lang w:val="en-GB"/>
              </w:rPr>
              <w:t>TAVI-TF</w:t>
            </w:r>
          </w:p>
        </w:tc>
        <w:tc>
          <w:tcPr>
            <w:tcW w:w="1134" w:type="dxa"/>
          </w:tcPr>
          <w:p w14:paraId="10DBAC91" w14:textId="05FB3CC2" w:rsidR="00343924" w:rsidRDefault="00343924" w:rsidP="00D305C7">
            <w:pPr>
              <w:pStyle w:val="Tabletextboldleft"/>
              <w:spacing w:before="0" w:after="0"/>
            </w:pPr>
            <w:r w:rsidRPr="008B63C2">
              <w:rPr>
                <w:b w:val="0"/>
                <w:lang w:val="en-GB"/>
              </w:rPr>
              <w:t>Incremental</w:t>
            </w:r>
          </w:p>
        </w:tc>
        <w:tc>
          <w:tcPr>
            <w:tcW w:w="992" w:type="dxa"/>
          </w:tcPr>
          <w:p w14:paraId="5677DFE3" w14:textId="12569853" w:rsidR="00343924" w:rsidRDefault="00343924" w:rsidP="00D305C7">
            <w:pPr>
              <w:pStyle w:val="Tabletextboldleft"/>
              <w:spacing w:before="0" w:after="0"/>
            </w:pPr>
            <w:r w:rsidRPr="008B63C2">
              <w:rPr>
                <w:b w:val="0"/>
                <w:lang w:val="en-GB"/>
              </w:rPr>
              <w:t>SAVR</w:t>
            </w:r>
          </w:p>
        </w:tc>
        <w:tc>
          <w:tcPr>
            <w:tcW w:w="1134" w:type="dxa"/>
          </w:tcPr>
          <w:p w14:paraId="4FD4DD8F" w14:textId="1F1E6452" w:rsidR="00343924" w:rsidRDefault="00343924" w:rsidP="00D305C7">
            <w:pPr>
              <w:pStyle w:val="Tabletextboldleft"/>
              <w:spacing w:before="0" w:after="0"/>
            </w:pPr>
            <w:r w:rsidRPr="008B63C2">
              <w:rPr>
                <w:b w:val="0"/>
                <w:lang w:val="en-GB"/>
              </w:rPr>
              <w:t>TAVI-TA</w:t>
            </w:r>
          </w:p>
        </w:tc>
        <w:tc>
          <w:tcPr>
            <w:tcW w:w="1134" w:type="dxa"/>
          </w:tcPr>
          <w:p w14:paraId="3444857A" w14:textId="6BFB7228" w:rsidR="00343924" w:rsidRDefault="00343924" w:rsidP="00D305C7">
            <w:pPr>
              <w:pStyle w:val="Tabletextboldleft"/>
              <w:spacing w:before="0" w:after="0"/>
            </w:pPr>
            <w:r w:rsidRPr="008B63C2">
              <w:rPr>
                <w:b w:val="0"/>
                <w:lang w:val="en-GB"/>
              </w:rPr>
              <w:t>Incremental</w:t>
            </w:r>
          </w:p>
        </w:tc>
      </w:tr>
      <w:tr w:rsidR="00343924" w14:paraId="557FB56E" w14:textId="77777777" w:rsidTr="00343924">
        <w:tc>
          <w:tcPr>
            <w:tcW w:w="1759" w:type="dxa"/>
          </w:tcPr>
          <w:p w14:paraId="6BBCE7FC" w14:textId="1D9E752B" w:rsidR="00343924" w:rsidRPr="00D71A8F" w:rsidRDefault="00343924" w:rsidP="00D305C7">
            <w:pPr>
              <w:pStyle w:val="Tabletextboldleft"/>
              <w:spacing w:before="0" w:after="0"/>
              <w:rPr>
                <w:b w:val="0"/>
              </w:rPr>
            </w:pPr>
            <w:r w:rsidRPr="00D71A8F">
              <w:rPr>
                <w:b w:val="0"/>
                <w:szCs w:val="24"/>
                <w:lang w:val="en-GB"/>
              </w:rPr>
              <w:t>Cost</w:t>
            </w:r>
          </w:p>
        </w:tc>
        <w:tc>
          <w:tcPr>
            <w:tcW w:w="1043" w:type="dxa"/>
          </w:tcPr>
          <w:p w14:paraId="491C90ED" w14:textId="6301BEBF" w:rsidR="00343924" w:rsidRPr="00D71A8F" w:rsidRDefault="00343924" w:rsidP="00D305C7">
            <w:pPr>
              <w:pStyle w:val="Tabletextboldleft"/>
              <w:spacing w:before="0" w:after="0"/>
              <w:rPr>
                <w:b w:val="0"/>
              </w:rPr>
            </w:pPr>
            <w:r w:rsidRPr="00D71A8F">
              <w:rPr>
                <w:b w:val="0"/>
                <w:szCs w:val="24"/>
                <w:lang w:val="en-GB"/>
              </w:rPr>
              <w:t>$128,557</w:t>
            </w:r>
          </w:p>
        </w:tc>
        <w:tc>
          <w:tcPr>
            <w:tcW w:w="1134" w:type="dxa"/>
          </w:tcPr>
          <w:p w14:paraId="67F0C0F7" w14:textId="54FF9434" w:rsidR="00343924" w:rsidRPr="00D71A8F" w:rsidRDefault="00343924" w:rsidP="00D305C7">
            <w:pPr>
              <w:pStyle w:val="Tabletextboldleft"/>
              <w:spacing w:before="0" w:after="0"/>
              <w:rPr>
                <w:b w:val="0"/>
              </w:rPr>
            </w:pPr>
            <w:r w:rsidRPr="00D71A8F">
              <w:rPr>
                <w:b w:val="0"/>
                <w:szCs w:val="24"/>
                <w:lang w:val="en-GB"/>
              </w:rPr>
              <w:t>$101,453</w:t>
            </w:r>
          </w:p>
        </w:tc>
        <w:tc>
          <w:tcPr>
            <w:tcW w:w="1134" w:type="dxa"/>
          </w:tcPr>
          <w:p w14:paraId="1A27C103" w14:textId="6BE58187" w:rsidR="00343924" w:rsidRPr="00D71A8F" w:rsidRDefault="00343924" w:rsidP="00D305C7">
            <w:pPr>
              <w:pStyle w:val="Tabletextboldleft"/>
              <w:spacing w:before="0" w:after="0"/>
              <w:rPr>
                <w:b w:val="0"/>
              </w:rPr>
            </w:pPr>
            <w:r w:rsidRPr="00D71A8F">
              <w:rPr>
                <w:b w:val="0"/>
                <w:szCs w:val="24"/>
                <w:lang w:val="en-GB"/>
              </w:rPr>
              <w:t>($27,104)</w:t>
            </w:r>
          </w:p>
        </w:tc>
        <w:tc>
          <w:tcPr>
            <w:tcW w:w="992" w:type="dxa"/>
          </w:tcPr>
          <w:p w14:paraId="02245E8B" w14:textId="5EA714CC" w:rsidR="00343924" w:rsidRPr="00D71A8F" w:rsidRDefault="00343924" w:rsidP="00D305C7">
            <w:pPr>
              <w:pStyle w:val="Tabletextboldleft"/>
              <w:spacing w:before="0" w:after="0"/>
              <w:rPr>
                <w:b w:val="0"/>
              </w:rPr>
            </w:pPr>
            <w:r w:rsidRPr="00D71A8F">
              <w:rPr>
                <w:b w:val="0"/>
                <w:szCs w:val="24"/>
                <w:lang w:val="en-GB"/>
              </w:rPr>
              <w:t>$129,226</w:t>
            </w:r>
          </w:p>
        </w:tc>
        <w:tc>
          <w:tcPr>
            <w:tcW w:w="1134" w:type="dxa"/>
          </w:tcPr>
          <w:p w14:paraId="484BB4CA" w14:textId="4AD5C095" w:rsidR="00343924" w:rsidRPr="00D71A8F" w:rsidRDefault="00343924" w:rsidP="00D305C7">
            <w:pPr>
              <w:pStyle w:val="Tabletextboldleft"/>
              <w:spacing w:before="0" w:after="0"/>
              <w:rPr>
                <w:b w:val="0"/>
              </w:rPr>
            </w:pPr>
            <w:r w:rsidRPr="00D71A8F">
              <w:rPr>
                <w:b w:val="0"/>
                <w:szCs w:val="24"/>
                <w:lang w:val="en-GB"/>
              </w:rPr>
              <w:t>$115,802</w:t>
            </w:r>
          </w:p>
        </w:tc>
        <w:tc>
          <w:tcPr>
            <w:tcW w:w="1134" w:type="dxa"/>
          </w:tcPr>
          <w:p w14:paraId="1B638F5D" w14:textId="0549F23E" w:rsidR="00343924" w:rsidRPr="00D71A8F" w:rsidRDefault="00343924" w:rsidP="00D305C7">
            <w:pPr>
              <w:pStyle w:val="Tabletextboldleft"/>
              <w:spacing w:before="0" w:after="0"/>
              <w:rPr>
                <w:b w:val="0"/>
              </w:rPr>
            </w:pPr>
            <w:r w:rsidRPr="00D71A8F">
              <w:rPr>
                <w:b w:val="0"/>
                <w:szCs w:val="24"/>
                <w:lang w:val="en-GB"/>
              </w:rPr>
              <w:t>($13,425)</w:t>
            </w:r>
          </w:p>
        </w:tc>
      </w:tr>
      <w:tr w:rsidR="00343924" w14:paraId="4B5143F5" w14:textId="77777777" w:rsidTr="00343924">
        <w:tc>
          <w:tcPr>
            <w:tcW w:w="1759" w:type="dxa"/>
          </w:tcPr>
          <w:p w14:paraId="1F602437" w14:textId="00DEED66" w:rsidR="00343924" w:rsidRPr="00D71A8F" w:rsidRDefault="00343924" w:rsidP="00D305C7">
            <w:pPr>
              <w:pStyle w:val="Tabletextboldleft"/>
              <w:spacing w:before="0" w:after="0"/>
              <w:rPr>
                <w:b w:val="0"/>
              </w:rPr>
            </w:pPr>
            <w:r w:rsidRPr="00D71A8F">
              <w:rPr>
                <w:b w:val="0"/>
                <w:szCs w:val="24"/>
                <w:lang w:val="en-GB"/>
              </w:rPr>
              <w:t>QALYs</w:t>
            </w:r>
          </w:p>
        </w:tc>
        <w:tc>
          <w:tcPr>
            <w:tcW w:w="1043" w:type="dxa"/>
          </w:tcPr>
          <w:p w14:paraId="465A10FF" w14:textId="0346105D" w:rsidR="00343924" w:rsidRPr="00D71A8F" w:rsidRDefault="00343924" w:rsidP="00D305C7">
            <w:pPr>
              <w:pStyle w:val="Tabletextboldleft"/>
              <w:spacing w:before="0" w:after="0"/>
              <w:rPr>
                <w:b w:val="0"/>
              </w:rPr>
            </w:pPr>
            <w:r w:rsidRPr="00D71A8F">
              <w:rPr>
                <w:b w:val="0"/>
                <w:szCs w:val="24"/>
                <w:lang w:val="en-GB"/>
              </w:rPr>
              <w:t>2.02</w:t>
            </w:r>
          </w:p>
        </w:tc>
        <w:tc>
          <w:tcPr>
            <w:tcW w:w="1134" w:type="dxa"/>
          </w:tcPr>
          <w:p w14:paraId="084AD743" w14:textId="31EE7D01" w:rsidR="00343924" w:rsidRPr="00D71A8F" w:rsidRDefault="00343924" w:rsidP="00D305C7">
            <w:pPr>
              <w:pStyle w:val="Tabletextboldleft"/>
              <w:spacing w:before="0" w:after="0"/>
              <w:rPr>
                <w:b w:val="0"/>
              </w:rPr>
            </w:pPr>
            <w:r w:rsidRPr="00D71A8F">
              <w:rPr>
                <w:b w:val="0"/>
                <w:szCs w:val="24"/>
                <w:lang w:val="en-GB"/>
              </w:rPr>
              <w:t>2.19</w:t>
            </w:r>
          </w:p>
        </w:tc>
        <w:tc>
          <w:tcPr>
            <w:tcW w:w="1134" w:type="dxa"/>
          </w:tcPr>
          <w:p w14:paraId="3A30E9E6" w14:textId="253E5DB3" w:rsidR="00343924" w:rsidRPr="00D71A8F" w:rsidRDefault="00343924" w:rsidP="00D305C7">
            <w:pPr>
              <w:pStyle w:val="Tabletextboldleft"/>
              <w:spacing w:before="0" w:after="0"/>
              <w:rPr>
                <w:b w:val="0"/>
              </w:rPr>
            </w:pPr>
            <w:r w:rsidRPr="00D71A8F">
              <w:rPr>
                <w:b w:val="0"/>
                <w:szCs w:val="24"/>
                <w:lang w:val="en-GB"/>
              </w:rPr>
              <w:t>0.16</w:t>
            </w:r>
          </w:p>
        </w:tc>
        <w:tc>
          <w:tcPr>
            <w:tcW w:w="992" w:type="dxa"/>
          </w:tcPr>
          <w:p w14:paraId="0189FE1E" w14:textId="649D6E69" w:rsidR="00343924" w:rsidRPr="00D71A8F" w:rsidRDefault="00343924" w:rsidP="00D305C7">
            <w:pPr>
              <w:pStyle w:val="Tabletextboldleft"/>
              <w:spacing w:before="0" w:after="0"/>
              <w:rPr>
                <w:b w:val="0"/>
              </w:rPr>
            </w:pPr>
            <w:r w:rsidRPr="00D71A8F">
              <w:rPr>
                <w:b w:val="0"/>
                <w:szCs w:val="24"/>
                <w:lang w:val="en-GB"/>
              </w:rPr>
              <w:t>1.93</w:t>
            </w:r>
          </w:p>
        </w:tc>
        <w:tc>
          <w:tcPr>
            <w:tcW w:w="1134" w:type="dxa"/>
          </w:tcPr>
          <w:p w14:paraId="25E6650B" w14:textId="06A19431" w:rsidR="00343924" w:rsidRPr="00D71A8F" w:rsidRDefault="00343924" w:rsidP="00D305C7">
            <w:pPr>
              <w:pStyle w:val="Tabletextboldleft"/>
              <w:spacing w:before="0" w:after="0"/>
              <w:rPr>
                <w:b w:val="0"/>
              </w:rPr>
            </w:pPr>
            <w:r w:rsidRPr="00D71A8F">
              <w:rPr>
                <w:b w:val="0"/>
                <w:szCs w:val="24"/>
                <w:lang w:val="en-GB"/>
              </w:rPr>
              <w:t>2.19</w:t>
            </w:r>
          </w:p>
        </w:tc>
        <w:tc>
          <w:tcPr>
            <w:tcW w:w="1134" w:type="dxa"/>
          </w:tcPr>
          <w:p w14:paraId="12BF2DEB" w14:textId="7FBED617" w:rsidR="00343924" w:rsidRPr="00D71A8F" w:rsidRDefault="00343924" w:rsidP="00D305C7">
            <w:pPr>
              <w:pStyle w:val="Tabletextboldleft"/>
              <w:spacing w:before="0" w:after="0"/>
              <w:rPr>
                <w:b w:val="0"/>
              </w:rPr>
            </w:pPr>
            <w:r w:rsidRPr="00D71A8F">
              <w:rPr>
                <w:b w:val="0"/>
                <w:szCs w:val="24"/>
                <w:lang w:val="en-GB"/>
              </w:rPr>
              <w:t>0.27</w:t>
            </w:r>
          </w:p>
        </w:tc>
      </w:tr>
      <w:tr w:rsidR="00343924" w14:paraId="287857E3" w14:textId="77777777" w:rsidTr="00D71A8F">
        <w:trPr>
          <w:trHeight w:val="959"/>
        </w:trPr>
        <w:tc>
          <w:tcPr>
            <w:tcW w:w="1759" w:type="dxa"/>
          </w:tcPr>
          <w:p w14:paraId="07A8FD50" w14:textId="427911F6" w:rsidR="00343924" w:rsidRPr="00D71A8F" w:rsidRDefault="00343924" w:rsidP="00D305C7">
            <w:pPr>
              <w:pStyle w:val="Tabletextboldleft"/>
              <w:spacing w:before="0" w:after="0"/>
              <w:rPr>
                <w:b w:val="0"/>
              </w:rPr>
            </w:pPr>
            <w:r w:rsidRPr="00D71A8F">
              <w:rPr>
                <w:b w:val="0"/>
                <w:szCs w:val="24"/>
                <w:lang w:val="en-GB"/>
              </w:rPr>
              <w:t>ICER</w:t>
            </w:r>
          </w:p>
        </w:tc>
        <w:tc>
          <w:tcPr>
            <w:tcW w:w="1043" w:type="dxa"/>
          </w:tcPr>
          <w:p w14:paraId="790AA60C" w14:textId="77777777" w:rsidR="00343924" w:rsidRPr="00D71A8F" w:rsidRDefault="00343924" w:rsidP="00D305C7">
            <w:pPr>
              <w:pStyle w:val="Tabletextboldleft"/>
              <w:spacing w:before="0" w:after="0"/>
              <w:rPr>
                <w:b w:val="0"/>
              </w:rPr>
            </w:pPr>
          </w:p>
        </w:tc>
        <w:tc>
          <w:tcPr>
            <w:tcW w:w="1134" w:type="dxa"/>
          </w:tcPr>
          <w:p w14:paraId="28911F36" w14:textId="77777777" w:rsidR="00343924" w:rsidRPr="00D71A8F" w:rsidRDefault="00343924" w:rsidP="00D305C7">
            <w:pPr>
              <w:pStyle w:val="Tabletextboldleft"/>
              <w:spacing w:before="0" w:after="0"/>
              <w:rPr>
                <w:b w:val="0"/>
              </w:rPr>
            </w:pPr>
          </w:p>
        </w:tc>
        <w:tc>
          <w:tcPr>
            <w:tcW w:w="1134" w:type="dxa"/>
          </w:tcPr>
          <w:p w14:paraId="6267100A" w14:textId="3006D224" w:rsidR="00343924" w:rsidRPr="00D71A8F" w:rsidRDefault="00343924" w:rsidP="00D305C7">
            <w:pPr>
              <w:pStyle w:val="Tabletextboldleft"/>
              <w:spacing w:before="0" w:after="0"/>
              <w:rPr>
                <w:b w:val="0"/>
              </w:rPr>
            </w:pPr>
            <w:r w:rsidRPr="00D71A8F">
              <w:rPr>
                <w:b w:val="0"/>
                <w:szCs w:val="24"/>
                <w:lang w:val="en-GB"/>
              </w:rPr>
              <w:t>TAVI is dominant ($164,540)</w:t>
            </w:r>
          </w:p>
        </w:tc>
        <w:tc>
          <w:tcPr>
            <w:tcW w:w="992" w:type="dxa"/>
          </w:tcPr>
          <w:p w14:paraId="26DF3D08" w14:textId="77777777" w:rsidR="00343924" w:rsidRPr="00D71A8F" w:rsidRDefault="00343924" w:rsidP="00D305C7">
            <w:pPr>
              <w:pStyle w:val="Tabletextboldleft"/>
              <w:spacing w:before="0" w:after="0"/>
              <w:rPr>
                <w:b w:val="0"/>
              </w:rPr>
            </w:pPr>
          </w:p>
        </w:tc>
        <w:tc>
          <w:tcPr>
            <w:tcW w:w="1134" w:type="dxa"/>
          </w:tcPr>
          <w:p w14:paraId="5D3516E0" w14:textId="77777777" w:rsidR="00343924" w:rsidRPr="00D71A8F" w:rsidRDefault="00343924" w:rsidP="00D305C7">
            <w:pPr>
              <w:pStyle w:val="Tabletextboldleft"/>
              <w:spacing w:before="0" w:after="0"/>
              <w:rPr>
                <w:b w:val="0"/>
              </w:rPr>
            </w:pPr>
          </w:p>
        </w:tc>
        <w:tc>
          <w:tcPr>
            <w:tcW w:w="1134" w:type="dxa"/>
          </w:tcPr>
          <w:p w14:paraId="58BB6757" w14:textId="3E7F224F" w:rsidR="00343924" w:rsidRPr="00D71A8F" w:rsidRDefault="00343924" w:rsidP="00D305C7">
            <w:pPr>
              <w:pStyle w:val="Tabletextboldleft"/>
              <w:spacing w:before="0" w:after="0"/>
              <w:rPr>
                <w:b w:val="0"/>
              </w:rPr>
            </w:pPr>
            <w:r w:rsidRPr="00D71A8F">
              <w:rPr>
                <w:b w:val="0"/>
                <w:szCs w:val="24"/>
                <w:lang w:val="en-GB"/>
              </w:rPr>
              <w:t>TAVI is dominant ($50,545)</w:t>
            </w:r>
          </w:p>
        </w:tc>
      </w:tr>
      <w:tr w:rsidR="00D71A8F" w14:paraId="02811363" w14:textId="77777777" w:rsidTr="00343924">
        <w:tc>
          <w:tcPr>
            <w:tcW w:w="1759" w:type="dxa"/>
          </w:tcPr>
          <w:p w14:paraId="2BD06CCB" w14:textId="13D5A346" w:rsidR="00D71A8F" w:rsidRPr="00D71A8F" w:rsidRDefault="00D71A8F" w:rsidP="00D305C7">
            <w:pPr>
              <w:pStyle w:val="Tabletextboldleft"/>
              <w:spacing w:before="0" w:after="0"/>
              <w:rPr>
                <w:b w:val="0"/>
              </w:rPr>
            </w:pPr>
            <w:r w:rsidRPr="00D71A8F">
              <w:rPr>
                <w:b w:val="0"/>
                <w:lang w:val="en-GB"/>
              </w:rPr>
              <w:t>Inoperable patients</w:t>
            </w:r>
          </w:p>
        </w:tc>
        <w:tc>
          <w:tcPr>
            <w:tcW w:w="1043" w:type="dxa"/>
          </w:tcPr>
          <w:p w14:paraId="75EA6C9A" w14:textId="05E58116" w:rsidR="00D71A8F" w:rsidRPr="00D71A8F" w:rsidRDefault="00D71A8F" w:rsidP="00D305C7">
            <w:pPr>
              <w:pStyle w:val="Tabletextboldleft"/>
              <w:spacing w:before="0" w:after="0"/>
              <w:rPr>
                <w:b w:val="0"/>
              </w:rPr>
            </w:pPr>
            <w:r w:rsidRPr="00D71A8F">
              <w:rPr>
                <w:b w:val="0"/>
                <w:lang w:val="en-GB"/>
              </w:rPr>
              <w:t>MM+/-BAV</w:t>
            </w:r>
          </w:p>
        </w:tc>
        <w:tc>
          <w:tcPr>
            <w:tcW w:w="1134" w:type="dxa"/>
          </w:tcPr>
          <w:p w14:paraId="3D554D60" w14:textId="5095D580" w:rsidR="00D71A8F" w:rsidRPr="00D71A8F" w:rsidRDefault="00D71A8F" w:rsidP="00D305C7">
            <w:pPr>
              <w:pStyle w:val="Tabletextboldleft"/>
              <w:spacing w:before="0" w:after="0"/>
              <w:rPr>
                <w:b w:val="0"/>
              </w:rPr>
            </w:pPr>
            <w:r w:rsidRPr="00D71A8F">
              <w:rPr>
                <w:b w:val="0"/>
                <w:lang w:val="en-GB"/>
              </w:rPr>
              <w:t>TAVI-TF</w:t>
            </w:r>
          </w:p>
        </w:tc>
        <w:tc>
          <w:tcPr>
            <w:tcW w:w="1134" w:type="dxa"/>
          </w:tcPr>
          <w:p w14:paraId="0C86386A" w14:textId="1F2C654C" w:rsidR="00D71A8F" w:rsidRPr="00D71A8F" w:rsidRDefault="00D71A8F" w:rsidP="00D305C7">
            <w:pPr>
              <w:pStyle w:val="Tabletextboldleft"/>
              <w:spacing w:before="0" w:after="0"/>
              <w:rPr>
                <w:b w:val="0"/>
              </w:rPr>
            </w:pPr>
            <w:r w:rsidRPr="00D71A8F">
              <w:rPr>
                <w:b w:val="0"/>
                <w:lang w:val="en-GB"/>
              </w:rPr>
              <w:t>Incremental</w:t>
            </w:r>
          </w:p>
        </w:tc>
        <w:tc>
          <w:tcPr>
            <w:tcW w:w="992" w:type="dxa"/>
          </w:tcPr>
          <w:p w14:paraId="142EFA80" w14:textId="0536C744" w:rsidR="00D71A8F" w:rsidRPr="00D71A8F" w:rsidRDefault="00D71A8F" w:rsidP="00D305C7">
            <w:pPr>
              <w:pStyle w:val="Tabletextboldleft"/>
              <w:spacing w:before="0" w:after="0"/>
              <w:rPr>
                <w:b w:val="0"/>
              </w:rPr>
            </w:pPr>
            <w:r w:rsidRPr="00D71A8F">
              <w:rPr>
                <w:b w:val="0"/>
                <w:lang w:val="en-GB"/>
              </w:rPr>
              <w:t>MM+/-BAV</w:t>
            </w:r>
          </w:p>
        </w:tc>
        <w:tc>
          <w:tcPr>
            <w:tcW w:w="1134" w:type="dxa"/>
          </w:tcPr>
          <w:p w14:paraId="694CB89E" w14:textId="21872717" w:rsidR="00D71A8F" w:rsidRPr="00D71A8F" w:rsidRDefault="00D71A8F" w:rsidP="00D305C7">
            <w:pPr>
              <w:pStyle w:val="Tabletextboldleft"/>
              <w:spacing w:before="0" w:after="0"/>
              <w:rPr>
                <w:b w:val="0"/>
              </w:rPr>
            </w:pPr>
            <w:r w:rsidRPr="00D71A8F">
              <w:rPr>
                <w:b w:val="0"/>
                <w:lang w:val="en-GB"/>
              </w:rPr>
              <w:t>TAVI-TA</w:t>
            </w:r>
          </w:p>
        </w:tc>
        <w:tc>
          <w:tcPr>
            <w:tcW w:w="1134" w:type="dxa"/>
          </w:tcPr>
          <w:p w14:paraId="3F538779" w14:textId="58F35759" w:rsidR="00D71A8F" w:rsidRPr="00D71A8F" w:rsidRDefault="00D71A8F" w:rsidP="00D305C7">
            <w:pPr>
              <w:pStyle w:val="Tabletextboldleft"/>
              <w:spacing w:before="0" w:after="0"/>
              <w:rPr>
                <w:b w:val="0"/>
              </w:rPr>
            </w:pPr>
            <w:r w:rsidRPr="00D71A8F">
              <w:rPr>
                <w:b w:val="0"/>
                <w:lang w:val="en-GB"/>
              </w:rPr>
              <w:t>Incremental</w:t>
            </w:r>
          </w:p>
        </w:tc>
      </w:tr>
      <w:tr w:rsidR="00D71A8F" w14:paraId="46120C67" w14:textId="77777777" w:rsidTr="00343924">
        <w:tc>
          <w:tcPr>
            <w:tcW w:w="1759" w:type="dxa"/>
          </w:tcPr>
          <w:p w14:paraId="2CD17C0E" w14:textId="2FBA483A" w:rsidR="00D71A8F" w:rsidRPr="00D71A8F" w:rsidRDefault="00D71A8F" w:rsidP="00D305C7">
            <w:pPr>
              <w:pStyle w:val="Tabletextboldleft"/>
              <w:spacing w:before="0" w:after="0"/>
              <w:rPr>
                <w:b w:val="0"/>
              </w:rPr>
            </w:pPr>
            <w:r w:rsidRPr="00D71A8F">
              <w:rPr>
                <w:b w:val="0"/>
                <w:szCs w:val="24"/>
                <w:lang w:val="en-GB"/>
              </w:rPr>
              <w:t>Cost</w:t>
            </w:r>
          </w:p>
        </w:tc>
        <w:tc>
          <w:tcPr>
            <w:tcW w:w="1043" w:type="dxa"/>
          </w:tcPr>
          <w:p w14:paraId="7B90FCAD" w14:textId="1871A80C" w:rsidR="00D71A8F" w:rsidRPr="00D71A8F" w:rsidRDefault="00D71A8F" w:rsidP="00D305C7">
            <w:pPr>
              <w:pStyle w:val="Tabletextboldleft"/>
              <w:spacing w:before="0" w:after="0"/>
              <w:rPr>
                <w:b w:val="0"/>
              </w:rPr>
            </w:pPr>
            <w:r w:rsidRPr="00D71A8F">
              <w:rPr>
                <w:b w:val="0"/>
                <w:szCs w:val="24"/>
                <w:lang w:val="en-GB"/>
              </w:rPr>
              <w:t>$77,276</w:t>
            </w:r>
          </w:p>
        </w:tc>
        <w:tc>
          <w:tcPr>
            <w:tcW w:w="1134" w:type="dxa"/>
          </w:tcPr>
          <w:p w14:paraId="043A76A8" w14:textId="5B489911" w:rsidR="00D71A8F" w:rsidRPr="00D71A8F" w:rsidRDefault="00D71A8F" w:rsidP="00D305C7">
            <w:pPr>
              <w:pStyle w:val="Tabletextboldleft"/>
              <w:spacing w:before="0" w:after="0"/>
              <w:rPr>
                <w:b w:val="0"/>
              </w:rPr>
            </w:pPr>
            <w:r w:rsidRPr="00D71A8F">
              <w:rPr>
                <w:b w:val="0"/>
                <w:szCs w:val="24"/>
                <w:lang w:val="en-GB"/>
              </w:rPr>
              <w:t>$105,130</w:t>
            </w:r>
          </w:p>
        </w:tc>
        <w:tc>
          <w:tcPr>
            <w:tcW w:w="1134" w:type="dxa"/>
          </w:tcPr>
          <w:p w14:paraId="51E6BD9B" w14:textId="0B2510AC" w:rsidR="00D71A8F" w:rsidRPr="00D71A8F" w:rsidRDefault="00D71A8F" w:rsidP="00D305C7">
            <w:pPr>
              <w:pStyle w:val="Tabletextboldleft"/>
              <w:spacing w:before="0" w:after="0"/>
              <w:rPr>
                <w:b w:val="0"/>
              </w:rPr>
            </w:pPr>
            <w:r w:rsidRPr="00D71A8F">
              <w:rPr>
                <w:b w:val="0"/>
                <w:szCs w:val="24"/>
                <w:lang w:val="en-GB"/>
              </w:rPr>
              <w:t>$27,853</w:t>
            </w:r>
          </w:p>
        </w:tc>
        <w:tc>
          <w:tcPr>
            <w:tcW w:w="992" w:type="dxa"/>
          </w:tcPr>
          <w:p w14:paraId="1C04D474" w14:textId="27FD54C0" w:rsidR="00D71A8F" w:rsidRPr="00D71A8F" w:rsidRDefault="00D71A8F" w:rsidP="00D305C7">
            <w:pPr>
              <w:pStyle w:val="Tabletextboldleft"/>
              <w:spacing w:before="0" w:after="0"/>
              <w:rPr>
                <w:b w:val="0"/>
              </w:rPr>
            </w:pPr>
            <w:r w:rsidRPr="00D71A8F">
              <w:rPr>
                <w:b w:val="0"/>
                <w:szCs w:val="24"/>
                <w:lang w:val="en-GB"/>
              </w:rPr>
              <w:t>$63,216</w:t>
            </w:r>
          </w:p>
        </w:tc>
        <w:tc>
          <w:tcPr>
            <w:tcW w:w="1134" w:type="dxa"/>
          </w:tcPr>
          <w:p w14:paraId="00572443" w14:textId="3CA9216B" w:rsidR="00D71A8F" w:rsidRPr="00D71A8F" w:rsidRDefault="00D71A8F" w:rsidP="00D305C7">
            <w:pPr>
              <w:pStyle w:val="Tabletextboldleft"/>
              <w:spacing w:before="0" w:after="0"/>
              <w:rPr>
                <w:b w:val="0"/>
              </w:rPr>
            </w:pPr>
            <w:r w:rsidRPr="00D71A8F">
              <w:rPr>
                <w:b w:val="0"/>
                <w:szCs w:val="24"/>
                <w:lang w:val="en-GB"/>
              </w:rPr>
              <w:t>$119,502</w:t>
            </w:r>
          </w:p>
        </w:tc>
        <w:tc>
          <w:tcPr>
            <w:tcW w:w="1134" w:type="dxa"/>
          </w:tcPr>
          <w:p w14:paraId="2A16C1B5" w14:textId="3F73CD47" w:rsidR="00D71A8F" w:rsidRPr="00D71A8F" w:rsidRDefault="00D71A8F" w:rsidP="00D305C7">
            <w:pPr>
              <w:pStyle w:val="Tabletextboldleft"/>
              <w:spacing w:before="0" w:after="0"/>
              <w:rPr>
                <w:b w:val="0"/>
              </w:rPr>
            </w:pPr>
            <w:r w:rsidRPr="00D71A8F">
              <w:rPr>
                <w:b w:val="0"/>
                <w:szCs w:val="24"/>
                <w:lang w:val="en-GB"/>
              </w:rPr>
              <w:t>$56,286</w:t>
            </w:r>
          </w:p>
        </w:tc>
      </w:tr>
      <w:tr w:rsidR="00D71A8F" w14:paraId="3C4A8A7A" w14:textId="77777777" w:rsidTr="00343924">
        <w:tc>
          <w:tcPr>
            <w:tcW w:w="1759" w:type="dxa"/>
          </w:tcPr>
          <w:p w14:paraId="3D72B6DE" w14:textId="5896FA9A" w:rsidR="00D71A8F" w:rsidRPr="00D71A8F" w:rsidRDefault="00D71A8F" w:rsidP="00D305C7">
            <w:pPr>
              <w:pStyle w:val="Tabletextboldleft"/>
              <w:spacing w:before="0" w:after="0"/>
              <w:rPr>
                <w:b w:val="0"/>
              </w:rPr>
            </w:pPr>
            <w:r w:rsidRPr="00D71A8F">
              <w:rPr>
                <w:b w:val="0"/>
                <w:szCs w:val="24"/>
                <w:lang w:val="en-GB"/>
              </w:rPr>
              <w:t>QALYs</w:t>
            </w:r>
          </w:p>
        </w:tc>
        <w:tc>
          <w:tcPr>
            <w:tcW w:w="1043" w:type="dxa"/>
          </w:tcPr>
          <w:p w14:paraId="74DE2841" w14:textId="3318CFAC" w:rsidR="00D71A8F" w:rsidRPr="00D71A8F" w:rsidRDefault="00D71A8F" w:rsidP="00D305C7">
            <w:pPr>
              <w:pStyle w:val="Tabletextboldleft"/>
              <w:spacing w:before="0" w:after="0"/>
              <w:rPr>
                <w:b w:val="0"/>
              </w:rPr>
            </w:pPr>
            <w:r w:rsidRPr="00D71A8F">
              <w:rPr>
                <w:b w:val="0"/>
                <w:szCs w:val="24"/>
                <w:lang w:val="en-GB"/>
              </w:rPr>
              <w:t>1.01</w:t>
            </w:r>
          </w:p>
        </w:tc>
        <w:tc>
          <w:tcPr>
            <w:tcW w:w="1134" w:type="dxa"/>
          </w:tcPr>
          <w:p w14:paraId="09BB3C01" w14:textId="59E3B846" w:rsidR="00D71A8F" w:rsidRPr="00D71A8F" w:rsidRDefault="00D71A8F" w:rsidP="00D305C7">
            <w:pPr>
              <w:pStyle w:val="Tabletextboldleft"/>
              <w:spacing w:before="0" w:after="0"/>
              <w:rPr>
                <w:b w:val="0"/>
              </w:rPr>
            </w:pPr>
            <w:r w:rsidRPr="00D71A8F">
              <w:rPr>
                <w:b w:val="0"/>
                <w:szCs w:val="24"/>
                <w:lang w:val="en-GB"/>
              </w:rPr>
              <w:t>1.67</w:t>
            </w:r>
          </w:p>
        </w:tc>
        <w:tc>
          <w:tcPr>
            <w:tcW w:w="1134" w:type="dxa"/>
          </w:tcPr>
          <w:p w14:paraId="6EF9A589" w14:textId="10213784" w:rsidR="00D71A8F" w:rsidRPr="00D71A8F" w:rsidRDefault="00D71A8F" w:rsidP="00D305C7">
            <w:pPr>
              <w:pStyle w:val="Tabletextboldleft"/>
              <w:spacing w:before="0" w:after="0"/>
              <w:rPr>
                <w:b w:val="0"/>
              </w:rPr>
            </w:pPr>
            <w:r w:rsidRPr="00D71A8F">
              <w:rPr>
                <w:b w:val="0"/>
                <w:szCs w:val="24"/>
                <w:lang w:val="en-GB"/>
              </w:rPr>
              <w:t>0.66</w:t>
            </w:r>
          </w:p>
        </w:tc>
        <w:tc>
          <w:tcPr>
            <w:tcW w:w="992" w:type="dxa"/>
          </w:tcPr>
          <w:p w14:paraId="7A507B4B" w14:textId="655B6D83" w:rsidR="00D71A8F" w:rsidRPr="00D71A8F" w:rsidRDefault="00D71A8F" w:rsidP="00D305C7">
            <w:pPr>
              <w:pStyle w:val="Tabletextboldleft"/>
              <w:spacing w:before="0" w:after="0"/>
              <w:rPr>
                <w:b w:val="0"/>
              </w:rPr>
            </w:pPr>
            <w:r w:rsidRPr="00D71A8F">
              <w:rPr>
                <w:b w:val="0"/>
                <w:szCs w:val="24"/>
                <w:lang w:val="en-GB"/>
              </w:rPr>
              <w:t>0.75</w:t>
            </w:r>
          </w:p>
        </w:tc>
        <w:tc>
          <w:tcPr>
            <w:tcW w:w="1134" w:type="dxa"/>
          </w:tcPr>
          <w:p w14:paraId="7C96D644" w14:textId="7F851B05" w:rsidR="00D71A8F" w:rsidRPr="00D71A8F" w:rsidRDefault="00D71A8F" w:rsidP="00D305C7">
            <w:pPr>
              <w:pStyle w:val="Tabletextboldleft"/>
              <w:spacing w:before="0" w:after="0"/>
              <w:rPr>
                <w:b w:val="0"/>
              </w:rPr>
            </w:pPr>
            <w:r w:rsidRPr="00D71A8F">
              <w:rPr>
                <w:b w:val="0"/>
                <w:szCs w:val="24"/>
                <w:lang w:val="en-GB"/>
              </w:rPr>
              <w:t>1.68</w:t>
            </w:r>
          </w:p>
        </w:tc>
        <w:tc>
          <w:tcPr>
            <w:tcW w:w="1134" w:type="dxa"/>
          </w:tcPr>
          <w:p w14:paraId="41A6EFCE" w14:textId="306A8641" w:rsidR="00D71A8F" w:rsidRPr="00D71A8F" w:rsidRDefault="00D71A8F" w:rsidP="00D305C7">
            <w:pPr>
              <w:pStyle w:val="Tabletextboldleft"/>
              <w:spacing w:before="0" w:after="0"/>
              <w:rPr>
                <w:b w:val="0"/>
              </w:rPr>
            </w:pPr>
            <w:r w:rsidRPr="00D71A8F">
              <w:rPr>
                <w:b w:val="0"/>
                <w:szCs w:val="24"/>
                <w:lang w:val="en-GB"/>
              </w:rPr>
              <w:t>0.93</w:t>
            </w:r>
          </w:p>
        </w:tc>
      </w:tr>
      <w:tr w:rsidR="00D71A8F" w14:paraId="17AA0B3E" w14:textId="77777777" w:rsidTr="00343924">
        <w:tc>
          <w:tcPr>
            <w:tcW w:w="1759" w:type="dxa"/>
          </w:tcPr>
          <w:p w14:paraId="12AF3F98" w14:textId="7FC91AC1" w:rsidR="00D71A8F" w:rsidRPr="00D71A8F" w:rsidRDefault="00D71A8F" w:rsidP="00D305C7">
            <w:pPr>
              <w:pStyle w:val="Tabletextboldleft"/>
              <w:spacing w:before="0" w:after="0"/>
              <w:rPr>
                <w:b w:val="0"/>
              </w:rPr>
            </w:pPr>
            <w:r w:rsidRPr="00D71A8F">
              <w:rPr>
                <w:b w:val="0"/>
                <w:szCs w:val="24"/>
                <w:lang w:val="en-GB"/>
              </w:rPr>
              <w:t>ICER</w:t>
            </w:r>
          </w:p>
        </w:tc>
        <w:tc>
          <w:tcPr>
            <w:tcW w:w="1043" w:type="dxa"/>
          </w:tcPr>
          <w:p w14:paraId="68275274" w14:textId="77777777" w:rsidR="00D71A8F" w:rsidRPr="00D71A8F" w:rsidRDefault="00D71A8F" w:rsidP="00D305C7">
            <w:pPr>
              <w:pStyle w:val="Tabletextboldleft"/>
              <w:spacing w:before="0" w:after="0"/>
              <w:rPr>
                <w:b w:val="0"/>
              </w:rPr>
            </w:pPr>
          </w:p>
        </w:tc>
        <w:tc>
          <w:tcPr>
            <w:tcW w:w="1134" w:type="dxa"/>
          </w:tcPr>
          <w:p w14:paraId="47931ABC" w14:textId="77777777" w:rsidR="00D71A8F" w:rsidRPr="00D71A8F" w:rsidRDefault="00D71A8F" w:rsidP="00D305C7">
            <w:pPr>
              <w:pStyle w:val="Tabletextboldleft"/>
              <w:spacing w:before="0" w:after="0"/>
              <w:rPr>
                <w:b w:val="0"/>
              </w:rPr>
            </w:pPr>
          </w:p>
        </w:tc>
        <w:tc>
          <w:tcPr>
            <w:tcW w:w="1134" w:type="dxa"/>
          </w:tcPr>
          <w:p w14:paraId="71757C08" w14:textId="52967BCB" w:rsidR="00D71A8F" w:rsidRPr="00D71A8F" w:rsidRDefault="00D71A8F" w:rsidP="00D305C7">
            <w:pPr>
              <w:pStyle w:val="Tabletextboldleft"/>
              <w:spacing w:before="0" w:after="0"/>
              <w:rPr>
                <w:b w:val="0"/>
              </w:rPr>
            </w:pPr>
            <w:r w:rsidRPr="00D71A8F">
              <w:rPr>
                <w:b w:val="0"/>
                <w:szCs w:val="24"/>
                <w:lang w:val="en-GB"/>
              </w:rPr>
              <w:t>$42,179</w:t>
            </w:r>
          </w:p>
        </w:tc>
        <w:tc>
          <w:tcPr>
            <w:tcW w:w="992" w:type="dxa"/>
          </w:tcPr>
          <w:p w14:paraId="432421A9" w14:textId="0996C6A1" w:rsidR="00D71A8F" w:rsidRPr="00D71A8F" w:rsidRDefault="00D71A8F" w:rsidP="00D305C7">
            <w:pPr>
              <w:pStyle w:val="Tabletextboldleft"/>
              <w:spacing w:before="0" w:after="0"/>
              <w:rPr>
                <w:b w:val="0"/>
              </w:rPr>
            </w:pPr>
          </w:p>
        </w:tc>
        <w:tc>
          <w:tcPr>
            <w:tcW w:w="1134" w:type="dxa"/>
          </w:tcPr>
          <w:p w14:paraId="5C2C39D1" w14:textId="77777777" w:rsidR="00D71A8F" w:rsidRPr="00D71A8F" w:rsidRDefault="00D71A8F" w:rsidP="00D305C7">
            <w:pPr>
              <w:pStyle w:val="Tabletextboldleft"/>
              <w:spacing w:before="0" w:after="0"/>
              <w:rPr>
                <w:b w:val="0"/>
              </w:rPr>
            </w:pPr>
          </w:p>
        </w:tc>
        <w:tc>
          <w:tcPr>
            <w:tcW w:w="1134" w:type="dxa"/>
          </w:tcPr>
          <w:p w14:paraId="27B2F692" w14:textId="784EC2C9" w:rsidR="00D71A8F" w:rsidRPr="00D71A8F" w:rsidRDefault="00D71A8F" w:rsidP="00D305C7">
            <w:pPr>
              <w:pStyle w:val="Tabletextboldleft"/>
              <w:spacing w:before="0" w:after="0"/>
              <w:rPr>
                <w:b w:val="0"/>
              </w:rPr>
            </w:pPr>
            <w:r w:rsidRPr="00D71A8F">
              <w:rPr>
                <w:b w:val="0"/>
                <w:szCs w:val="24"/>
                <w:lang w:val="en-GB"/>
              </w:rPr>
              <w:t>$60,584</w:t>
            </w:r>
          </w:p>
        </w:tc>
      </w:tr>
    </w:tbl>
    <w:p w14:paraId="7EE8BE33" w14:textId="77777777" w:rsidR="00F9695B" w:rsidRPr="008B63C2" w:rsidRDefault="00F9695B" w:rsidP="00F9695B">
      <w:pPr>
        <w:keepNext/>
        <w:keepLines/>
        <w:jc w:val="both"/>
        <w:rPr>
          <w:sz w:val="18"/>
          <w:szCs w:val="18"/>
          <w:lang w:eastAsia="en-US"/>
        </w:rPr>
      </w:pPr>
      <w:r w:rsidRPr="008B63C2">
        <w:rPr>
          <w:sz w:val="18"/>
          <w:szCs w:val="18"/>
          <w:lang w:eastAsia="en-US"/>
        </w:rPr>
        <w:t>Source: Ta</w:t>
      </w:r>
      <w:r w:rsidR="00AF535C">
        <w:rPr>
          <w:sz w:val="18"/>
          <w:szCs w:val="18"/>
          <w:lang w:eastAsia="en-US"/>
        </w:rPr>
        <w:t xml:space="preserve">ble 63, p127 of the </w:t>
      </w:r>
      <w:r w:rsidR="007C32E5">
        <w:rPr>
          <w:sz w:val="18"/>
          <w:szCs w:val="18"/>
          <w:lang w:eastAsia="en-US"/>
        </w:rPr>
        <w:t>submission-based assessment</w:t>
      </w:r>
    </w:p>
    <w:p w14:paraId="41D5B24C" w14:textId="77777777" w:rsidR="00F9695B" w:rsidRPr="008B63C2" w:rsidRDefault="00F9695B" w:rsidP="00F9695B">
      <w:pPr>
        <w:keepNext/>
        <w:keepLines/>
        <w:jc w:val="both"/>
        <w:rPr>
          <w:sz w:val="18"/>
          <w:szCs w:val="18"/>
          <w:lang w:eastAsia="en-US"/>
        </w:rPr>
      </w:pPr>
      <w:r w:rsidRPr="008B63C2">
        <w:rPr>
          <w:sz w:val="18"/>
          <w:szCs w:val="18"/>
          <w:lang w:eastAsia="en-US"/>
        </w:rPr>
        <w:t xml:space="preserve">BAV = balloon </w:t>
      </w:r>
      <w:proofErr w:type="spellStart"/>
      <w:r w:rsidRPr="008B63C2">
        <w:rPr>
          <w:sz w:val="18"/>
          <w:szCs w:val="18"/>
          <w:lang w:eastAsia="en-US"/>
        </w:rPr>
        <w:t>valvuloplasty</w:t>
      </w:r>
      <w:proofErr w:type="spellEnd"/>
      <w:r w:rsidRPr="008B63C2">
        <w:rPr>
          <w:sz w:val="18"/>
          <w:szCs w:val="18"/>
          <w:lang w:eastAsia="en-US"/>
        </w:rPr>
        <w:t>; ICER = incremental cost effectiveness ratio; MM = medical management; QA</w:t>
      </w:r>
      <w:r w:rsidR="004746B0">
        <w:rPr>
          <w:sz w:val="18"/>
          <w:szCs w:val="18"/>
          <w:lang w:eastAsia="en-US"/>
        </w:rPr>
        <w:t>LY = quality-</w:t>
      </w:r>
      <w:r w:rsidRPr="008B63C2">
        <w:rPr>
          <w:sz w:val="18"/>
          <w:szCs w:val="18"/>
          <w:lang w:eastAsia="en-US"/>
        </w:rPr>
        <w:t>adjusted life year; SAVR = surgical aortic valve replacement; TAVI = transcatheter aortic valve implantation; TA = transapical; TF = transfemoral</w:t>
      </w:r>
    </w:p>
    <w:p w14:paraId="3E25EC8B" w14:textId="77777777" w:rsidR="00F9695B" w:rsidRPr="008B63C2" w:rsidRDefault="00F9695B" w:rsidP="00F9695B"/>
    <w:p w14:paraId="4FF06FA8" w14:textId="77777777" w:rsidR="00F9695B" w:rsidRDefault="00F9695B" w:rsidP="00F9695B">
      <w:r w:rsidRPr="008B63C2">
        <w:t xml:space="preserve">The </w:t>
      </w:r>
      <w:r w:rsidR="007C32E5">
        <w:t>SBA</w:t>
      </w:r>
      <w:r w:rsidR="006A7F8A">
        <w:t xml:space="preserve"> claimed</w:t>
      </w:r>
      <w:r w:rsidRPr="008B63C2">
        <w:t xml:space="preserve"> that</w:t>
      </w:r>
      <w:r w:rsidR="006A7F8A">
        <w:t>,</w:t>
      </w:r>
      <w:r w:rsidRPr="008B63C2">
        <w:t xml:space="preserve"> for high-risk patients</w:t>
      </w:r>
      <w:r w:rsidR="006A7F8A">
        <w:t>,</w:t>
      </w:r>
      <w:r w:rsidRPr="008B63C2">
        <w:t xml:space="preserve"> both transfemoral and </w:t>
      </w:r>
      <w:r w:rsidR="00AF535C">
        <w:t xml:space="preserve">transapical </w:t>
      </w:r>
      <w:r w:rsidRPr="008B63C2">
        <w:t>TAVI</w:t>
      </w:r>
      <w:r w:rsidR="00AF535C">
        <w:t xml:space="preserve"> are dominant strategies </w:t>
      </w:r>
      <w:r w:rsidR="00AF535C" w:rsidRPr="008B63C2">
        <w:t xml:space="preserve">compared to </w:t>
      </w:r>
      <w:proofErr w:type="gramStart"/>
      <w:r w:rsidR="00AF535C" w:rsidRPr="008B63C2">
        <w:t>SAVR</w:t>
      </w:r>
      <w:r w:rsidRPr="008B63C2">
        <w:t>, that</w:t>
      </w:r>
      <w:proofErr w:type="gramEnd"/>
      <w:r w:rsidRPr="008B63C2">
        <w:t xml:space="preserve"> is, improved health outcomes and </w:t>
      </w:r>
      <w:r w:rsidR="00AF535C">
        <w:t xml:space="preserve">saved </w:t>
      </w:r>
      <w:r w:rsidRPr="008B63C2">
        <w:t>cost</w:t>
      </w:r>
      <w:r w:rsidR="00AF535C">
        <w:t>s</w:t>
      </w:r>
      <w:r w:rsidRPr="008B63C2">
        <w:t xml:space="preserve">. For inoperable patients, both transfemoral and TAVI-TA procedures </w:t>
      </w:r>
      <w:r w:rsidR="00AF535C">
        <w:t xml:space="preserve">were claimed to be cost </w:t>
      </w:r>
      <w:r w:rsidR="00AF535C">
        <w:lastRenderedPageBreak/>
        <w:t>effective, that is, t</w:t>
      </w:r>
      <w:r w:rsidRPr="008B63C2">
        <w:t>ransfemoral TAVI ha</w:t>
      </w:r>
      <w:r w:rsidR="00AF535C">
        <w:t>d</w:t>
      </w:r>
      <w:r w:rsidRPr="008B63C2">
        <w:t xml:space="preserve"> an ICER of $42,179 </w:t>
      </w:r>
      <w:r w:rsidR="00AF535C">
        <w:t>and transapical TAVI had an ICER of $60,584.</w:t>
      </w:r>
    </w:p>
    <w:p w14:paraId="55F84DBB" w14:textId="77777777" w:rsidR="00AF535C" w:rsidRPr="008B63C2" w:rsidRDefault="00AF535C" w:rsidP="00F9695B"/>
    <w:p w14:paraId="31CAE6A3" w14:textId="77777777" w:rsidR="00F9695B" w:rsidRDefault="00F9695B" w:rsidP="00F9695B">
      <w:r w:rsidRPr="008B63C2">
        <w:t xml:space="preserve">The </w:t>
      </w:r>
      <w:r w:rsidR="007C32E5">
        <w:t>SBA</w:t>
      </w:r>
      <w:r w:rsidRPr="008B63C2">
        <w:t xml:space="preserve"> presented the final ICER for each procedural approach as the weighted average across the population cohorts (high-risk and inoperable), see table below. The proportional split between high risk and inoperable patients </w:t>
      </w:r>
      <w:r w:rsidR="00AF535C">
        <w:t>wa</w:t>
      </w:r>
      <w:r w:rsidRPr="008B63C2">
        <w:t>s expected to be 20:80 (i.e. 20% high risk and 80% inoperable).</w:t>
      </w:r>
    </w:p>
    <w:p w14:paraId="7ABF741B" w14:textId="77777777" w:rsidR="00F9695B" w:rsidRDefault="00F9695B" w:rsidP="00F26C06">
      <w:pPr>
        <w:pStyle w:val="Tabletextboldleft"/>
        <w:rPr>
          <w:lang w:val="en-GB"/>
        </w:rPr>
      </w:pPr>
      <w:bookmarkStart w:id="3" w:name="_Toc400451208"/>
      <w:r w:rsidRPr="008B63C2">
        <w:rPr>
          <w:lang w:val="en-GB"/>
        </w:rPr>
        <w:t>Weighted average ICER for TAVI by procedur</w:t>
      </w:r>
      <w:r w:rsidR="00AF535C">
        <w:rPr>
          <w:lang w:val="en-GB"/>
        </w:rPr>
        <w:t>al</w:t>
      </w:r>
      <w:r w:rsidRPr="008B63C2">
        <w:rPr>
          <w:lang w:val="en-GB"/>
        </w:rPr>
        <w:t xml:space="preserve"> approach</w:t>
      </w:r>
      <w:bookmarkEnd w:id="3"/>
    </w:p>
    <w:tbl>
      <w:tblPr>
        <w:tblStyle w:val="TableGrid"/>
        <w:tblW w:w="0" w:type="auto"/>
        <w:tblLook w:val="04A0" w:firstRow="1" w:lastRow="0" w:firstColumn="1" w:lastColumn="0" w:noHBand="0" w:noVBand="1"/>
        <w:tblCaption w:val="Weighted average ICER for TAVI by procedural approach"/>
        <w:tblDescription w:val="Weighted average ICER for TAVI by procedural approach"/>
      </w:tblPr>
      <w:tblGrid>
        <w:gridCol w:w="914"/>
        <w:gridCol w:w="922"/>
        <w:gridCol w:w="921"/>
        <w:gridCol w:w="922"/>
        <w:gridCol w:w="963"/>
        <w:gridCol w:w="921"/>
        <w:gridCol w:w="917"/>
        <w:gridCol w:w="922"/>
        <w:gridCol w:w="921"/>
        <w:gridCol w:w="919"/>
      </w:tblGrid>
      <w:tr w:rsidR="004E1046" w14:paraId="315A863D" w14:textId="77777777" w:rsidTr="00FA7E22">
        <w:trPr>
          <w:tblHeader/>
        </w:trPr>
        <w:tc>
          <w:tcPr>
            <w:tcW w:w="924" w:type="dxa"/>
          </w:tcPr>
          <w:p w14:paraId="3FA88861" w14:textId="77777777" w:rsidR="004E1046" w:rsidRDefault="004E1046" w:rsidP="00F26C06">
            <w:pPr>
              <w:pStyle w:val="Tabletextboldleft"/>
              <w:rPr>
                <w:lang w:val="en-GB"/>
              </w:rPr>
            </w:pPr>
          </w:p>
        </w:tc>
        <w:tc>
          <w:tcPr>
            <w:tcW w:w="924" w:type="dxa"/>
            <w:tcBorders>
              <w:right w:val="nil"/>
            </w:tcBorders>
          </w:tcPr>
          <w:p w14:paraId="3F84C4C9" w14:textId="6B1E0D9E" w:rsidR="004E1046" w:rsidRDefault="004E1046" w:rsidP="004E1046">
            <w:pPr>
              <w:pStyle w:val="Tabletextboldleft"/>
              <w:rPr>
                <w:lang w:val="en-GB"/>
              </w:rPr>
            </w:pPr>
            <w:r>
              <w:rPr>
                <w:sz w:val="18"/>
                <w:szCs w:val="18"/>
              </w:rPr>
              <w:t>High</w:t>
            </w:r>
          </w:p>
        </w:tc>
        <w:tc>
          <w:tcPr>
            <w:tcW w:w="924" w:type="dxa"/>
            <w:tcBorders>
              <w:left w:val="nil"/>
              <w:right w:val="nil"/>
            </w:tcBorders>
          </w:tcPr>
          <w:p w14:paraId="637E31CD" w14:textId="0B664CF3" w:rsidR="004E1046" w:rsidRDefault="004E1046" w:rsidP="00F26C06">
            <w:pPr>
              <w:pStyle w:val="Tabletextboldleft"/>
              <w:rPr>
                <w:lang w:val="en-GB"/>
              </w:rPr>
            </w:pPr>
            <w:r>
              <w:rPr>
                <w:sz w:val="18"/>
                <w:szCs w:val="18"/>
              </w:rPr>
              <w:t>R</w:t>
            </w:r>
            <w:r w:rsidRPr="008B63C2">
              <w:rPr>
                <w:sz w:val="18"/>
                <w:szCs w:val="18"/>
              </w:rPr>
              <w:t>isk</w:t>
            </w:r>
          </w:p>
        </w:tc>
        <w:tc>
          <w:tcPr>
            <w:tcW w:w="924" w:type="dxa"/>
            <w:tcBorders>
              <w:left w:val="nil"/>
            </w:tcBorders>
          </w:tcPr>
          <w:p w14:paraId="7B497D0E" w14:textId="7E40B432" w:rsidR="004E1046" w:rsidRDefault="004E1046" w:rsidP="00F26C06">
            <w:pPr>
              <w:pStyle w:val="Tabletextboldleft"/>
              <w:rPr>
                <w:lang w:val="en-GB"/>
              </w:rPr>
            </w:pPr>
            <w:r w:rsidRPr="008B63C2">
              <w:rPr>
                <w:sz w:val="18"/>
                <w:szCs w:val="18"/>
              </w:rPr>
              <w:t xml:space="preserve"> (20%)</w:t>
            </w:r>
          </w:p>
        </w:tc>
        <w:tc>
          <w:tcPr>
            <w:tcW w:w="924" w:type="dxa"/>
            <w:tcBorders>
              <w:right w:val="nil"/>
            </w:tcBorders>
          </w:tcPr>
          <w:p w14:paraId="4D4F7E64" w14:textId="6F2BEEA9" w:rsidR="004E1046" w:rsidRDefault="004E1046" w:rsidP="00F26C06">
            <w:pPr>
              <w:pStyle w:val="Tabletextboldleft"/>
              <w:rPr>
                <w:lang w:val="en-GB"/>
              </w:rPr>
            </w:pPr>
            <w:r w:rsidRPr="008B63C2">
              <w:rPr>
                <w:sz w:val="18"/>
                <w:szCs w:val="18"/>
              </w:rPr>
              <w:t>Inoperable</w:t>
            </w:r>
          </w:p>
        </w:tc>
        <w:tc>
          <w:tcPr>
            <w:tcW w:w="924" w:type="dxa"/>
            <w:tcBorders>
              <w:left w:val="nil"/>
              <w:right w:val="nil"/>
            </w:tcBorders>
          </w:tcPr>
          <w:p w14:paraId="7DB0A95A" w14:textId="77777777" w:rsidR="004E1046" w:rsidRDefault="004E1046" w:rsidP="00F26C06">
            <w:pPr>
              <w:pStyle w:val="Tabletextboldleft"/>
              <w:rPr>
                <w:lang w:val="en-GB"/>
              </w:rPr>
            </w:pPr>
          </w:p>
        </w:tc>
        <w:tc>
          <w:tcPr>
            <w:tcW w:w="924" w:type="dxa"/>
            <w:tcBorders>
              <w:left w:val="nil"/>
            </w:tcBorders>
          </w:tcPr>
          <w:p w14:paraId="7D5DD887" w14:textId="2BFEF5E4" w:rsidR="004E1046" w:rsidRDefault="004E1046" w:rsidP="00F26C06">
            <w:pPr>
              <w:pStyle w:val="Tabletextboldleft"/>
              <w:rPr>
                <w:lang w:val="en-GB"/>
              </w:rPr>
            </w:pPr>
            <w:r w:rsidRPr="008B63C2">
              <w:rPr>
                <w:sz w:val="18"/>
                <w:szCs w:val="18"/>
              </w:rPr>
              <w:t>(80%)</w:t>
            </w:r>
          </w:p>
        </w:tc>
        <w:tc>
          <w:tcPr>
            <w:tcW w:w="924" w:type="dxa"/>
            <w:tcBorders>
              <w:right w:val="nil"/>
            </w:tcBorders>
          </w:tcPr>
          <w:p w14:paraId="1448B665" w14:textId="27D0DFEA" w:rsidR="004E1046" w:rsidRDefault="004E1046" w:rsidP="004E1046">
            <w:pPr>
              <w:pStyle w:val="Tabletextboldleft"/>
              <w:rPr>
                <w:lang w:val="en-GB"/>
              </w:rPr>
            </w:pPr>
            <w:r>
              <w:rPr>
                <w:sz w:val="18"/>
                <w:szCs w:val="18"/>
              </w:rPr>
              <w:t xml:space="preserve">Weighted </w:t>
            </w:r>
          </w:p>
        </w:tc>
        <w:tc>
          <w:tcPr>
            <w:tcW w:w="925" w:type="dxa"/>
            <w:tcBorders>
              <w:left w:val="nil"/>
              <w:right w:val="nil"/>
            </w:tcBorders>
          </w:tcPr>
          <w:p w14:paraId="448A0434" w14:textId="77777777" w:rsidR="004E1046" w:rsidRDefault="004E1046" w:rsidP="00F26C06">
            <w:pPr>
              <w:pStyle w:val="Tabletextboldleft"/>
              <w:rPr>
                <w:lang w:val="en-GB"/>
              </w:rPr>
            </w:pPr>
          </w:p>
        </w:tc>
        <w:tc>
          <w:tcPr>
            <w:tcW w:w="925" w:type="dxa"/>
            <w:tcBorders>
              <w:left w:val="nil"/>
            </w:tcBorders>
          </w:tcPr>
          <w:p w14:paraId="7DD00B9D" w14:textId="132ADC3E" w:rsidR="004E1046" w:rsidRDefault="004E1046" w:rsidP="00F26C06">
            <w:pPr>
              <w:pStyle w:val="Tabletextboldleft"/>
              <w:rPr>
                <w:lang w:val="en-GB"/>
              </w:rPr>
            </w:pPr>
            <w:r>
              <w:rPr>
                <w:sz w:val="18"/>
                <w:szCs w:val="18"/>
              </w:rPr>
              <w:t>a</w:t>
            </w:r>
            <w:r w:rsidRPr="008B63C2">
              <w:rPr>
                <w:sz w:val="18"/>
                <w:szCs w:val="18"/>
              </w:rPr>
              <w:t>verage</w:t>
            </w:r>
          </w:p>
        </w:tc>
      </w:tr>
      <w:tr w:rsidR="004E1046" w14:paraId="45268D14" w14:textId="77777777" w:rsidTr="00FA7E22">
        <w:trPr>
          <w:tblHeader/>
        </w:trPr>
        <w:tc>
          <w:tcPr>
            <w:tcW w:w="924" w:type="dxa"/>
          </w:tcPr>
          <w:p w14:paraId="78DCA3E7" w14:textId="371A7BCA" w:rsidR="004E1046" w:rsidRDefault="004E1046" w:rsidP="00F26C06">
            <w:pPr>
              <w:pStyle w:val="Tabletextboldleft"/>
              <w:rPr>
                <w:lang w:val="en-GB"/>
              </w:rPr>
            </w:pPr>
            <w:r w:rsidRPr="008B63C2">
              <w:rPr>
                <w:sz w:val="18"/>
                <w:szCs w:val="18"/>
              </w:rPr>
              <w:t>TF</w:t>
            </w:r>
          </w:p>
        </w:tc>
        <w:tc>
          <w:tcPr>
            <w:tcW w:w="924" w:type="dxa"/>
          </w:tcPr>
          <w:p w14:paraId="4388DBA4" w14:textId="0E0BC4C9" w:rsidR="004E1046" w:rsidRDefault="004E1046" w:rsidP="00F26C06">
            <w:pPr>
              <w:pStyle w:val="Tabletextboldleft"/>
              <w:rPr>
                <w:lang w:val="en-GB"/>
              </w:rPr>
            </w:pPr>
            <w:r w:rsidRPr="008B63C2">
              <w:rPr>
                <w:sz w:val="18"/>
                <w:szCs w:val="18"/>
              </w:rPr>
              <w:t>SAVR</w:t>
            </w:r>
          </w:p>
        </w:tc>
        <w:tc>
          <w:tcPr>
            <w:tcW w:w="924" w:type="dxa"/>
          </w:tcPr>
          <w:p w14:paraId="745EECAE" w14:textId="748902AC" w:rsidR="004E1046" w:rsidRDefault="004E1046" w:rsidP="00F26C06">
            <w:pPr>
              <w:pStyle w:val="Tabletextboldleft"/>
              <w:rPr>
                <w:lang w:val="en-GB"/>
              </w:rPr>
            </w:pPr>
            <w:r w:rsidRPr="008B63C2">
              <w:rPr>
                <w:sz w:val="18"/>
                <w:szCs w:val="18"/>
              </w:rPr>
              <w:t>TAVI</w:t>
            </w:r>
          </w:p>
        </w:tc>
        <w:tc>
          <w:tcPr>
            <w:tcW w:w="924" w:type="dxa"/>
          </w:tcPr>
          <w:p w14:paraId="78AAC1B3" w14:textId="47386E67" w:rsidR="004E1046" w:rsidRDefault="004E1046" w:rsidP="00F26C06">
            <w:pPr>
              <w:pStyle w:val="Tabletextboldleft"/>
              <w:rPr>
                <w:lang w:val="en-GB"/>
              </w:rPr>
            </w:pPr>
            <w:r w:rsidRPr="008B63C2">
              <w:rPr>
                <w:sz w:val="18"/>
                <w:szCs w:val="18"/>
              </w:rPr>
              <w:t>Δ</w:t>
            </w:r>
          </w:p>
        </w:tc>
        <w:tc>
          <w:tcPr>
            <w:tcW w:w="924" w:type="dxa"/>
          </w:tcPr>
          <w:p w14:paraId="49D5DED9" w14:textId="5AF0513D" w:rsidR="004E1046" w:rsidRDefault="004E1046" w:rsidP="00F26C06">
            <w:pPr>
              <w:pStyle w:val="Tabletextboldleft"/>
              <w:rPr>
                <w:lang w:val="en-GB"/>
              </w:rPr>
            </w:pPr>
            <w:r w:rsidRPr="008B63C2">
              <w:rPr>
                <w:sz w:val="18"/>
                <w:szCs w:val="18"/>
              </w:rPr>
              <w:t>MM</w:t>
            </w:r>
          </w:p>
        </w:tc>
        <w:tc>
          <w:tcPr>
            <w:tcW w:w="924" w:type="dxa"/>
          </w:tcPr>
          <w:p w14:paraId="2CD2F72F" w14:textId="5069799C" w:rsidR="004E1046" w:rsidRDefault="004E1046" w:rsidP="00F26C06">
            <w:pPr>
              <w:pStyle w:val="Tabletextboldleft"/>
              <w:rPr>
                <w:lang w:val="en-GB"/>
              </w:rPr>
            </w:pPr>
            <w:r w:rsidRPr="008B63C2">
              <w:rPr>
                <w:sz w:val="18"/>
                <w:szCs w:val="18"/>
              </w:rPr>
              <w:t>TAVI</w:t>
            </w:r>
          </w:p>
        </w:tc>
        <w:tc>
          <w:tcPr>
            <w:tcW w:w="924" w:type="dxa"/>
          </w:tcPr>
          <w:p w14:paraId="3461A370" w14:textId="796B3773" w:rsidR="004E1046" w:rsidRDefault="004E1046" w:rsidP="00F26C06">
            <w:pPr>
              <w:pStyle w:val="Tabletextboldleft"/>
              <w:rPr>
                <w:lang w:val="en-GB"/>
              </w:rPr>
            </w:pPr>
            <w:r w:rsidRPr="008B63C2">
              <w:rPr>
                <w:sz w:val="18"/>
                <w:szCs w:val="18"/>
              </w:rPr>
              <w:t>Δ</w:t>
            </w:r>
          </w:p>
        </w:tc>
        <w:tc>
          <w:tcPr>
            <w:tcW w:w="924" w:type="dxa"/>
          </w:tcPr>
          <w:p w14:paraId="20C7BF9B" w14:textId="213B388E" w:rsidR="004E1046" w:rsidRDefault="004E1046" w:rsidP="00F26C06">
            <w:pPr>
              <w:pStyle w:val="Tabletextboldleft"/>
              <w:rPr>
                <w:lang w:val="en-GB"/>
              </w:rPr>
            </w:pPr>
            <w:r w:rsidRPr="008B63C2">
              <w:rPr>
                <w:sz w:val="18"/>
                <w:szCs w:val="18"/>
              </w:rPr>
              <w:t>SAVR / MM</w:t>
            </w:r>
          </w:p>
        </w:tc>
        <w:tc>
          <w:tcPr>
            <w:tcW w:w="925" w:type="dxa"/>
          </w:tcPr>
          <w:p w14:paraId="2A0E4E77" w14:textId="77F56A23" w:rsidR="004E1046" w:rsidRDefault="004E1046" w:rsidP="00F26C06">
            <w:pPr>
              <w:pStyle w:val="Tabletextboldleft"/>
              <w:rPr>
                <w:lang w:val="en-GB"/>
              </w:rPr>
            </w:pPr>
            <w:r w:rsidRPr="008B63C2">
              <w:rPr>
                <w:sz w:val="18"/>
                <w:szCs w:val="18"/>
              </w:rPr>
              <w:t>TAVI</w:t>
            </w:r>
          </w:p>
        </w:tc>
        <w:tc>
          <w:tcPr>
            <w:tcW w:w="925" w:type="dxa"/>
          </w:tcPr>
          <w:p w14:paraId="01E4E4B4" w14:textId="1CF5B6A8" w:rsidR="004E1046" w:rsidRDefault="004E1046" w:rsidP="00F26C06">
            <w:pPr>
              <w:pStyle w:val="Tabletextboldleft"/>
              <w:rPr>
                <w:lang w:val="en-GB"/>
              </w:rPr>
            </w:pPr>
            <w:r w:rsidRPr="008B63C2">
              <w:rPr>
                <w:sz w:val="18"/>
                <w:szCs w:val="18"/>
              </w:rPr>
              <w:t>Δ</w:t>
            </w:r>
          </w:p>
        </w:tc>
      </w:tr>
      <w:tr w:rsidR="004E1046" w14:paraId="7F0EAC95" w14:textId="77777777" w:rsidTr="00FA7E22">
        <w:trPr>
          <w:tblHeader/>
        </w:trPr>
        <w:tc>
          <w:tcPr>
            <w:tcW w:w="924" w:type="dxa"/>
          </w:tcPr>
          <w:p w14:paraId="72FF213D" w14:textId="196CFAC3" w:rsidR="004E1046" w:rsidRDefault="004E1046" w:rsidP="00F26C06">
            <w:pPr>
              <w:pStyle w:val="Tabletextboldleft"/>
              <w:rPr>
                <w:lang w:val="en-GB"/>
              </w:rPr>
            </w:pPr>
            <w:r w:rsidRPr="008B63C2">
              <w:rPr>
                <w:sz w:val="18"/>
                <w:szCs w:val="18"/>
              </w:rPr>
              <w:t>Cost</w:t>
            </w:r>
          </w:p>
        </w:tc>
        <w:tc>
          <w:tcPr>
            <w:tcW w:w="924" w:type="dxa"/>
          </w:tcPr>
          <w:p w14:paraId="40AB245C" w14:textId="04DCD95E" w:rsidR="004E1046" w:rsidRDefault="004E1046" w:rsidP="00F26C06">
            <w:pPr>
              <w:pStyle w:val="Tabletextboldleft"/>
              <w:rPr>
                <w:lang w:val="en-GB"/>
              </w:rPr>
            </w:pPr>
            <w:r w:rsidRPr="008B63C2">
              <w:rPr>
                <w:sz w:val="18"/>
                <w:szCs w:val="18"/>
              </w:rPr>
              <w:t>$128,475</w:t>
            </w:r>
          </w:p>
        </w:tc>
        <w:tc>
          <w:tcPr>
            <w:tcW w:w="924" w:type="dxa"/>
          </w:tcPr>
          <w:p w14:paraId="009EB95D" w14:textId="278BAC6A" w:rsidR="004E1046" w:rsidRDefault="004E1046" w:rsidP="00F26C06">
            <w:pPr>
              <w:pStyle w:val="Tabletextboldleft"/>
              <w:rPr>
                <w:lang w:val="en-GB"/>
              </w:rPr>
            </w:pPr>
            <w:r w:rsidRPr="008B63C2">
              <w:rPr>
                <w:sz w:val="18"/>
                <w:szCs w:val="18"/>
              </w:rPr>
              <w:t>$101,453</w:t>
            </w:r>
          </w:p>
        </w:tc>
        <w:tc>
          <w:tcPr>
            <w:tcW w:w="924" w:type="dxa"/>
          </w:tcPr>
          <w:p w14:paraId="6439D364" w14:textId="34621A00" w:rsidR="004E1046" w:rsidRDefault="004E1046" w:rsidP="00F26C06">
            <w:pPr>
              <w:pStyle w:val="Tabletextboldleft"/>
              <w:rPr>
                <w:lang w:val="en-GB"/>
              </w:rPr>
            </w:pPr>
            <w:r w:rsidRPr="008B63C2">
              <w:rPr>
                <w:sz w:val="18"/>
                <w:szCs w:val="18"/>
              </w:rPr>
              <w:t>($27,104)</w:t>
            </w:r>
          </w:p>
        </w:tc>
        <w:tc>
          <w:tcPr>
            <w:tcW w:w="924" w:type="dxa"/>
          </w:tcPr>
          <w:p w14:paraId="196F7C6C" w14:textId="328C5462" w:rsidR="004E1046" w:rsidRDefault="004E1046" w:rsidP="00F26C06">
            <w:pPr>
              <w:pStyle w:val="Tabletextboldleft"/>
              <w:rPr>
                <w:lang w:val="en-GB"/>
              </w:rPr>
            </w:pPr>
            <w:r w:rsidRPr="008B63C2">
              <w:rPr>
                <w:sz w:val="18"/>
                <w:szCs w:val="18"/>
              </w:rPr>
              <w:t>$77,276</w:t>
            </w:r>
          </w:p>
        </w:tc>
        <w:tc>
          <w:tcPr>
            <w:tcW w:w="924" w:type="dxa"/>
          </w:tcPr>
          <w:p w14:paraId="6504F90C" w14:textId="4C8DFA09" w:rsidR="004E1046" w:rsidRDefault="004E1046" w:rsidP="00F26C06">
            <w:pPr>
              <w:pStyle w:val="Tabletextboldleft"/>
              <w:rPr>
                <w:lang w:val="en-GB"/>
              </w:rPr>
            </w:pPr>
            <w:r w:rsidRPr="008B63C2">
              <w:rPr>
                <w:sz w:val="18"/>
                <w:szCs w:val="18"/>
              </w:rPr>
              <w:t>$105,130</w:t>
            </w:r>
          </w:p>
        </w:tc>
        <w:tc>
          <w:tcPr>
            <w:tcW w:w="924" w:type="dxa"/>
          </w:tcPr>
          <w:p w14:paraId="0AD33BF2" w14:textId="7DBDFB37" w:rsidR="004E1046" w:rsidRDefault="004E1046" w:rsidP="00F26C06">
            <w:pPr>
              <w:pStyle w:val="Tabletextboldleft"/>
              <w:rPr>
                <w:lang w:val="en-GB"/>
              </w:rPr>
            </w:pPr>
            <w:r w:rsidRPr="008B63C2">
              <w:rPr>
                <w:sz w:val="18"/>
                <w:szCs w:val="18"/>
              </w:rPr>
              <w:t>$27,853</w:t>
            </w:r>
          </w:p>
        </w:tc>
        <w:tc>
          <w:tcPr>
            <w:tcW w:w="924" w:type="dxa"/>
          </w:tcPr>
          <w:p w14:paraId="64AF6CAF" w14:textId="7C5B65E9" w:rsidR="004E1046" w:rsidRDefault="004E1046" w:rsidP="00F26C06">
            <w:pPr>
              <w:pStyle w:val="Tabletextboldleft"/>
              <w:rPr>
                <w:lang w:val="en-GB"/>
              </w:rPr>
            </w:pPr>
            <w:r w:rsidRPr="008B63C2">
              <w:rPr>
                <w:sz w:val="18"/>
                <w:szCs w:val="18"/>
              </w:rPr>
              <w:t>$87,532</w:t>
            </w:r>
          </w:p>
        </w:tc>
        <w:tc>
          <w:tcPr>
            <w:tcW w:w="925" w:type="dxa"/>
          </w:tcPr>
          <w:p w14:paraId="38E95123" w14:textId="5961A24A" w:rsidR="004E1046" w:rsidRDefault="004E1046" w:rsidP="00F26C06">
            <w:pPr>
              <w:pStyle w:val="Tabletextboldleft"/>
              <w:rPr>
                <w:lang w:val="en-GB"/>
              </w:rPr>
            </w:pPr>
            <w:r w:rsidRPr="008B63C2">
              <w:rPr>
                <w:sz w:val="18"/>
                <w:szCs w:val="18"/>
              </w:rPr>
              <w:t>$104,394</w:t>
            </w:r>
          </w:p>
        </w:tc>
        <w:tc>
          <w:tcPr>
            <w:tcW w:w="925" w:type="dxa"/>
          </w:tcPr>
          <w:p w14:paraId="69DA8434" w14:textId="119BDA76" w:rsidR="004E1046" w:rsidRDefault="004E1046" w:rsidP="00F26C06">
            <w:pPr>
              <w:pStyle w:val="Tabletextboldleft"/>
              <w:rPr>
                <w:lang w:val="en-GB"/>
              </w:rPr>
            </w:pPr>
            <w:r w:rsidRPr="008B63C2">
              <w:rPr>
                <w:sz w:val="18"/>
                <w:szCs w:val="18"/>
              </w:rPr>
              <w:t>$16,862</w:t>
            </w:r>
          </w:p>
        </w:tc>
      </w:tr>
      <w:tr w:rsidR="004E1046" w14:paraId="1D82642B" w14:textId="77777777" w:rsidTr="00FA7E22">
        <w:trPr>
          <w:tblHeader/>
        </w:trPr>
        <w:tc>
          <w:tcPr>
            <w:tcW w:w="924" w:type="dxa"/>
          </w:tcPr>
          <w:p w14:paraId="0755742B" w14:textId="231891B9" w:rsidR="004E1046" w:rsidRDefault="004E1046" w:rsidP="00F26C06">
            <w:pPr>
              <w:pStyle w:val="Tabletextboldleft"/>
              <w:rPr>
                <w:lang w:val="en-GB"/>
              </w:rPr>
            </w:pPr>
            <w:r w:rsidRPr="008B63C2">
              <w:rPr>
                <w:sz w:val="18"/>
                <w:szCs w:val="18"/>
              </w:rPr>
              <w:t>QALY</w:t>
            </w:r>
          </w:p>
        </w:tc>
        <w:tc>
          <w:tcPr>
            <w:tcW w:w="924" w:type="dxa"/>
          </w:tcPr>
          <w:p w14:paraId="74565A2D" w14:textId="009B2A2C" w:rsidR="004E1046" w:rsidRDefault="004E1046" w:rsidP="00F26C06">
            <w:pPr>
              <w:pStyle w:val="Tabletextboldleft"/>
              <w:rPr>
                <w:lang w:val="en-GB"/>
              </w:rPr>
            </w:pPr>
            <w:r w:rsidRPr="008B63C2">
              <w:rPr>
                <w:sz w:val="18"/>
                <w:szCs w:val="18"/>
              </w:rPr>
              <w:t>2.02</w:t>
            </w:r>
          </w:p>
        </w:tc>
        <w:tc>
          <w:tcPr>
            <w:tcW w:w="924" w:type="dxa"/>
          </w:tcPr>
          <w:p w14:paraId="2FCE7845" w14:textId="5BAD83CB" w:rsidR="004E1046" w:rsidRDefault="004E1046" w:rsidP="00F26C06">
            <w:pPr>
              <w:pStyle w:val="Tabletextboldleft"/>
              <w:rPr>
                <w:lang w:val="en-GB"/>
              </w:rPr>
            </w:pPr>
            <w:r w:rsidRPr="008B63C2">
              <w:rPr>
                <w:sz w:val="18"/>
                <w:szCs w:val="18"/>
              </w:rPr>
              <w:t>2.19</w:t>
            </w:r>
          </w:p>
        </w:tc>
        <w:tc>
          <w:tcPr>
            <w:tcW w:w="924" w:type="dxa"/>
          </w:tcPr>
          <w:p w14:paraId="1EE8B594" w14:textId="2AA5EA3A" w:rsidR="004E1046" w:rsidRDefault="004E1046" w:rsidP="00F26C06">
            <w:pPr>
              <w:pStyle w:val="Tabletextboldleft"/>
              <w:rPr>
                <w:lang w:val="en-GB"/>
              </w:rPr>
            </w:pPr>
            <w:r w:rsidRPr="008B63C2">
              <w:rPr>
                <w:sz w:val="18"/>
                <w:szCs w:val="18"/>
              </w:rPr>
              <w:t>0.16</w:t>
            </w:r>
          </w:p>
        </w:tc>
        <w:tc>
          <w:tcPr>
            <w:tcW w:w="924" w:type="dxa"/>
          </w:tcPr>
          <w:p w14:paraId="608A9F51" w14:textId="3A176C17" w:rsidR="004E1046" w:rsidRDefault="004E1046" w:rsidP="00F26C06">
            <w:pPr>
              <w:pStyle w:val="Tabletextboldleft"/>
              <w:rPr>
                <w:lang w:val="en-GB"/>
              </w:rPr>
            </w:pPr>
            <w:r w:rsidRPr="008B63C2">
              <w:rPr>
                <w:sz w:val="18"/>
                <w:szCs w:val="18"/>
              </w:rPr>
              <w:t>1.01</w:t>
            </w:r>
          </w:p>
        </w:tc>
        <w:tc>
          <w:tcPr>
            <w:tcW w:w="924" w:type="dxa"/>
          </w:tcPr>
          <w:p w14:paraId="410EDB3D" w14:textId="2F9A90F6" w:rsidR="004E1046" w:rsidRDefault="004E1046" w:rsidP="00F26C06">
            <w:pPr>
              <w:pStyle w:val="Tabletextboldleft"/>
              <w:rPr>
                <w:lang w:val="en-GB"/>
              </w:rPr>
            </w:pPr>
            <w:r w:rsidRPr="008B63C2">
              <w:rPr>
                <w:sz w:val="18"/>
                <w:szCs w:val="18"/>
              </w:rPr>
              <w:t>1.67</w:t>
            </w:r>
          </w:p>
        </w:tc>
        <w:tc>
          <w:tcPr>
            <w:tcW w:w="924" w:type="dxa"/>
          </w:tcPr>
          <w:p w14:paraId="71FD93D1" w14:textId="57B808B4" w:rsidR="004E1046" w:rsidRDefault="004E1046" w:rsidP="00F26C06">
            <w:pPr>
              <w:pStyle w:val="Tabletextboldleft"/>
              <w:rPr>
                <w:lang w:val="en-GB"/>
              </w:rPr>
            </w:pPr>
            <w:r w:rsidRPr="008B63C2">
              <w:rPr>
                <w:sz w:val="18"/>
                <w:szCs w:val="18"/>
              </w:rPr>
              <w:t>0.66</w:t>
            </w:r>
          </w:p>
        </w:tc>
        <w:tc>
          <w:tcPr>
            <w:tcW w:w="924" w:type="dxa"/>
          </w:tcPr>
          <w:p w14:paraId="281C9EE8" w14:textId="4A32CB57" w:rsidR="004E1046" w:rsidRDefault="004E1046" w:rsidP="00F26C06">
            <w:pPr>
              <w:pStyle w:val="Tabletextboldleft"/>
              <w:rPr>
                <w:lang w:val="en-GB"/>
              </w:rPr>
            </w:pPr>
            <w:r w:rsidRPr="008B63C2">
              <w:rPr>
                <w:sz w:val="18"/>
                <w:szCs w:val="18"/>
              </w:rPr>
              <w:t>1.21</w:t>
            </w:r>
          </w:p>
        </w:tc>
        <w:tc>
          <w:tcPr>
            <w:tcW w:w="925" w:type="dxa"/>
          </w:tcPr>
          <w:p w14:paraId="6D08E5FF" w14:textId="19AF9C4E" w:rsidR="004E1046" w:rsidRDefault="004E1046" w:rsidP="00F26C06">
            <w:pPr>
              <w:pStyle w:val="Tabletextboldleft"/>
              <w:rPr>
                <w:lang w:val="en-GB"/>
              </w:rPr>
            </w:pPr>
            <w:r w:rsidRPr="008B63C2">
              <w:rPr>
                <w:sz w:val="18"/>
                <w:szCs w:val="18"/>
              </w:rPr>
              <w:t>1.77</w:t>
            </w:r>
          </w:p>
        </w:tc>
        <w:tc>
          <w:tcPr>
            <w:tcW w:w="925" w:type="dxa"/>
          </w:tcPr>
          <w:p w14:paraId="096C5EED" w14:textId="010C0BB2" w:rsidR="004E1046" w:rsidRDefault="004E1046" w:rsidP="00F26C06">
            <w:pPr>
              <w:pStyle w:val="Tabletextboldleft"/>
              <w:rPr>
                <w:lang w:val="en-GB"/>
              </w:rPr>
            </w:pPr>
            <w:r w:rsidRPr="008B63C2">
              <w:rPr>
                <w:sz w:val="18"/>
                <w:szCs w:val="18"/>
              </w:rPr>
              <w:t>0.56</w:t>
            </w:r>
          </w:p>
        </w:tc>
      </w:tr>
      <w:tr w:rsidR="004E1046" w14:paraId="0CDD7D03" w14:textId="77777777" w:rsidTr="00FA7E22">
        <w:trPr>
          <w:tblHeader/>
        </w:trPr>
        <w:tc>
          <w:tcPr>
            <w:tcW w:w="924" w:type="dxa"/>
          </w:tcPr>
          <w:p w14:paraId="70FFCD55" w14:textId="46295759" w:rsidR="004E1046" w:rsidRDefault="004E1046" w:rsidP="00F26C06">
            <w:pPr>
              <w:pStyle w:val="Tabletextboldleft"/>
              <w:rPr>
                <w:lang w:val="en-GB"/>
              </w:rPr>
            </w:pPr>
            <w:r w:rsidRPr="008B63C2">
              <w:rPr>
                <w:sz w:val="18"/>
                <w:szCs w:val="18"/>
              </w:rPr>
              <w:t>ICER</w:t>
            </w:r>
          </w:p>
        </w:tc>
        <w:tc>
          <w:tcPr>
            <w:tcW w:w="924" w:type="dxa"/>
          </w:tcPr>
          <w:p w14:paraId="207523CD" w14:textId="3B08C734" w:rsidR="004E1046" w:rsidRDefault="004E1046" w:rsidP="00F26C06">
            <w:pPr>
              <w:pStyle w:val="Tabletextboldleft"/>
              <w:rPr>
                <w:lang w:val="en-GB"/>
              </w:rPr>
            </w:pPr>
            <w:r w:rsidRPr="008B63C2">
              <w:rPr>
                <w:sz w:val="18"/>
                <w:szCs w:val="18"/>
              </w:rPr>
              <w:t xml:space="preserve">TAVI is </w:t>
            </w:r>
            <w:r>
              <w:rPr>
                <w:sz w:val="18"/>
                <w:szCs w:val="18"/>
              </w:rPr>
              <w:t>d</w:t>
            </w:r>
            <w:r w:rsidRPr="008B63C2">
              <w:rPr>
                <w:sz w:val="18"/>
                <w:szCs w:val="18"/>
              </w:rPr>
              <w:t>ominant</w:t>
            </w:r>
          </w:p>
        </w:tc>
        <w:tc>
          <w:tcPr>
            <w:tcW w:w="924" w:type="dxa"/>
          </w:tcPr>
          <w:p w14:paraId="48EB34EE" w14:textId="77777777" w:rsidR="004E1046" w:rsidRDefault="004E1046" w:rsidP="00F26C06">
            <w:pPr>
              <w:pStyle w:val="Tabletextboldleft"/>
              <w:rPr>
                <w:lang w:val="en-GB"/>
              </w:rPr>
            </w:pPr>
          </w:p>
        </w:tc>
        <w:tc>
          <w:tcPr>
            <w:tcW w:w="924" w:type="dxa"/>
          </w:tcPr>
          <w:p w14:paraId="025A76EA" w14:textId="77777777" w:rsidR="004E1046" w:rsidRDefault="004E1046" w:rsidP="00F26C06">
            <w:pPr>
              <w:pStyle w:val="Tabletextboldleft"/>
              <w:rPr>
                <w:lang w:val="en-GB"/>
              </w:rPr>
            </w:pPr>
          </w:p>
        </w:tc>
        <w:tc>
          <w:tcPr>
            <w:tcW w:w="924" w:type="dxa"/>
          </w:tcPr>
          <w:p w14:paraId="6390AA6D" w14:textId="5ACEDAF9" w:rsidR="004E1046" w:rsidRDefault="004E1046" w:rsidP="00F26C06">
            <w:pPr>
              <w:pStyle w:val="Tabletextboldleft"/>
              <w:rPr>
                <w:lang w:val="en-GB"/>
              </w:rPr>
            </w:pPr>
            <w:r w:rsidRPr="008B63C2">
              <w:rPr>
                <w:sz w:val="18"/>
                <w:szCs w:val="18"/>
              </w:rPr>
              <w:t>$42,179</w:t>
            </w:r>
          </w:p>
        </w:tc>
        <w:tc>
          <w:tcPr>
            <w:tcW w:w="924" w:type="dxa"/>
          </w:tcPr>
          <w:p w14:paraId="3FE6F303" w14:textId="77777777" w:rsidR="004E1046" w:rsidRDefault="004E1046" w:rsidP="00F26C06">
            <w:pPr>
              <w:pStyle w:val="Tabletextboldleft"/>
              <w:rPr>
                <w:lang w:val="en-GB"/>
              </w:rPr>
            </w:pPr>
          </w:p>
        </w:tc>
        <w:tc>
          <w:tcPr>
            <w:tcW w:w="924" w:type="dxa"/>
          </w:tcPr>
          <w:p w14:paraId="1A059BA6" w14:textId="77777777" w:rsidR="004E1046" w:rsidRDefault="004E1046" w:rsidP="00F26C06">
            <w:pPr>
              <w:pStyle w:val="Tabletextboldleft"/>
              <w:rPr>
                <w:lang w:val="en-GB"/>
              </w:rPr>
            </w:pPr>
          </w:p>
        </w:tc>
        <w:tc>
          <w:tcPr>
            <w:tcW w:w="924" w:type="dxa"/>
          </w:tcPr>
          <w:p w14:paraId="6430F5CF" w14:textId="4CB36E6E" w:rsidR="004E1046" w:rsidRDefault="004E1046" w:rsidP="00F26C06">
            <w:pPr>
              <w:pStyle w:val="Tabletextboldleft"/>
              <w:rPr>
                <w:lang w:val="en-GB"/>
              </w:rPr>
            </w:pPr>
            <w:r w:rsidRPr="008B63C2">
              <w:rPr>
                <w:sz w:val="18"/>
                <w:szCs w:val="18"/>
              </w:rPr>
              <w:t>$30,047</w:t>
            </w:r>
          </w:p>
        </w:tc>
        <w:tc>
          <w:tcPr>
            <w:tcW w:w="925" w:type="dxa"/>
          </w:tcPr>
          <w:p w14:paraId="4553037B" w14:textId="77777777" w:rsidR="004E1046" w:rsidRDefault="004E1046" w:rsidP="00F26C06">
            <w:pPr>
              <w:pStyle w:val="Tabletextboldleft"/>
              <w:rPr>
                <w:lang w:val="en-GB"/>
              </w:rPr>
            </w:pPr>
          </w:p>
        </w:tc>
        <w:tc>
          <w:tcPr>
            <w:tcW w:w="925" w:type="dxa"/>
          </w:tcPr>
          <w:p w14:paraId="1CB95423" w14:textId="77777777" w:rsidR="004E1046" w:rsidRDefault="004E1046" w:rsidP="00F26C06">
            <w:pPr>
              <w:pStyle w:val="Tabletextboldleft"/>
              <w:rPr>
                <w:lang w:val="en-GB"/>
              </w:rPr>
            </w:pPr>
          </w:p>
        </w:tc>
      </w:tr>
      <w:tr w:rsidR="004E1046" w14:paraId="2AB4234E" w14:textId="77777777" w:rsidTr="00FA7E22">
        <w:trPr>
          <w:tblHeader/>
        </w:trPr>
        <w:tc>
          <w:tcPr>
            <w:tcW w:w="924" w:type="dxa"/>
          </w:tcPr>
          <w:p w14:paraId="28119BB5" w14:textId="4178866F" w:rsidR="004E1046" w:rsidRDefault="004E1046" w:rsidP="00F26C06">
            <w:pPr>
              <w:pStyle w:val="Tabletextboldleft"/>
              <w:rPr>
                <w:lang w:val="en-GB"/>
              </w:rPr>
            </w:pPr>
            <w:r>
              <w:rPr>
                <w:sz w:val="18"/>
                <w:szCs w:val="18"/>
              </w:rPr>
              <w:t>TA</w:t>
            </w:r>
          </w:p>
        </w:tc>
        <w:tc>
          <w:tcPr>
            <w:tcW w:w="924" w:type="dxa"/>
          </w:tcPr>
          <w:p w14:paraId="468F2A66" w14:textId="47CA1C60" w:rsidR="004E1046" w:rsidRDefault="004E1046" w:rsidP="00F26C06">
            <w:pPr>
              <w:pStyle w:val="Tabletextboldleft"/>
              <w:rPr>
                <w:lang w:val="en-GB"/>
              </w:rPr>
            </w:pPr>
            <w:r w:rsidRPr="008B63C2">
              <w:rPr>
                <w:sz w:val="18"/>
                <w:szCs w:val="18"/>
              </w:rPr>
              <w:t>SAVR</w:t>
            </w:r>
          </w:p>
        </w:tc>
        <w:tc>
          <w:tcPr>
            <w:tcW w:w="924" w:type="dxa"/>
          </w:tcPr>
          <w:p w14:paraId="7D5A5501" w14:textId="2FAF76BA" w:rsidR="004E1046" w:rsidRDefault="004E1046" w:rsidP="00F26C06">
            <w:pPr>
              <w:pStyle w:val="Tabletextboldleft"/>
              <w:rPr>
                <w:lang w:val="en-GB"/>
              </w:rPr>
            </w:pPr>
            <w:r w:rsidRPr="008B63C2">
              <w:rPr>
                <w:sz w:val="18"/>
                <w:szCs w:val="18"/>
              </w:rPr>
              <w:t>TAVI</w:t>
            </w:r>
          </w:p>
        </w:tc>
        <w:tc>
          <w:tcPr>
            <w:tcW w:w="924" w:type="dxa"/>
          </w:tcPr>
          <w:p w14:paraId="0D7C1249" w14:textId="796A8DF7" w:rsidR="004E1046" w:rsidRDefault="004E1046" w:rsidP="00F26C06">
            <w:pPr>
              <w:pStyle w:val="Tabletextboldleft"/>
              <w:rPr>
                <w:lang w:val="en-GB"/>
              </w:rPr>
            </w:pPr>
            <w:r w:rsidRPr="008B63C2">
              <w:rPr>
                <w:sz w:val="18"/>
                <w:szCs w:val="18"/>
              </w:rPr>
              <w:t>Δ</w:t>
            </w:r>
          </w:p>
        </w:tc>
        <w:tc>
          <w:tcPr>
            <w:tcW w:w="924" w:type="dxa"/>
          </w:tcPr>
          <w:p w14:paraId="6BD624DA" w14:textId="07D5391D" w:rsidR="004E1046" w:rsidRDefault="004E1046" w:rsidP="00F26C06">
            <w:pPr>
              <w:pStyle w:val="Tabletextboldleft"/>
              <w:rPr>
                <w:lang w:val="en-GB"/>
              </w:rPr>
            </w:pPr>
            <w:r w:rsidRPr="008B63C2">
              <w:rPr>
                <w:sz w:val="18"/>
                <w:szCs w:val="18"/>
              </w:rPr>
              <w:t>MM</w:t>
            </w:r>
          </w:p>
        </w:tc>
        <w:tc>
          <w:tcPr>
            <w:tcW w:w="924" w:type="dxa"/>
          </w:tcPr>
          <w:p w14:paraId="1150B117" w14:textId="19FCD518" w:rsidR="004E1046" w:rsidRDefault="004E1046" w:rsidP="00F26C06">
            <w:pPr>
              <w:pStyle w:val="Tabletextboldleft"/>
              <w:rPr>
                <w:lang w:val="en-GB"/>
              </w:rPr>
            </w:pPr>
            <w:r w:rsidRPr="008B63C2">
              <w:rPr>
                <w:sz w:val="18"/>
                <w:szCs w:val="18"/>
              </w:rPr>
              <w:t>TAVI</w:t>
            </w:r>
          </w:p>
        </w:tc>
        <w:tc>
          <w:tcPr>
            <w:tcW w:w="924" w:type="dxa"/>
          </w:tcPr>
          <w:p w14:paraId="5FA6766D" w14:textId="1387BF1B" w:rsidR="004E1046" w:rsidRDefault="004E1046" w:rsidP="00F26C06">
            <w:pPr>
              <w:pStyle w:val="Tabletextboldleft"/>
              <w:rPr>
                <w:lang w:val="en-GB"/>
              </w:rPr>
            </w:pPr>
            <w:r w:rsidRPr="008B63C2">
              <w:rPr>
                <w:sz w:val="18"/>
                <w:szCs w:val="18"/>
              </w:rPr>
              <w:t>Δ</w:t>
            </w:r>
          </w:p>
        </w:tc>
        <w:tc>
          <w:tcPr>
            <w:tcW w:w="924" w:type="dxa"/>
          </w:tcPr>
          <w:p w14:paraId="101A20D9" w14:textId="59BB29ED" w:rsidR="004E1046" w:rsidRDefault="004E1046" w:rsidP="00F26C06">
            <w:pPr>
              <w:pStyle w:val="Tabletextboldleft"/>
              <w:rPr>
                <w:lang w:val="en-GB"/>
              </w:rPr>
            </w:pPr>
            <w:r w:rsidRPr="008B63C2">
              <w:rPr>
                <w:sz w:val="18"/>
                <w:szCs w:val="18"/>
              </w:rPr>
              <w:t>SAVR / MM</w:t>
            </w:r>
          </w:p>
        </w:tc>
        <w:tc>
          <w:tcPr>
            <w:tcW w:w="925" w:type="dxa"/>
          </w:tcPr>
          <w:p w14:paraId="556AD1DD" w14:textId="7C444EFF" w:rsidR="004E1046" w:rsidRDefault="004E1046" w:rsidP="00F26C06">
            <w:pPr>
              <w:pStyle w:val="Tabletextboldleft"/>
              <w:rPr>
                <w:lang w:val="en-GB"/>
              </w:rPr>
            </w:pPr>
            <w:r w:rsidRPr="008B63C2">
              <w:rPr>
                <w:sz w:val="18"/>
                <w:szCs w:val="18"/>
              </w:rPr>
              <w:t>TAVI</w:t>
            </w:r>
          </w:p>
        </w:tc>
        <w:tc>
          <w:tcPr>
            <w:tcW w:w="925" w:type="dxa"/>
          </w:tcPr>
          <w:p w14:paraId="7E01EB7D" w14:textId="63978E09" w:rsidR="004E1046" w:rsidRDefault="004E1046" w:rsidP="00F26C06">
            <w:pPr>
              <w:pStyle w:val="Tabletextboldleft"/>
              <w:rPr>
                <w:lang w:val="en-GB"/>
              </w:rPr>
            </w:pPr>
            <w:r w:rsidRPr="008B63C2">
              <w:rPr>
                <w:sz w:val="18"/>
                <w:szCs w:val="18"/>
              </w:rPr>
              <w:t>Δ</w:t>
            </w:r>
          </w:p>
        </w:tc>
      </w:tr>
      <w:tr w:rsidR="004E1046" w14:paraId="1295B4DB" w14:textId="77777777" w:rsidTr="00FA7E22">
        <w:trPr>
          <w:tblHeader/>
        </w:trPr>
        <w:tc>
          <w:tcPr>
            <w:tcW w:w="924" w:type="dxa"/>
          </w:tcPr>
          <w:p w14:paraId="5BBB3BC7" w14:textId="4830E3C8" w:rsidR="004E1046" w:rsidRDefault="004E1046" w:rsidP="00F26C06">
            <w:pPr>
              <w:pStyle w:val="Tabletextboldleft"/>
              <w:rPr>
                <w:lang w:val="en-GB"/>
              </w:rPr>
            </w:pPr>
            <w:r w:rsidRPr="008B63C2">
              <w:rPr>
                <w:sz w:val="18"/>
                <w:szCs w:val="18"/>
              </w:rPr>
              <w:t>Cost</w:t>
            </w:r>
          </w:p>
        </w:tc>
        <w:tc>
          <w:tcPr>
            <w:tcW w:w="924" w:type="dxa"/>
          </w:tcPr>
          <w:p w14:paraId="38F13655" w14:textId="169F5ACE" w:rsidR="004E1046" w:rsidRDefault="004E1046" w:rsidP="00F26C06">
            <w:pPr>
              <w:pStyle w:val="Tabletextboldleft"/>
              <w:rPr>
                <w:lang w:val="en-GB"/>
              </w:rPr>
            </w:pPr>
            <w:r w:rsidRPr="008B63C2">
              <w:rPr>
                <w:sz w:val="18"/>
                <w:szCs w:val="18"/>
              </w:rPr>
              <w:t>$129,226</w:t>
            </w:r>
          </w:p>
        </w:tc>
        <w:tc>
          <w:tcPr>
            <w:tcW w:w="924" w:type="dxa"/>
          </w:tcPr>
          <w:p w14:paraId="18BE2A15" w14:textId="7A6B60EE" w:rsidR="004E1046" w:rsidRDefault="004E1046" w:rsidP="00F26C06">
            <w:pPr>
              <w:pStyle w:val="Tabletextboldleft"/>
              <w:rPr>
                <w:lang w:val="en-GB"/>
              </w:rPr>
            </w:pPr>
            <w:r w:rsidRPr="008B63C2">
              <w:rPr>
                <w:sz w:val="18"/>
                <w:szCs w:val="18"/>
              </w:rPr>
              <w:t>$115,802</w:t>
            </w:r>
          </w:p>
        </w:tc>
        <w:tc>
          <w:tcPr>
            <w:tcW w:w="924" w:type="dxa"/>
          </w:tcPr>
          <w:p w14:paraId="52611AE1" w14:textId="04729156" w:rsidR="004E1046" w:rsidRDefault="004E1046" w:rsidP="00F26C06">
            <w:pPr>
              <w:pStyle w:val="Tabletextboldleft"/>
              <w:rPr>
                <w:lang w:val="en-GB"/>
              </w:rPr>
            </w:pPr>
            <w:r w:rsidRPr="008B63C2">
              <w:rPr>
                <w:sz w:val="18"/>
                <w:szCs w:val="18"/>
              </w:rPr>
              <w:t>($13,425)</w:t>
            </w:r>
          </w:p>
        </w:tc>
        <w:tc>
          <w:tcPr>
            <w:tcW w:w="924" w:type="dxa"/>
          </w:tcPr>
          <w:p w14:paraId="72510CDE" w14:textId="3A3E41EC" w:rsidR="004E1046" w:rsidRDefault="004E1046" w:rsidP="00F26C06">
            <w:pPr>
              <w:pStyle w:val="Tabletextboldleft"/>
              <w:rPr>
                <w:lang w:val="en-GB"/>
              </w:rPr>
            </w:pPr>
            <w:r w:rsidRPr="008B63C2">
              <w:rPr>
                <w:sz w:val="18"/>
                <w:szCs w:val="18"/>
              </w:rPr>
              <w:t>$63,163</w:t>
            </w:r>
          </w:p>
        </w:tc>
        <w:tc>
          <w:tcPr>
            <w:tcW w:w="924" w:type="dxa"/>
          </w:tcPr>
          <w:p w14:paraId="2A678667" w14:textId="0173BEA0" w:rsidR="004E1046" w:rsidRDefault="004E1046" w:rsidP="00F26C06">
            <w:pPr>
              <w:pStyle w:val="Tabletextboldleft"/>
              <w:rPr>
                <w:lang w:val="en-GB"/>
              </w:rPr>
            </w:pPr>
            <w:r w:rsidRPr="008B63C2">
              <w:rPr>
                <w:sz w:val="18"/>
                <w:szCs w:val="18"/>
              </w:rPr>
              <w:t>$119,502</w:t>
            </w:r>
          </w:p>
        </w:tc>
        <w:tc>
          <w:tcPr>
            <w:tcW w:w="924" w:type="dxa"/>
          </w:tcPr>
          <w:p w14:paraId="609BEA84" w14:textId="5064A2F7" w:rsidR="004E1046" w:rsidRDefault="004E1046" w:rsidP="00F26C06">
            <w:pPr>
              <w:pStyle w:val="Tabletextboldleft"/>
              <w:rPr>
                <w:lang w:val="en-GB"/>
              </w:rPr>
            </w:pPr>
            <w:r w:rsidRPr="008B63C2">
              <w:rPr>
                <w:sz w:val="18"/>
                <w:szCs w:val="18"/>
              </w:rPr>
              <w:t>$56,286</w:t>
            </w:r>
          </w:p>
        </w:tc>
        <w:tc>
          <w:tcPr>
            <w:tcW w:w="924" w:type="dxa"/>
          </w:tcPr>
          <w:p w14:paraId="5880C6A2" w14:textId="3FCCC954" w:rsidR="004E1046" w:rsidRDefault="004E1046" w:rsidP="00F26C06">
            <w:pPr>
              <w:pStyle w:val="Tabletextboldleft"/>
              <w:rPr>
                <w:lang w:val="en-GB"/>
              </w:rPr>
            </w:pPr>
            <w:r w:rsidRPr="008B63C2">
              <w:rPr>
                <w:sz w:val="18"/>
                <w:szCs w:val="18"/>
              </w:rPr>
              <w:t>$76,418</w:t>
            </w:r>
          </w:p>
        </w:tc>
        <w:tc>
          <w:tcPr>
            <w:tcW w:w="925" w:type="dxa"/>
          </w:tcPr>
          <w:p w14:paraId="5F511848" w14:textId="2E547A87" w:rsidR="004E1046" w:rsidRDefault="004E1046" w:rsidP="00F26C06">
            <w:pPr>
              <w:pStyle w:val="Tabletextboldleft"/>
              <w:rPr>
                <w:lang w:val="en-GB"/>
              </w:rPr>
            </w:pPr>
            <w:r w:rsidRPr="008B63C2">
              <w:rPr>
                <w:sz w:val="18"/>
                <w:szCs w:val="18"/>
              </w:rPr>
              <w:t>$118,762</w:t>
            </w:r>
          </w:p>
        </w:tc>
        <w:tc>
          <w:tcPr>
            <w:tcW w:w="925" w:type="dxa"/>
          </w:tcPr>
          <w:p w14:paraId="451D5D6B" w14:textId="79ED4CCE" w:rsidR="004E1046" w:rsidRDefault="004E1046" w:rsidP="00F26C06">
            <w:pPr>
              <w:pStyle w:val="Tabletextboldleft"/>
              <w:rPr>
                <w:lang w:val="en-GB"/>
              </w:rPr>
            </w:pPr>
            <w:r w:rsidRPr="008B63C2">
              <w:rPr>
                <w:sz w:val="18"/>
                <w:szCs w:val="18"/>
              </w:rPr>
              <w:t>$42,344</w:t>
            </w:r>
          </w:p>
        </w:tc>
      </w:tr>
      <w:tr w:rsidR="004E1046" w14:paraId="1A43075D" w14:textId="77777777" w:rsidTr="00FA7E22">
        <w:trPr>
          <w:tblHeader/>
        </w:trPr>
        <w:tc>
          <w:tcPr>
            <w:tcW w:w="924" w:type="dxa"/>
          </w:tcPr>
          <w:p w14:paraId="1447E704" w14:textId="1FA86AC8" w:rsidR="004E1046" w:rsidRDefault="004E1046" w:rsidP="00F26C06">
            <w:pPr>
              <w:pStyle w:val="Tabletextboldleft"/>
              <w:rPr>
                <w:lang w:val="en-GB"/>
              </w:rPr>
            </w:pPr>
            <w:r w:rsidRPr="008B63C2">
              <w:rPr>
                <w:sz w:val="18"/>
                <w:szCs w:val="18"/>
              </w:rPr>
              <w:t>QALY</w:t>
            </w:r>
          </w:p>
        </w:tc>
        <w:tc>
          <w:tcPr>
            <w:tcW w:w="924" w:type="dxa"/>
          </w:tcPr>
          <w:p w14:paraId="2576336F" w14:textId="1B153C5F" w:rsidR="004E1046" w:rsidRDefault="004E1046" w:rsidP="00F26C06">
            <w:pPr>
              <w:pStyle w:val="Tabletextboldleft"/>
              <w:rPr>
                <w:lang w:val="en-GB"/>
              </w:rPr>
            </w:pPr>
            <w:r w:rsidRPr="008B63C2">
              <w:rPr>
                <w:sz w:val="18"/>
                <w:szCs w:val="18"/>
              </w:rPr>
              <w:t>1.93</w:t>
            </w:r>
          </w:p>
        </w:tc>
        <w:tc>
          <w:tcPr>
            <w:tcW w:w="924" w:type="dxa"/>
          </w:tcPr>
          <w:p w14:paraId="429FFEE4" w14:textId="18B9C774" w:rsidR="004E1046" w:rsidRDefault="004E1046" w:rsidP="00F26C06">
            <w:pPr>
              <w:pStyle w:val="Tabletextboldleft"/>
              <w:rPr>
                <w:lang w:val="en-GB"/>
              </w:rPr>
            </w:pPr>
            <w:r w:rsidRPr="008B63C2">
              <w:rPr>
                <w:sz w:val="18"/>
                <w:szCs w:val="18"/>
              </w:rPr>
              <w:t>2.19</w:t>
            </w:r>
          </w:p>
        </w:tc>
        <w:tc>
          <w:tcPr>
            <w:tcW w:w="924" w:type="dxa"/>
          </w:tcPr>
          <w:p w14:paraId="0F025B4E" w14:textId="2A2576CC" w:rsidR="004E1046" w:rsidRDefault="004E1046" w:rsidP="00F26C06">
            <w:pPr>
              <w:pStyle w:val="Tabletextboldleft"/>
              <w:rPr>
                <w:lang w:val="en-GB"/>
              </w:rPr>
            </w:pPr>
            <w:r w:rsidRPr="008B63C2">
              <w:rPr>
                <w:sz w:val="18"/>
                <w:szCs w:val="18"/>
              </w:rPr>
              <w:t>0.27</w:t>
            </w:r>
          </w:p>
        </w:tc>
        <w:tc>
          <w:tcPr>
            <w:tcW w:w="924" w:type="dxa"/>
          </w:tcPr>
          <w:p w14:paraId="68757715" w14:textId="7A4B38C9" w:rsidR="004E1046" w:rsidRDefault="004E1046" w:rsidP="00F26C06">
            <w:pPr>
              <w:pStyle w:val="Tabletextboldleft"/>
              <w:rPr>
                <w:lang w:val="en-GB"/>
              </w:rPr>
            </w:pPr>
            <w:r w:rsidRPr="008B63C2">
              <w:rPr>
                <w:sz w:val="18"/>
                <w:szCs w:val="18"/>
              </w:rPr>
              <w:t>0.75</w:t>
            </w:r>
          </w:p>
        </w:tc>
        <w:tc>
          <w:tcPr>
            <w:tcW w:w="924" w:type="dxa"/>
          </w:tcPr>
          <w:p w14:paraId="7D663FDC" w14:textId="32CE7E91" w:rsidR="004E1046" w:rsidRDefault="004E1046" w:rsidP="00F26C06">
            <w:pPr>
              <w:pStyle w:val="Tabletextboldleft"/>
              <w:rPr>
                <w:lang w:val="en-GB"/>
              </w:rPr>
            </w:pPr>
            <w:r w:rsidRPr="008B63C2">
              <w:rPr>
                <w:sz w:val="18"/>
                <w:szCs w:val="18"/>
              </w:rPr>
              <w:t>1.68</w:t>
            </w:r>
          </w:p>
        </w:tc>
        <w:tc>
          <w:tcPr>
            <w:tcW w:w="924" w:type="dxa"/>
          </w:tcPr>
          <w:p w14:paraId="56ACD5F4" w14:textId="36DA4AC8" w:rsidR="004E1046" w:rsidRDefault="004E1046" w:rsidP="00F26C06">
            <w:pPr>
              <w:pStyle w:val="Tabletextboldleft"/>
              <w:rPr>
                <w:lang w:val="en-GB"/>
              </w:rPr>
            </w:pPr>
            <w:r w:rsidRPr="008B63C2">
              <w:rPr>
                <w:sz w:val="18"/>
                <w:szCs w:val="18"/>
              </w:rPr>
              <w:t>0.93</w:t>
            </w:r>
          </w:p>
        </w:tc>
        <w:tc>
          <w:tcPr>
            <w:tcW w:w="924" w:type="dxa"/>
          </w:tcPr>
          <w:p w14:paraId="3F98D538" w14:textId="6F73A6C8" w:rsidR="004E1046" w:rsidRDefault="004E1046" w:rsidP="00F26C06">
            <w:pPr>
              <w:pStyle w:val="Tabletextboldleft"/>
              <w:rPr>
                <w:lang w:val="en-GB"/>
              </w:rPr>
            </w:pPr>
            <w:r w:rsidRPr="008B63C2">
              <w:rPr>
                <w:sz w:val="18"/>
                <w:szCs w:val="18"/>
              </w:rPr>
              <w:t>0.98</w:t>
            </w:r>
          </w:p>
        </w:tc>
        <w:tc>
          <w:tcPr>
            <w:tcW w:w="925" w:type="dxa"/>
          </w:tcPr>
          <w:p w14:paraId="6538AE8B" w14:textId="42D2357A" w:rsidR="004E1046" w:rsidRDefault="004E1046" w:rsidP="00F26C06">
            <w:pPr>
              <w:pStyle w:val="Tabletextboldleft"/>
              <w:rPr>
                <w:lang w:val="en-GB"/>
              </w:rPr>
            </w:pPr>
            <w:r w:rsidRPr="008B63C2">
              <w:rPr>
                <w:sz w:val="18"/>
                <w:szCs w:val="18"/>
              </w:rPr>
              <w:t>1.78</w:t>
            </w:r>
          </w:p>
        </w:tc>
        <w:tc>
          <w:tcPr>
            <w:tcW w:w="925" w:type="dxa"/>
          </w:tcPr>
          <w:p w14:paraId="4A8CE53C" w14:textId="155A55AD" w:rsidR="004E1046" w:rsidRDefault="004E1046" w:rsidP="00F26C06">
            <w:pPr>
              <w:pStyle w:val="Tabletextboldleft"/>
              <w:rPr>
                <w:lang w:val="en-GB"/>
              </w:rPr>
            </w:pPr>
            <w:r w:rsidRPr="008B63C2">
              <w:rPr>
                <w:sz w:val="18"/>
                <w:szCs w:val="18"/>
              </w:rPr>
              <w:t>0.80</w:t>
            </w:r>
          </w:p>
        </w:tc>
      </w:tr>
      <w:tr w:rsidR="004E1046" w14:paraId="5CE45584" w14:textId="77777777" w:rsidTr="00FA7E22">
        <w:trPr>
          <w:tblHeader/>
        </w:trPr>
        <w:tc>
          <w:tcPr>
            <w:tcW w:w="924" w:type="dxa"/>
          </w:tcPr>
          <w:p w14:paraId="187E4917" w14:textId="69D2D2CD" w:rsidR="004E1046" w:rsidRDefault="004E1046" w:rsidP="00F26C06">
            <w:pPr>
              <w:pStyle w:val="Tabletextboldleft"/>
              <w:rPr>
                <w:lang w:val="en-GB"/>
              </w:rPr>
            </w:pPr>
            <w:r w:rsidRPr="008B63C2">
              <w:rPr>
                <w:sz w:val="18"/>
                <w:szCs w:val="18"/>
              </w:rPr>
              <w:t>ICER</w:t>
            </w:r>
          </w:p>
        </w:tc>
        <w:tc>
          <w:tcPr>
            <w:tcW w:w="924" w:type="dxa"/>
          </w:tcPr>
          <w:p w14:paraId="3FC6A3B7" w14:textId="6DA325E5" w:rsidR="004E1046" w:rsidRDefault="004E1046" w:rsidP="00F26C06">
            <w:pPr>
              <w:pStyle w:val="Tabletextboldleft"/>
              <w:rPr>
                <w:lang w:val="en-GB"/>
              </w:rPr>
            </w:pPr>
          </w:p>
        </w:tc>
        <w:tc>
          <w:tcPr>
            <w:tcW w:w="924" w:type="dxa"/>
          </w:tcPr>
          <w:p w14:paraId="42836B56" w14:textId="77777777" w:rsidR="004E1046" w:rsidRDefault="004E1046" w:rsidP="00F26C06">
            <w:pPr>
              <w:pStyle w:val="Tabletextboldleft"/>
              <w:rPr>
                <w:lang w:val="en-GB"/>
              </w:rPr>
            </w:pPr>
          </w:p>
        </w:tc>
        <w:tc>
          <w:tcPr>
            <w:tcW w:w="924" w:type="dxa"/>
          </w:tcPr>
          <w:p w14:paraId="46B9A380" w14:textId="26F1BFC6" w:rsidR="004E1046" w:rsidRDefault="004E1046" w:rsidP="00F26C06">
            <w:pPr>
              <w:pStyle w:val="Tabletextboldleft"/>
              <w:rPr>
                <w:lang w:val="en-GB"/>
              </w:rPr>
            </w:pPr>
            <w:r>
              <w:rPr>
                <w:sz w:val="18"/>
                <w:szCs w:val="18"/>
              </w:rPr>
              <w:t>TAVI is d</w:t>
            </w:r>
            <w:r w:rsidRPr="008B63C2">
              <w:rPr>
                <w:sz w:val="18"/>
                <w:szCs w:val="18"/>
              </w:rPr>
              <w:t>ominant</w:t>
            </w:r>
          </w:p>
        </w:tc>
        <w:tc>
          <w:tcPr>
            <w:tcW w:w="924" w:type="dxa"/>
          </w:tcPr>
          <w:p w14:paraId="5AC2367F" w14:textId="77777777" w:rsidR="004E1046" w:rsidRDefault="004E1046" w:rsidP="00F26C06">
            <w:pPr>
              <w:pStyle w:val="Tabletextboldleft"/>
              <w:rPr>
                <w:lang w:val="en-GB"/>
              </w:rPr>
            </w:pPr>
          </w:p>
        </w:tc>
        <w:tc>
          <w:tcPr>
            <w:tcW w:w="924" w:type="dxa"/>
          </w:tcPr>
          <w:p w14:paraId="67B18D89" w14:textId="77777777" w:rsidR="004E1046" w:rsidRDefault="004E1046" w:rsidP="00F26C06">
            <w:pPr>
              <w:pStyle w:val="Tabletextboldleft"/>
              <w:rPr>
                <w:lang w:val="en-GB"/>
              </w:rPr>
            </w:pPr>
          </w:p>
        </w:tc>
        <w:tc>
          <w:tcPr>
            <w:tcW w:w="924" w:type="dxa"/>
          </w:tcPr>
          <w:p w14:paraId="218FB416" w14:textId="400D343E" w:rsidR="004E1046" w:rsidRDefault="004E1046" w:rsidP="00F26C06">
            <w:pPr>
              <w:pStyle w:val="Tabletextboldleft"/>
              <w:rPr>
                <w:lang w:val="en-GB"/>
              </w:rPr>
            </w:pPr>
            <w:r w:rsidRPr="008B63C2">
              <w:rPr>
                <w:sz w:val="18"/>
                <w:szCs w:val="18"/>
              </w:rPr>
              <w:t>$61,367</w:t>
            </w:r>
          </w:p>
        </w:tc>
        <w:tc>
          <w:tcPr>
            <w:tcW w:w="924" w:type="dxa"/>
          </w:tcPr>
          <w:p w14:paraId="20FC7860" w14:textId="77777777" w:rsidR="004E1046" w:rsidRDefault="004E1046" w:rsidP="00F26C06">
            <w:pPr>
              <w:pStyle w:val="Tabletextboldleft"/>
              <w:rPr>
                <w:lang w:val="en-GB"/>
              </w:rPr>
            </w:pPr>
          </w:p>
        </w:tc>
        <w:tc>
          <w:tcPr>
            <w:tcW w:w="925" w:type="dxa"/>
          </w:tcPr>
          <w:p w14:paraId="10A2C030" w14:textId="77777777" w:rsidR="004E1046" w:rsidRDefault="004E1046" w:rsidP="00F26C06">
            <w:pPr>
              <w:pStyle w:val="Tabletextboldleft"/>
              <w:rPr>
                <w:lang w:val="en-GB"/>
              </w:rPr>
            </w:pPr>
          </w:p>
        </w:tc>
        <w:tc>
          <w:tcPr>
            <w:tcW w:w="925" w:type="dxa"/>
          </w:tcPr>
          <w:p w14:paraId="4EB3A596" w14:textId="6384D305" w:rsidR="004E1046" w:rsidRDefault="004E1046" w:rsidP="00F26C06">
            <w:pPr>
              <w:pStyle w:val="Tabletextboldleft"/>
              <w:rPr>
                <w:lang w:val="en-GB"/>
              </w:rPr>
            </w:pPr>
            <w:r w:rsidRPr="008B63C2">
              <w:rPr>
                <w:sz w:val="18"/>
                <w:szCs w:val="18"/>
              </w:rPr>
              <w:t>$53,169</w:t>
            </w:r>
          </w:p>
        </w:tc>
      </w:tr>
    </w:tbl>
    <w:p w14:paraId="42079574" w14:textId="77777777" w:rsidR="004E1046" w:rsidRPr="008B63C2" w:rsidRDefault="004E1046" w:rsidP="00F26C06">
      <w:pPr>
        <w:pStyle w:val="Tabletextboldleft"/>
        <w:rPr>
          <w:lang w:val="en-GB"/>
        </w:rPr>
      </w:pPr>
    </w:p>
    <w:p w14:paraId="18167A19" w14:textId="77777777" w:rsidR="00F9695B" w:rsidRPr="004746B0" w:rsidRDefault="00F9695B" w:rsidP="00F9695B">
      <w:pPr>
        <w:jc w:val="both"/>
        <w:rPr>
          <w:sz w:val="18"/>
          <w:szCs w:val="18"/>
        </w:rPr>
      </w:pPr>
      <w:r w:rsidRPr="004746B0">
        <w:rPr>
          <w:sz w:val="18"/>
          <w:szCs w:val="18"/>
        </w:rPr>
        <w:t>MM = medical managemen</w:t>
      </w:r>
      <w:r w:rsidR="004746B0" w:rsidRPr="004746B0">
        <w:rPr>
          <w:sz w:val="18"/>
          <w:szCs w:val="18"/>
        </w:rPr>
        <w:t xml:space="preserve">t; QALY = quality-adjusted life </w:t>
      </w:r>
      <w:r w:rsidRPr="004746B0">
        <w:rPr>
          <w:sz w:val="18"/>
          <w:szCs w:val="18"/>
        </w:rPr>
        <w:t>year; SAVR = surgical aortic valve replacement; TAVI = transcatheter aortic valve implantation</w:t>
      </w:r>
      <w:r w:rsidR="002D7198" w:rsidRPr="004746B0">
        <w:rPr>
          <w:sz w:val="18"/>
          <w:szCs w:val="18"/>
          <w:lang w:eastAsia="en-US"/>
        </w:rPr>
        <w:t>; TA = transapical; TF = transfemoral</w:t>
      </w:r>
      <w:r w:rsidR="009C19BF" w:rsidRPr="004746B0">
        <w:rPr>
          <w:sz w:val="18"/>
          <w:szCs w:val="18"/>
        </w:rPr>
        <w:t>; Δ = incremental difference</w:t>
      </w:r>
    </w:p>
    <w:p w14:paraId="3156BDAA" w14:textId="77777777" w:rsidR="00F9695B" w:rsidRPr="008B63C2" w:rsidRDefault="00F9695B" w:rsidP="00F9695B"/>
    <w:p w14:paraId="67B6FF84" w14:textId="77777777" w:rsidR="00F9695B" w:rsidRDefault="00F9695B" w:rsidP="00F9695B">
      <w:r w:rsidRPr="008B63C2">
        <w:t xml:space="preserve">The </w:t>
      </w:r>
      <w:r w:rsidR="007C32E5">
        <w:t>SBA</w:t>
      </w:r>
      <w:r w:rsidR="006A7F8A">
        <w:t xml:space="preserve"> claimed</w:t>
      </w:r>
      <w:r w:rsidRPr="008B63C2">
        <w:t xml:space="preserve"> that the ICER</w:t>
      </w:r>
      <w:r w:rsidR="00EA103A">
        <w:t>/QALY</w:t>
      </w:r>
      <w:r w:rsidRPr="008B63C2">
        <w:t xml:space="preserve"> for transfemoral TAVI procedures </w:t>
      </w:r>
      <w:r w:rsidR="002D7198">
        <w:t>wa</w:t>
      </w:r>
      <w:r w:rsidRPr="008B63C2">
        <w:t xml:space="preserve">s $30,047 and $53,169 </w:t>
      </w:r>
      <w:r w:rsidR="00AF535C">
        <w:t xml:space="preserve">for </w:t>
      </w:r>
      <w:r w:rsidR="002D7198">
        <w:t>transapical TAVI procedures</w:t>
      </w:r>
      <w:r w:rsidR="00EA103A">
        <w:t xml:space="preserve"> (rep</w:t>
      </w:r>
      <w:bookmarkStart w:id="4" w:name="_GoBack"/>
      <w:bookmarkEnd w:id="4"/>
      <w:r w:rsidR="00EA103A">
        <w:t xml:space="preserve">resenting all </w:t>
      </w:r>
      <w:r w:rsidR="00EA103A" w:rsidRPr="008B63C2">
        <w:rPr>
          <w:lang w:eastAsia="ja-JP"/>
        </w:rPr>
        <w:t>minimally invasive surg</w:t>
      </w:r>
      <w:r w:rsidR="00EA103A">
        <w:rPr>
          <w:lang w:eastAsia="ja-JP"/>
        </w:rPr>
        <w:t>ical approaches</w:t>
      </w:r>
      <w:r w:rsidR="00EA103A" w:rsidRPr="008B63C2">
        <w:rPr>
          <w:lang w:eastAsia="ja-JP"/>
        </w:rPr>
        <w:t>)</w:t>
      </w:r>
      <w:r w:rsidR="00AF535C">
        <w:t>.</w:t>
      </w:r>
    </w:p>
    <w:p w14:paraId="1CDEF7BE" w14:textId="77777777" w:rsidR="00BC1364" w:rsidRPr="0075468E" w:rsidRDefault="00BC1364" w:rsidP="00DD2858">
      <w:pPr>
        <w:rPr>
          <w:szCs w:val="24"/>
        </w:rPr>
      </w:pPr>
    </w:p>
    <w:p w14:paraId="30D2EA7F" w14:textId="77777777" w:rsidR="00BC1364" w:rsidRDefault="00BC1364" w:rsidP="007B32D1">
      <w:pPr>
        <w:pStyle w:val="Heading1"/>
        <w:numPr>
          <w:ilvl w:val="0"/>
          <w:numId w:val="23"/>
        </w:numPr>
        <w:ind w:hanging="720"/>
      </w:pPr>
      <w:r w:rsidRPr="008D5885">
        <w:t>Financial/budgetary impacts</w:t>
      </w:r>
    </w:p>
    <w:p w14:paraId="267AE600" w14:textId="77777777" w:rsidR="00BC1364" w:rsidRDefault="00BC1364" w:rsidP="00D340DE">
      <w:pPr>
        <w:pStyle w:val="Default"/>
      </w:pPr>
    </w:p>
    <w:p w14:paraId="53D65C00" w14:textId="77777777" w:rsidR="00F9695B" w:rsidRPr="008B63C2" w:rsidRDefault="00F9695B" w:rsidP="00F9695B">
      <w:r w:rsidRPr="008B63C2">
        <w:t>In 2014</w:t>
      </w:r>
      <w:r>
        <w:t xml:space="preserve">, the </w:t>
      </w:r>
      <w:r w:rsidR="0051452B">
        <w:t xml:space="preserve">unit </w:t>
      </w:r>
      <w:r>
        <w:t xml:space="preserve">cost of </w:t>
      </w:r>
      <w:r w:rsidR="0051452B">
        <w:t>a</w:t>
      </w:r>
      <w:r>
        <w:t xml:space="preserve"> TAVI device was</w:t>
      </w:r>
      <w:r w:rsidRPr="008B63C2">
        <w:t xml:space="preserve"> $33,348 compared to </w:t>
      </w:r>
      <w:r w:rsidR="002D7198">
        <w:t xml:space="preserve">the </w:t>
      </w:r>
      <w:r w:rsidRPr="008B63C2">
        <w:t>cost of</w:t>
      </w:r>
      <w:r w:rsidR="002D7198">
        <w:t xml:space="preserve"> a valve implant used in SAVR of </w:t>
      </w:r>
      <w:r w:rsidR="002D7198" w:rsidRPr="008B63C2">
        <w:t>$5,925</w:t>
      </w:r>
      <w:r w:rsidR="002D7198">
        <w:t>.</w:t>
      </w:r>
    </w:p>
    <w:p w14:paraId="61944936" w14:textId="77777777" w:rsidR="00F9695B" w:rsidRPr="008B63C2" w:rsidRDefault="00F9695B" w:rsidP="00F9695B"/>
    <w:p w14:paraId="10C974F6" w14:textId="77777777" w:rsidR="00F9695B" w:rsidRPr="008B63C2" w:rsidRDefault="002D7198" w:rsidP="00F9695B">
      <w:r>
        <w:t xml:space="preserve">The TAVI </w:t>
      </w:r>
      <w:r w:rsidR="0051452B">
        <w:t>procedure</w:t>
      </w:r>
      <w:r>
        <w:t xml:space="preserve"> wa</w:t>
      </w:r>
      <w:r w:rsidR="00F9695B" w:rsidRPr="008B63C2">
        <w:t xml:space="preserve">s estimated to cost $4,277 per patient, including co-payments ($3,208 excluding co-payments). The comparator, SAVR, </w:t>
      </w:r>
      <w:r>
        <w:t>was estimated to cost</w:t>
      </w:r>
      <w:r w:rsidR="00F9695B" w:rsidRPr="008B63C2">
        <w:t xml:space="preserve"> $5,092 </w:t>
      </w:r>
      <w:r w:rsidR="00F9695B" w:rsidRPr="008B63C2">
        <w:lastRenderedPageBreak/>
        <w:t>including co-payment</w:t>
      </w:r>
      <w:r w:rsidR="0051452B">
        <w:t>s</w:t>
      </w:r>
      <w:r w:rsidR="00F9695B" w:rsidRPr="008B63C2">
        <w:t xml:space="preserve"> and $3,819 excluding co-payment</w:t>
      </w:r>
      <w:r w:rsidR="0051452B">
        <w:t>s</w:t>
      </w:r>
      <w:r w:rsidR="00F9695B" w:rsidRPr="008B63C2">
        <w:t xml:space="preserve">. The comparator of medical management with </w:t>
      </w:r>
      <w:r w:rsidR="000061C4">
        <w:t xml:space="preserve">balloon </w:t>
      </w:r>
      <w:proofErr w:type="spellStart"/>
      <w:r w:rsidR="000061C4">
        <w:t>valvuloplasty</w:t>
      </w:r>
      <w:proofErr w:type="spellEnd"/>
      <w:r w:rsidR="00F9695B" w:rsidRPr="008B63C2">
        <w:t xml:space="preserve"> </w:t>
      </w:r>
      <w:r>
        <w:t>wa</w:t>
      </w:r>
      <w:r w:rsidR="00F9695B" w:rsidRPr="008B63C2">
        <w:t>s estimated to cost $2,143 including co-payment</w:t>
      </w:r>
      <w:r w:rsidR="0051452B">
        <w:t>s</w:t>
      </w:r>
      <w:r w:rsidR="00F9695B" w:rsidRPr="008B63C2">
        <w:t xml:space="preserve"> and $1,607 without co-payment</w:t>
      </w:r>
      <w:r w:rsidR="0051452B">
        <w:t>s</w:t>
      </w:r>
      <w:r>
        <w:t>.</w:t>
      </w:r>
      <w:r w:rsidR="00F9695B" w:rsidRPr="008B63C2">
        <w:t xml:space="preserve"> </w:t>
      </w:r>
      <w:r>
        <w:t>M</w:t>
      </w:r>
      <w:r w:rsidR="00F9695B" w:rsidRPr="008B63C2">
        <w:t xml:space="preserve">edication </w:t>
      </w:r>
      <w:r>
        <w:t>wa</w:t>
      </w:r>
      <w:r w:rsidR="00F9695B" w:rsidRPr="008B63C2">
        <w:t xml:space="preserve">s estimated </w:t>
      </w:r>
      <w:r>
        <w:t>to cost $76.85 per month.</w:t>
      </w:r>
    </w:p>
    <w:p w14:paraId="1B98BAC4" w14:textId="77777777" w:rsidR="00F9695B" w:rsidRPr="008B63C2" w:rsidRDefault="00F9695B" w:rsidP="00F9695B"/>
    <w:p w14:paraId="4D41A9EC" w14:textId="77777777" w:rsidR="00F9695B" w:rsidRPr="0006787A" w:rsidRDefault="00F9695B" w:rsidP="00F9695B">
      <w:pPr>
        <w:contextualSpacing/>
        <w:rPr>
          <w:szCs w:val="24"/>
          <w:lang w:eastAsia="en-US"/>
        </w:rPr>
      </w:pPr>
      <w:r w:rsidRPr="0006787A">
        <w:rPr>
          <w:szCs w:val="24"/>
          <w:lang w:eastAsia="en-US"/>
        </w:rPr>
        <w:t>It</w:t>
      </w:r>
      <w:r w:rsidR="002D7198">
        <w:rPr>
          <w:szCs w:val="24"/>
          <w:lang w:eastAsia="en-US"/>
        </w:rPr>
        <w:t xml:space="preserve"> wa</w:t>
      </w:r>
      <w:r w:rsidRPr="0006787A">
        <w:rPr>
          <w:szCs w:val="24"/>
          <w:lang w:eastAsia="en-US"/>
        </w:rPr>
        <w:t>s estimated that 720 patients in 2015 w</w:t>
      </w:r>
      <w:r w:rsidR="002D7198">
        <w:rPr>
          <w:szCs w:val="24"/>
          <w:lang w:eastAsia="en-US"/>
        </w:rPr>
        <w:t>ould receive TAVI</w:t>
      </w:r>
      <w:r w:rsidR="0051452B">
        <w:rPr>
          <w:szCs w:val="24"/>
          <w:lang w:eastAsia="en-US"/>
        </w:rPr>
        <w:t>.</w:t>
      </w:r>
      <w:r w:rsidR="002D7198">
        <w:rPr>
          <w:szCs w:val="24"/>
          <w:lang w:eastAsia="en-US"/>
        </w:rPr>
        <w:t xml:space="preserve"> </w:t>
      </w:r>
      <w:r w:rsidR="0051452B">
        <w:rPr>
          <w:szCs w:val="24"/>
          <w:lang w:eastAsia="en-US"/>
        </w:rPr>
        <w:t>T</w:t>
      </w:r>
      <w:r w:rsidR="002D7198">
        <w:rPr>
          <w:szCs w:val="24"/>
          <w:lang w:eastAsia="en-US"/>
        </w:rPr>
        <w:t>his included</w:t>
      </w:r>
      <w:r w:rsidRPr="0006787A">
        <w:rPr>
          <w:szCs w:val="24"/>
          <w:lang w:eastAsia="en-US"/>
        </w:rPr>
        <w:t xml:space="preserve"> patients who are 'high risk' but w</w:t>
      </w:r>
      <w:r w:rsidR="002D7198">
        <w:rPr>
          <w:szCs w:val="24"/>
          <w:lang w:eastAsia="en-US"/>
        </w:rPr>
        <w:t>ould</w:t>
      </w:r>
      <w:r w:rsidRPr="0006787A">
        <w:rPr>
          <w:szCs w:val="24"/>
          <w:lang w:eastAsia="en-US"/>
        </w:rPr>
        <w:t xml:space="preserve"> have TAVI instead of SAVR and patients who are currently medically managed who w</w:t>
      </w:r>
      <w:r w:rsidR="002D7198">
        <w:rPr>
          <w:szCs w:val="24"/>
          <w:lang w:eastAsia="en-US"/>
        </w:rPr>
        <w:t>ould</w:t>
      </w:r>
      <w:r w:rsidRPr="0006787A">
        <w:rPr>
          <w:szCs w:val="24"/>
          <w:lang w:eastAsia="en-US"/>
        </w:rPr>
        <w:t xml:space="preserve"> be offe</w:t>
      </w:r>
      <w:r w:rsidR="002D7198">
        <w:rPr>
          <w:szCs w:val="24"/>
          <w:lang w:eastAsia="en-US"/>
        </w:rPr>
        <w:t>red and accepted to have TAVI.</w:t>
      </w:r>
    </w:p>
    <w:p w14:paraId="6B20AFD4" w14:textId="77777777" w:rsidR="00F9695B" w:rsidRPr="0006787A" w:rsidRDefault="00F9695B" w:rsidP="002D7198">
      <w:pPr>
        <w:contextualSpacing/>
        <w:rPr>
          <w:szCs w:val="24"/>
          <w:lang w:eastAsia="en-US"/>
        </w:rPr>
      </w:pPr>
    </w:p>
    <w:p w14:paraId="600643D6" w14:textId="77777777" w:rsidR="00F9695B" w:rsidRPr="0006787A" w:rsidRDefault="00F9695B" w:rsidP="00F9695B">
      <w:pPr>
        <w:rPr>
          <w:szCs w:val="24"/>
          <w:lang w:eastAsia="en-US"/>
        </w:rPr>
      </w:pPr>
      <w:r>
        <w:rPr>
          <w:szCs w:val="24"/>
          <w:lang w:eastAsia="en-US"/>
        </w:rPr>
        <w:t>The tables</w:t>
      </w:r>
      <w:r w:rsidRPr="0006787A">
        <w:rPr>
          <w:szCs w:val="24"/>
          <w:lang w:eastAsia="en-US"/>
        </w:rPr>
        <w:t xml:space="preserve"> below present net financial implications </w:t>
      </w:r>
      <w:r w:rsidR="002D7198">
        <w:rPr>
          <w:szCs w:val="24"/>
          <w:lang w:eastAsia="en-US"/>
        </w:rPr>
        <w:t xml:space="preserve">to the MBS and across all government health </w:t>
      </w:r>
      <w:r w:rsidR="0051452B">
        <w:rPr>
          <w:szCs w:val="24"/>
          <w:lang w:eastAsia="en-US"/>
        </w:rPr>
        <w:t xml:space="preserve">and private health insurance </w:t>
      </w:r>
      <w:r w:rsidR="002D7198">
        <w:rPr>
          <w:szCs w:val="24"/>
          <w:lang w:eastAsia="en-US"/>
        </w:rPr>
        <w:t>budgets,</w:t>
      </w:r>
      <w:r w:rsidRPr="0006787A">
        <w:rPr>
          <w:szCs w:val="24"/>
          <w:lang w:eastAsia="en-US"/>
        </w:rPr>
        <w:t xml:space="preserve"> respectiv</w:t>
      </w:r>
      <w:r w:rsidR="002D7198">
        <w:rPr>
          <w:szCs w:val="24"/>
          <w:lang w:eastAsia="en-US"/>
        </w:rPr>
        <w:t>ely.</w:t>
      </w:r>
    </w:p>
    <w:p w14:paraId="28EB8674" w14:textId="77777777" w:rsidR="00F9695B" w:rsidRPr="0006787A" w:rsidRDefault="00F9695B" w:rsidP="00F26C06">
      <w:pPr>
        <w:pStyle w:val="Tabletextboldleft"/>
      </w:pPr>
      <w:r w:rsidRPr="0006787A">
        <w:t>Net financial implications to the MBS</w:t>
      </w:r>
    </w:p>
    <w:tbl>
      <w:tblPr>
        <w:tblStyle w:val="TableGrid1"/>
        <w:tblW w:w="0" w:type="auto"/>
        <w:tblLook w:val="04A0" w:firstRow="1" w:lastRow="0" w:firstColumn="1" w:lastColumn="0" w:noHBand="0" w:noVBand="1"/>
        <w:tblCaption w:val="Net financial implications to the MBS"/>
      </w:tblPr>
      <w:tblGrid>
        <w:gridCol w:w="3369"/>
        <w:gridCol w:w="1134"/>
        <w:gridCol w:w="1134"/>
        <w:gridCol w:w="1134"/>
        <w:gridCol w:w="1134"/>
        <w:gridCol w:w="1200"/>
      </w:tblGrid>
      <w:tr w:rsidR="00F9695B" w:rsidRPr="002D7198" w14:paraId="478BCBC1" w14:textId="77777777" w:rsidTr="001472CD">
        <w:trPr>
          <w:tblHeader/>
        </w:trPr>
        <w:tc>
          <w:tcPr>
            <w:tcW w:w="3369" w:type="dxa"/>
          </w:tcPr>
          <w:p w14:paraId="6E91E794" w14:textId="77777777" w:rsidR="00F9695B" w:rsidRPr="002D7198" w:rsidRDefault="00F9695B" w:rsidP="00F9695B">
            <w:pPr>
              <w:rPr>
                <w:rFonts w:ascii="Times New Roman" w:hAnsi="Times New Roman"/>
                <w:sz w:val="20"/>
              </w:rPr>
            </w:pPr>
            <w:r w:rsidRPr="002D7198">
              <w:rPr>
                <w:rFonts w:ascii="Times New Roman" w:eastAsia="Arial Narrow" w:hAnsi="Times New Roman"/>
                <w:b/>
                <w:bCs/>
                <w:sz w:val="20"/>
                <w:lang w:val="en-GB"/>
              </w:rPr>
              <w:t>Variable</w:t>
            </w:r>
          </w:p>
        </w:tc>
        <w:tc>
          <w:tcPr>
            <w:tcW w:w="1134" w:type="dxa"/>
          </w:tcPr>
          <w:p w14:paraId="6E6E17FE" w14:textId="77777777" w:rsidR="00F9695B" w:rsidRPr="002D7198" w:rsidRDefault="00F9695B" w:rsidP="00F9695B">
            <w:pPr>
              <w:rPr>
                <w:rFonts w:ascii="Times New Roman" w:hAnsi="Times New Roman"/>
                <w:sz w:val="20"/>
              </w:rPr>
            </w:pPr>
            <w:r w:rsidRPr="002D7198">
              <w:rPr>
                <w:rFonts w:ascii="Times New Roman" w:eastAsia="Arial Narrow" w:hAnsi="Times New Roman"/>
                <w:b/>
                <w:bCs/>
                <w:sz w:val="20"/>
                <w:lang w:val="en-GB"/>
              </w:rPr>
              <w:t>2015</w:t>
            </w:r>
          </w:p>
        </w:tc>
        <w:tc>
          <w:tcPr>
            <w:tcW w:w="1134" w:type="dxa"/>
          </w:tcPr>
          <w:p w14:paraId="109B559A" w14:textId="77777777" w:rsidR="00F9695B" w:rsidRPr="002D7198" w:rsidRDefault="00F9695B" w:rsidP="00F9695B">
            <w:pPr>
              <w:rPr>
                <w:rFonts w:ascii="Times New Roman" w:hAnsi="Times New Roman"/>
                <w:sz w:val="20"/>
              </w:rPr>
            </w:pPr>
            <w:r w:rsidRPr="002D7198">
              <w:rPr>
                <w:rFonts w:ascii="Times New Roman" w:eastAsia="Arial Narrow" w:hAnsi="Times New Roman"/>
                <w:b/>
                <w:bCs/>
                <w:sz w:val="20"/>
                <w:lang w:val="en-GB"/>
              </w:rPr>
              <w:t>2016</w:t>
            </w:r>
          </w:p>
        </w:tc>
        <w:tc>
          <w:tcPr>
            <w:tcW w:w="1134" w:type="dxa"/>
          </w:tcPr>
          <w:p w14:paraId="322F9ED5" w14:textId="77777777" w:rsidR="00F9695B" w:rsidRPr="002D7198" w:rsidRDefault="00F9695B" w:rsidP="00F9695B">
            <w:pPr>
              <w:rPr>
                <w:rFonts w:ascii="Times New Roman" w:hAnsi="Times New Roman"/>
                <w:sz w:val="20"/>
              </w:rPr>
            </w:pPr>
            <w:r w:rsidRPr="002D7198">
              <w:rPr>
                <w:rFonts w:ascii="Times New Roman" w:eastAsia="Arial Narrow" w:hAnsi="Times New Roman"/>
                <w:b/>
                <w:bCs/>
                <w:sz w:val="20"/>
                <w:lang w:val="en-GB"/>
              </w:rPr>
              <w:t>2017</w:t>
            </w:r>
          </w:p>
        </w:tc>
        <w:tc>
          <w:tcPr>
            <w:tcW w:w="1134" w:type="dxa"/>
          </w:tcPr>
          <w:p w14:paraId="67ED1975" w14:textId="77777777" w:rsidR="00F9695B" w:rsidRPr="002D7198" w:rsidRDefault="00F9695B" w:rsidP="00F9695B">
            <w:pPr>
              <w:rPr>
                <w:rFonts w:ascii="Times New Roman" w:hAnsi="Times New Roman"/>
                <w:sz w:val="20"/>
              </w:rPr>
            </w:pPr>
            <w:r w:rsidRPr="002D7198">
              <w:rPr>
                <w:rFonts w:ascii="Times New Roman" w:eastAsia="Arial Narrow" w:hAnsi="Times New Roman"/>
                <w:b/>
                <w:bCs/>
                <w:sz w:val="20"/>
                <w:lang w:val="en-GB"/>
              </w:rPr>
              <w:t>2018</w:t>
            </w:r>
          </w:p>
        </w:tc>
        <w:tc>
          <w:tcPr>
            <w:tcW w:w="1200" w:type="dxa"/>
          </w:tcPr>
          <w:p w14:paraId="0DF693AB" w14:textId="77777777" w:rsidR="00F9695B" w:rsidRPr="002D7198" w:rsidRDefault="00F9695B" w:rsidP="00F9695B">
            <w:pPr>
              <w:rPr>
                <w:rFonts w:ascii="Times New Roman" w:hAnsi="Times New Roman"/>
                <w:sz w:val="20"/>
              </w:rPr>
            </w:pPr>
            <w:r w:rsidRPr="002D7198">
              <w:rPr>
                <w:rFonts w:ascii="Times New Roman" w:eastAsia="Arial Narrow" w:hAnsi="Times New Roman"/>
                <w:b/>
                <w:bCs/>
                <w:sz w:val="20"/>
                <w:lang w:val="en-GB"/>
              </w:rPr>
              <w:t>2019</w:t>
            </w:r>
          </w:p>
        </w:tc>
      </w:tr>
      <w:tr w:rsidR="00F9695B" w:rsidRPr="002D7198" w14:paraId="49816259" w14:textId="77777777" w:rsidTr="002D7198">
        <w:tc>
          <w:tcPr>
            <w:tcW w:w="3369" w:type="dxa"/>
          </w:tcPr>
          <w:p w14:paraId="591493A3" w14:textId="77777777" w:rsidR="00F9695B" w:rsidRPr="002D7198" w:rsidRDefault="00F9695B" w:rsidP="00F9695B">
            <w:pPr>
              <w:jc w:val="both"/>
              <w:rPr>
                <w:rFonts w:ascii="Times New Roman" w:hAnsi="Times New Roman"/>
                <w:sz w:val="20"/>
              </w:rPr>
            </w:pPr>
            <w:r w:rsidRPr="002D7198">
              <w:rPr>
                <w:rFonts w:ascii="Times New Roman" w:eastAsia="Arial Narrow" w:hAnsi="Times New Roman"/>
                <w:sz w:val="20"/>
                <w:lang w:val="en-GB"/>
              </w:rPr>
              <w:t xml:space="preserve">Total cost of TAVI </w:t>
            </w:r>
            <w:r w:rsidR="002D7198">
              <w:rPr>
                <w:rFonts w:ascii="Times New Roman" w:eastAsia="Arial Narrow" w:hAnsi="Times New Roman"/>
                <w:sz w:val="20"/>
                <w:lang w:val="en-GB"/>
              </w:rPr>
              <w:t>to the MBS</w:t>
            </w:r>
          </w:p>
        </w:tc>
        <w:tc>
          <w:tcPr>
            <w:tcW w:w="1134" w:type="dxa"/>
          </w:tcPr>
          <w:p w14:paraId="0570BCF8" w14:textId="77777777" w:rsidR="00F9695B" w:rsidRPr="002D7198" w:rsidRDefault="00F9695B" w:rsidP="00F9695B">
            <w:pPr>
              <w:jc w:val="right"/>
              <w:rPr>
                <w:rFonts w:ascii="Times New Roman" w:hAnsi="Times New Roman"/>
                <w:sz w:val="20"/>
              </w:rPr>
            </w:pPr>
            <w:r w:rsidRPr="002D7198">
              <w:rPr>
                <w:rFonts w:ascii="Times New Roman" w:eastAsia="Arial Narrow" w:hAnsi="Times New Roman"/>
                <w:color w:val="000000"/>
                <w:sz w:val="20"/>
                <w:lang w:val="en-GB"/>
              </w:rPr>
              <w:t>$2,309,681</w:t>
            </w:r>
          </w:p>
        </w:tc>
        <w:tc>
          <w:tcPr>
            <w:tcW w:w="1134" w:type="dxa"/>
          </w:tcPr>
          <w:p w14:paraId="510E2705" w14:textId="77777777" w:rsidR="00F9695B" w:rsidRPr="002D7198" w:rsidRDefault="00F9695B" w:rsidP="00F9695B">
            <w:pPr>
              <w:jc w:val="right"/>
              <w:rPr>
                <w:rFonts w:ascii="Times New Roman" w:hAnsi="Times New Roman"/>
                <w:sz w:val="20"/>
              </w:rPr>
            </w:pPr>
            <w:r w:rsidRPr="002D7198">
              <w:rPr>
                <w:rFonts w:ascii="Times New Roman" w:eastAsia="Arial Narrow" w:hAnsi="Times New Roman"/>
                <w:color w:val="000000"/>
                <w:sz w:val="20"/>
                <w:lang w:val="en-GB"/>
              </w:rPr>
              <w:t>$2,386,670</w:t>
            </w:r>
          </w:p>
        </w:tc>
        <w:tc>
          <w:tcPr>
            <w:tcW w:w="1134" w:type="dxa"/>
          </w:tcPr>
          <w:p w14:paraId="26FBDC1C" w14:textId="77777777" w:rsidR="00F9695B" w:rsidRPr="002D7198" w:rsidRDefault="00F9695B" w:rsidP="00F9695B">
            <w:pPr>
              <w:jc w:val="right"/>
              <w:rPr>
                <w:rFonts w:ascii="Times New Roman" w:hAnsi="Times New Roman"/>
                <w:sz w:val="20"/>
              </w:rPr>
            </w:pPr>
            <w:r w:rsidRPr="002D7198">
              <w:rPr>
                <w:rFonts w:ascii="Times New Roman" w:eastAsia="Arial Narrow" w:hAnsi="Times New Roman"/>
                <w:color w:val="000000"/>
                <w:sz w:val="20"/>
                <w:lang w:val="en-GB"/>
              </w:rPr>
              <w:t>$2,463,660</w:t>
            </w:r>
          </w:p>
        </w:tc>
        <w:tc>
          <w:tcPr>
            <w:tcW w:w="1134" w:type="dxa"/>
          </w:tcPr>
          <w:p w14:paraId="2737EA3A" w14:textId="77777777" w:rsidR="00F9695B" w:rsidRPr="002D7198" w:rsidRDefault="00F9695B" w:rsidP="00F9695B">
            <w:pPr>
              <w:jc w:val="right"/>
              <w:rPr>
                <w:rFonts w:ascii="Times New Roman" w:hAnsi="Times New Roman"/>
                <w:sz w:val="20"/>
              </w:rPr>
            </w:pPr>
            <w:r w:rsidRPr="002D7198">
              <w:rPr>
                <w:rFonts w:ascii="Times New Roman" w:eastAsia="Arial Narrow" w:hAnsi="Times New Roman"/>
                <w:color w:val="000000"/>
                <w:sz w:val="20"/>
                <w:lang w:val="en-GB"/>
              </w:rPr>
              <w:t>$2,543,857</w:t>
            </w:r>
          </w:p>
        </w:tc>
        <w:tc>
          <w:tcPr>
            <w:tcW w:w="1200" w:type="dxa"/>
          </w:tcPr>
          <w:p w14:paraId="2721748F" w14:textId="77777777" w:rsidR="00F9695B" w:rsidRPr="002D7198" w:rsidRDefault="00F9695B" w:rsidP="00F9695B">
            <w:pPr>
              <w:jc w:val="right"/>
              <w:rPr>
                <w:rFonts w:ascii="Times New Roman" w:hAnsi="Times New Roman"/>
                <w:sz w:val="20"/>
              </w:rPr>
            </w:pPr>
            <w:r w:rsidRPr="002D7198">
              <w:rPr>
                <w:rFonts w:ascii="Times New Roman" w:eastAsia="Arial Narrow" w:hAnsi="Times New Roman"/>
                <w:color w:val="000000"/>
                <w:sz w:val="20"/>
                <w:lang w:val="en-GB"/>
              </w:rPr>
              <w:t>$2,624,054</w:t>
            </w:r>
          </w:p>
        </w:tc>
      </w:tr>
      <w:tr w:rsidR="00F9695B" w:rsidRPr="002D7198" w14:paraId="1F1A3EAB" w14:textId="77777777" w:rsidTr="002D7198">
        <w:tc>
          <w:tcPr>
            <w:tcW w:w="3369" w:type="dxa"/>
          </w:tcPr>
          <w:p w14:paraId="03A6C65B" w14:textId="77777777" w:rsidR="00F9695B" w:rsidRPr="002D7198" w:rsidRDefault="00F9695B" w:rsidP="00F9695B">
            <w:pPr>
              <w:jc w:val="both"/>
              <w:rPr>
                <w:rFonts w:ascii="Times New Roman" w:hAnsi="Times New Roman"/>
                <w:sz w:val="20"/>
              </w:rPr>
            </w:pPr>
            <w:r w:rsidRPr="002D7198">
              <w:rPr>
                <w:rFonts w:ascii="Times New Roman" w:eastAsia="Arial Narrow" w:hAnsi="Times New Roman"/>
                <w:sz w:val="20"/>
                <w:lang w:val="en-GB"/>
              </w:rPr>
              <w:t xml:space="preserve">Total cost offsets </w:t>
            </w:r>
            <w:r w:rsidR="002D7198">
              <w:rPr>
                <w:rFonts w:ascii="Times New Roman" w:eastAsia="Arial Narrow" w:hAnsi="Times New Roman"/>
                <w:sz w:val="20"/>
                <w:lang w:val="en-GB"/>
              </w:rPr>
              <w:t xml:space="preserve">to the MBS </w:t>
            </w:r>
            <w:r w:rsidRPr="002D7198">
              <w:rPr>
                <w:rFonts w:ascii="Times New Roman" w:eastAsia="Arial Narrow" w:hAnsi="Times New Roman"/>
                <w:sz w:val="20"/>
                <w:lang w:val="en-GB"/>
              </w:rPr>
              <w:t>from substitution of SAVR / BAV</w:t>
            </w:r>
          </w:p>
        </w:tc>
        <w:tc>
          <w:tcPr>
            <w:tcW w:w="1134" w:type="dxa"/>
          </w:tcPr>
          <w:p w14:paraId="30143241" w14:textId="77777777" w:rsidR="00F9695B" w:rsidRPr="002D7198" w:rsidRDefault="00F9695B" w:rsidP="00F9695B">
            <w:pPr>
              <w:jc w:val="right"/>
              <w:rPr>
                <w:rFonts w:ascii="Times New Roman" w:hAnsi="Times New Roman"/>
                <w:sz w:val="20"/>
              </w:rPr>
            </w:pPr>
            <w:r w:rsidRPr="002D7198">
              <w:rPr>
                <w:rFonts w:ascii="Times New Roman" w:eastAsia="Arial Narrow" w:hAnsi="Times New Roman"/>
                <w:color w:val="000000"/>
                <w:sz w:val="20"/>
                <w:lang w:val="en-GB"/>
              </w:rPr>
              <w:t>$1,030,207</w:t>
            </w:r>
          </w:p>
        </w:tc>
        <w:tc>
          <w:tcPr>
            <w:tcW w:w="1134" w:type="dxa"/>
          </w:tcPr>
          <w:p w14:paraId="11D8AD00" w14:textId="77777777" w:rsidR="00F9695B" w:rsidRPr="002D7198" w:rsidRDefault="00F9695B" w:rsidP="00F9695B">
            <w:pPr>
              <w:jc w:val="right"/>
              <w:rPr>
                <w:rFonts w:ascii="Times New Roman" w:hAnsi="Times New Roman"/>
                <w:sz w:val="20"/>
              </w:rPr>
            </w:pPr>
            <w:r w:rsidRPr="002D7198">
              <w:rPr>
                <w:rFonts w:ascii="Times New Roman" w:eastAsia="Arial Narrow" w:hAnsi="Times New Roman"/>
                <w:color w:val="000000"/>
                <w:sz w:val="20"/>
                <w:lang w:val="en-GB"/>
              </w:rPr>
              <w:t>$1,064,524</w:t>
            </w:r>
          </w:p>
        </w:tc>
        <w:tc>
          <w:tcPr>
            <w:tcW w:w="1134" w:type="dxa"/>
          </w:tcPr>
          <w:p w14:paraId="4071941E" w14:textId="77777777" w:rsidR="00F9695B" w:rsidRPr="002D7198" w:rsidRDefault="00F9695B" w:rsidP="00F9695B">
            <w:pPr>
              <w:jc w:val="right"/>
              <w:rPr>
                <w:rFonts w:ascii="Times New Roman" w:hAnsi="Times New Roman"/>
                <w:sz w:val="20"/>
              </w:rPr>
            </w:pPr>
            <w:r w:rsidRPr="002D7198">
              <w:rPr>
                <w:rFonts w:ascii="Times New Roman" w:eastAsia="Arial Narrow" w:hAnsi="Times New Roman"/>
                <w:color w:val="000000"/>
                <w:sz w:val="20"/>
                <w:lang w:val="en-GB"/>
              </w:rPr>
              <w:t>$1,101,052</w:t>
            </w:r>
          </w:p>
        </w:tc>
        <w:tc>
          <w:tcPr>
            <w:tcW w:w="1134" w:type="dxa"/>
          </w:tcPr>
          <w:p w14:paraId="604C28CD" w14:textId="77777777" w:rsidR="00F9695B" w:rsidRPr="002D7198" w:rsidRDefault="00F9695B" w:rsidP="00F9695B">
            <w:pPr>
              <w:jc w:val="right"/>
              <w:rPr>
                <w:rFonts w:ascii="Times New Roman" w:hAnsi="Times New Roman"/>
                <w:sz w:val="20"/>
              </w:rPr>
            </w:pPr>
            <w:r w:rsidRPr="002D7198">
              <w:rPr>
                <w:rFonts w:ascii="Times New Roman" w:eastAsia="Arial Narrow" w:hAnsi="Times New Roman"/>
                <w:color w:val="000000"/>
                <w:sz w:val="20"/>
                <w:lang w:val="en-GB"/>
              </w:rPr>
              <w:t>$1,134,791</w:t>
            </w:r>
          </w:p>
        </w:tc>
        <w:tc>
          <w:tcPr>
            <w:tcW w:w="1200" w:type="dxa"/>
          </w:tcPr>
          <w:p w14:paraId="64C61B82" w14:textId="77777777" w:rsidR="00F9695B" w:rsidRPr="002D7198" w:rsidRDefault="00F9695B" w:rsidP="00F9695B">
            <w:pPr>
              <w:jc w:val="right"/>
              <w:rPr>
                <w:rFonts w:ascii="Times New Roman" w:hAnsi="Times New Roman"/>
                <w:sz w:val="20"/>
              </w:rPr>
            </w:pPr>
            <w:r w:rsidRPr="002D7198">
              <w:rPr>
                <w:rFonts w:ascii="Times New Roman" w:eastAsia="Arial Narrow" w:hAnsi="Times New Roman"/>
                <w:color w:val="000000"/>
                <w:sz w:val="20"/>
                <w:lang w:val="en-GB"/>
              </w:rPr>
              <w:t>$1,169,623</w:t>
            </w:r>
          </w:p>
        </w:tc>
      </w:tr>
      <w:tr w:rsidR="00F9695B" w:rsidRPr="002D7198" w14:paraId="2D000149" w14:textId="77777777" w:rsidTr="002D7198">
        <w:tc>
          <w:tcPr>
            <w:tcW w:w="3369" w:type="dxa"/>
          </w:tcPr>
          <w:p w14:paraId="4CE2E3F0" w14:textId="77777777" w:rsidR="00F9695B" w:rsidRPr="002D7198" w:rsidRDefault="002D7198" w:rsidP="002D7198">
            <w:pPr>
              <w:jc w:val="both"/>
              <w:rPr>
                <w:rFonts w:ascii="Times New Roman" w:hAnsi="Times New Roman"/>
                <w:sz w:val="20"/>
              </w:rPr>
            </w:pPr>
            <w:r>
              <w:rPr>
                <w:rFonts w:ascii="Times New Roman" w:eastAsia="Arial Narrow" w:hAnsi="Times New Roman"/>
                <w:sz w:val="20"/>
                <w:lang w:val="en-GB"/>
              </w:rPr>
              <w:t>Net cost of TAVI to the MBS</w:t>
            </w:r>
          </w:p>
        </w:tc>
        <w:tc>
          <w:tcPr>
            <w:tcW w:w="1134" w:type="dxa"/>
          </w:tcPr>
          <w:p w14:paraId="374F4268" w14:textId="77777777" w:rsidR="00F9695B" w:rsidRPr="002D7198" w:rsidRDefault="00F9695B" w:rsidP="00F9695B">
            <w:pPr>
              <w:jc w:val="right"/>
              <w:rPr>
                <w:rFonts w:ascii="Times New Roman" w:hAnsi="Times New Roman"/>
                <w:sz w:val="20"/>
              </w:rPr>
            </w:pPr>
            <w:r w:rsidRPr="002D7198">
              <w:rPr>
                <w:rFonts w:ascii="Times New Roman" w:eastAsia="Arial Narrow" w:hAnsi="Times New Roman"/>
                <w:color w:val="000000"/>
                <w:sz w:val="20"/>
                <w:lang w:val="en-GB"/>
              </w:rPr>
              <w:t>$1,048,506</w:t>
            </w:r>
          </w:p>
        </w:tc>
        <w:tc>
          <w:tcPr>
            <w:tcW w:w="1134" w:type="dxa"/>
          </w:tcPr>
          <w:p w14:paraId="76B36FE9" w14:textId="77777777" w:rsidR="00F9695B" w:rsidRPr="002D7198" w:rsidRDefault="00F9695B" w:rsidP="00F9695B">
            <w:pPr>
              <w:jc w:val="right"/>
              <w:rPr>
                <w:rFonts w:ascii="Times New Roman" w:hAnsi="Times New Roman"/>
                <w:sz w:val="20"/>
              </w:rPr>
            </w:pPr>
            <w:r w:rsidRPr="002D7198">
              <w:rPr>
                <w:rFonts w:ascii="Times New Roman" w:eastAsia="Arial Narrow" w:hAnsi="Times New Roman"/>
                <w:color w:val="000000"/>
                <w:sz w:val="20"/>
                <w:lang w:val="en-GB"/>
              </w:rPr>
              <w:t>$1,084,763</w:t>
            </w:r>
          </w:p>
        </w:tc>
        <w:tc>
          <w:tcPr>
            <w:tcW w:w="1134" w:type="dxa"/>
          </w:tcPr>
          <w:p w14:paraId="5CD93F92" w14:textId="77777777" w:rsidR="00F9695B" w:rsidRPr="002D7198" w:rsidRDefault="00F9695B" w:rsidP="00F9695B">
            <w:pPr>
              <w:jc w:val="right"/>
              <w:rPr>
                <w:rFonts w:ascii="Times New Roman" w:hAnsi="Times New Roman"/>
                <w:sz w:val="20"/>
              </w:rPr>
            </w:pPr>
            <w:r w:rsidRPr="002D7198">
              <w:rPr>
                <w:rFonts w:ascii="Times New Roman" w:eastAsia="Arial Narrow" w:hAnsi="Times New Roman"/>
                <w:color w:val="000000"/>
                <w:sz w:val="20"/>
                <w:lang w:val="en-GB"/>
              </w:rPr>
              <w:t>$1,118,808</w:t>
            </w:r>
          </w:p>
        </w:tc>
        <w:tc>
          <w:tcPr>
            <w:tcW w:w="1134" w:type="dxa"/>
          </w:tcPr>
          <w:p w14:paraId="15689CAF" w14:textId="77777777" w:rsidR="00F9695B" w:rsidRPr="002D7198" w:rsidRDefault="00F9695B" w:rsidP="00F9695B">
            <w:pPr>
              <w:jc w:val="right"/>
              <w:rPr>
                <w:rFonts w:ascii="Times New Roman" w:hAnsi="Times New Roman"/>
                <w:sz w:val="20"/>
              </w:rPr>
            </w:pPr>
            <w:r w:rsidRPr="002D7198">
              <w:rPr>
                <w:rFonts w:ascii="Times New Roman" w:eastAsia="Arial Narrow" w:hAnsi="Times New Roman"/>
                <w:color w:val="000000"/>
                <w:sz w:val="20"/>
                <w:lang w:val="en-GB"/>
              </w:rPr>
              <w:t>$1,155,642</w:t>
            </w:r>
          </w:p>
        </w:tc>
        <w:tc>
          <w:tcPr>
            <w:tcW w:w="1200" w:type="dxa"/>
          </w:tcPr>
          <w:p w14:paraId="694F947A" w14:textId="77777777" w:rsidR="00F9695B" w:rsidRPr="002D7198" w:rsidRDefault="00F9695B" w:rsidP="00F9695B">
            <w:pPr>
              <w:jc w:val="right"/>
              <w:rPr>
                <w:rFonts w:ascii="Times New Roman" w:hAnsi="Times New Roman"/>
                <w:sz w:val="20"/>
              </w:rPr>
            </w:pPr>
            <w:r w:rsidRPr="002D7198">
              <w:rPr>
                <w:rFonts w:ascii="Times New Roman" w:eastAsia="Arial Narrow" w:hAnsi="Times New Roman"/>
                <w:color w:val="000000"/>
                <w:sz w:val="20"/>
                <w:lang w:val="en-GB"/>
              </w:rPr>
              <w:t>$1,194,592</w:t>
            </w:r>
          </w:p>
        </w:tc>
      </w:tr>
    </w:tbl>
    <w:p w14:paraId="0CD5447D" w14:textId="77777777" w:rsidR="00F9695B" w:rsidRPr="0006787A" w:rsidRDefault="00F9695B" w:rsidP="00F26C06">
      <w:pPr>
        <w:pStyle w:val="Tabletextboldleft"/>
      </w:pPr>
      <w:r w:rsidRPr="0006787A">
        <w:rPr>
          <w:noProof/>
        </w:rPr>
        <w:t xml:space="preserve">Total financial implications to other government </w:t>
      </w:r>
      <w:r w:rsidR="0051452B">
        <w:rPr>
          <w:noProof/>
        </w:rPr>
        <w:t xml:space="preserve">and private health insurance </w:t>
      </w:r>
      <w:r w:rsidRPr="0006787A">
        <w:rPr>
          <w:noProof/>
        </w:rPr>
        <w:t>budgets</w:t>
      </w:r>
    </w:p>
    <w:tbl>
      <w:tblPr>
        <w:tblStyle w:val="Summarybox3"/>
        <w:tblW w:w="4903" w:type="pct"/>
        <w:tblLook w:val="04A0" w:firstRow="1" w:lastRow="0" w:firstColumn="1" w:lastColumn="0" w:noHBand="0" w:noVBand="1"/>
        <w:tblCaption w:val="Total financial implications to other government budgets"/>
      </w:tblPr>
      <w:tblGrid>
        <w:gridCol w:w="2803"/>
        <w:gridCol w:w="1274"/>
        <w:gridCol w:w="1276"/>
        <w:gridCol w:w="1276"/>
        <w:gridCol w:w="1218"/>
        <w:gridCol w:w="1216"/>
      </w:tblGrid>
      <w:tr w:rsidR="00F9695B" w:rsidRPr="002D7198" w14:paraId="7862A1AF" w14:textId="77777777" w:rsidTr="001472CD">
        <w:trPr>
          <w:tblHeader/>
        </w:trPr>
        <w:tc>
          <w:tcPr>
            <w:tcW w:w="1546" w:type="pct"/>
            <w:tcBorders>
              <w:bottom w:val="single" w:sz="4" w:space="0" w:color="000000"/>
            </w:tcBorders>
            <w:shd w:val="clear" w:color="auto" w:fill="auto"/>
          </w:tcPr>
          <w:p w14:paraId="6CB12BE0" w14:textId="77777777" w:rsidR="00F9695B" w:rsidRPr="002D7198" w:rsidRDefault="00F9695B" w:rsidP="00F9695B">
            <w:pPr>
              <w:keepNext/>
              <w:rPr>
                <w:rFonts w:ascii="Times New Roman" w:hAnsi="Times New Roman"/>
                <w:b/>
                <w:sz w:val="20"/>
                <w:lang w:val="en-GB" w:eastAsia="en-US"/>
              </w:rPr>
            </w:pPr>
            <w:r w:rsidRPr="002D7198">
              <w:rPr>
                <w:rFonts w:ascii="Times New Roman" w:hAnsi="Times New Roman"/>
                <w:b/>
                <w:sz w:val="20"/>
                <w:lang w:val="en-GB" w:eastAsia="en-US"/>
              </w:rPr>
              <w:t xml:space="preserve">Variable </w:t>
            </w:r>
          </w:p>
        </w:tc>
        <w:tc>
          <w:tcPr>
            <w:tcW w:w="703" w:type="pct"/>
            <w:tcBorders>
              <w:bottom w:val="single" w:sz="4" w:space="0" w:color="000000"/>
            </w:tcBorders>
            <w:shd w:val="clear" w:color="auto" w:fill="auto"/>
            <w:vAlign w:val="center"/>
          </w:tcPr>
          <w:p w14:paraId="63ED209E" w14:textId="77777777" w:rsidR="00F9695B" w:rsidRPr="002D7198" w:rsidRDefault="00F9695B" w:rsidP="00F9695B">
            <w:pPr>
              <w:keepNext/>
              <w:jc w:val="center"/>
              <w:rPr>
                <w:rFonts w:ascii="Times New Roman" w:hAnsi="Times New Roman"/>
                <w:b/>
                <w:sz w:val="20"/>
                <w:lang w:val="en-GB" w:eastAsia="en-US"/>
              </w:rPr>
            </w:pPr>
            <w:r w:rsidRPr="002D7198">
              <w:rPr>
                <w:rFonts w:ascii="Times New Roman" w:hAnsi="Times New Roman"/>
                <w:b/>
                <w:sz w:val="20"/>
                <w:lang w:val="en-GB" w:eastAsia="en-US"/>
              </w:rPr>
              <w:t>2015</w:t>
            </w:r>
          </w:p>
        </w:tc>
        <w:tc>
          <w:tcPr>
            <w:tcW w:w="704" w:type="pct"/>
            <w:tcBorders>
              <w:bottom w:val="single" w:sz="4" w:space="0" w:color="000000"/>
            </w:tcBorders>
            <w:shd w:val="clear" w:color="auto" w:fill="auto"/>
            <w:vAlign w:val="center"/>
          </w:tcPr>
          <w:p w14:paraId="1B092B23" w14:textId="77777777" w:rsidR="00F9695B" w:rsidRPr="002D7198" w:rsidRDefault="00F9695B" w:rsidP="00F9695B">
            <w:pPr>
              <w:keepNext/>
              <w:jc w:val="center"/>
              <w:rPr>
                <w:rFonts w:ascii="Times New Roman" w:hAnsi="Times New Roman"/>
                <w:b/>
                <w:sz w:val="20"/>
                <w:lang w:val="en-GB" w:eastAsia="en-US"/>
              </w:rPr>
            </w:pPr>
            <w:r w:rsidRPr="002D7198">
              <w:rPr>
                <w:rFonts w:ascii="Times New Roman" w:hAnsi="Times New Roman"/>
                <w:b/>
                <w:sz w:val="20"/>
                <w:lang w:val="en-GB" w:eastAsia="en-US"/>
              </w:rPr>
              <w:t>2016</w:t>
            </w:r>
          </w:p>
        </w:tc>
        <w:tc>
          <w:tcPr>
            <w:tcW w:w="704" w:type="pct"/>
            <w:tcBorders>
              <w:bottom w:val="single" w:sz="4" w:space="0" w:color="000000"/>
            </w:tcBorders>
            <w:shd w:val="clear" w:color="auto" w:fill="auto"/>
            <w:vAlign w:val="center"/>
          </w:tcPr>
          <w:p w14:paraId="49C89A1B" w14:textId="77777777" w:rsidR="00F9695B" w:rsidRPr="002D7198" w:rsidRDefault="00F9695B" w:rsidP="00F9695B">
            <w:pPr>
              <w:keepNext/>
              <w:jc w:val="center"/>
              <w:rPr>
                <w:rFonts w:ascii="Times New Roman" w:hAnsi="Times New Roman"/>
                <w:b/>
                <w:sz w:val="20"/>
                <w:lang w:val="en-GB" w:eastAsia="en-US"/>
              </w:rPr>
            </w:pPr>
            <w:r w:rsidRPr="002D7198">
              <w:rPr>
                <w:rFonts w:ascii="Times New Roman" w:hAnsi="Times New Roman"/>
                <w:b/>
                <w:sz w:val="20"/>
                <w:lang w:val="en-GB" w:eastAsia="en-US"/>
              </w:rPr>
              <w:t>2017</w:t>
            </w:r>
          </w:p>
        </w:tc>
        <w:tc>
          <w:tcPr>
            <w:tcW w:w="672" w:type="pct"/>
            <w:tcBorders>
              <w:bottom w:val="single" w:sz="4" w:space="0" w:color="000000"/>
            </w:tcBorders>
            <w:shd w:val="clear" w:color="auto" w:fill="auto"/>
            <w:vAlign w:val="center"/>
          </w:tcPr>
          <w:p w14:paraId="2FCCE716" w14:textId="77777777" w:rsidR="00F9695B" w:rsidRPr="002D7198" w:rsidRDefault="00F9695B" w:rsidP="00F9695B">
            <w:pPr>
              <w:keepNext/>
              <w:jc w:val="center"/>
              <w:rPr>
                <w:rFonts w:ascii="Times New Roman" w:hAnsi="Times New Roman"/>
                <w:b/>
                <w:sz w:val="20"/>
                <w:lang w:val="en-GB" w:eastAsia="en-US"/>
              </w:rPr>
            </w:pPr>
            <w:r w:rsidRPr="002D7198">
              <w:rPr>
                <w:rFonts w:ascii="Times New Roman" w:hAnsi="Times New Roman"/>
                <w:b/>
                <w:sz w:val="20"/>
                <w:lang w:val="en-GB" w:eastAsia="en-US"/>
              </w:rPr>
              <w:t>2018</w:t>
            </w:r>
          </w:p>
        </w:tc>
        <w:tc>
          <w:tcPr>
            <w:tcW w:w="671" w:type="pct"/>
            <w:tcBorders>
              <w:bottom w:val="single" w:sz="4" w:space="0" w:color="000000"/>
            </w:tcBorders>
            <w:shd w:val="clear" w:color="auto" w:fill="auto"/>
            <w:vAlign w:val="center"/>
          </w:tcPr>
          <w:p w14:paraId="62C9F255" w14:textId="77777777" w:rsidR="00F9695B" w:rsidRPr="002D7198" w:rsidRDefault="00F9695B" w:rsidP="00F9695B">
            <w:pPr>
              <w:keepNext/>
              <w:jc w:val="center"/>
              <w:rPr>
                <w:rFonts w:ascii="Times New Roman" w:hAnsi="Times New Roman"/>
                <w:b/>
                <w:sz w:val="20"/>
                <w:lang w:val="en-GB" w:eastAsia="en-US"/>
              </w:rPr>
            </w:pPr>
            <w:r w:rsidRPr="002D7198">
              <w:rPr>
                <w:rFonts w:ascii="Times New Roman" w:hAnsi="Times New Roman"/>
                <w:b/>
                <w:sz w:val="20"/>
                <w:lang w:val="en-GB" w:eastAsia="en-US"/>
              </w:rPr>
              <w:t>2019</w:t>
            </w:r>
          </w:p>
        </w:tc>
      </w:tr>
      <w:tr w:rsidR="00F9695B" w:rsidRPr="002D7198" w14:paraId="0E1EF7B9" w14:textId="77777777" w:rsidTr="002D7198">
        <w:tc>
          <w:tcPr>
            <w:tcW w:w="1546" w:type="pct"/>
          </w:tcPr>
          <w:p w14:paraId="7AE1AB9C" w14:textId="77777777" w:rsidR="00F9695B" w:rsidRPr="002D7198" w:rsidRDefault="00F9695B" w:rsidP="00F9695B">
            <w:pPr>
              <w:keepNext/>
              <w:rPr>
                <w:rFonts w:ascii="Times New Roman" w:hAnsi="Times New Roman"/>
                <w:sz w:val="20"/>
                <w:lang w:val="en-GB" w:eastAsia="en-US"/>
              </w:rPr>
            </w:pPr>
            <w:r w:rsidRPr="002D7198">
              <w:rPr>
                <w:rFonts w:ascii="Times New Roman" w:hAnsi="Times New Roman"/>
                <w:sz w:val="20"/>
                <w:lang w:val="en-GB" w:eastAsia="en-US"/>
              </w:rPr>
              <w:t>Net cost of TAVI prosthesis</w:t>
            </w:r>
          </w:p>
        </w:tc>
        <w:tc>
          <w:tcPr>
            <w:tcW w:w="703" w:type="pct"/>
            <w:vAlign w:val="center"/>
          </w:tcPr>
          <w:p w14:paraId="3E817562" w14:textId="77777777" w:rsidR="00F9695B" w:rsidRPr="002D7198" w:rsidRDefault="00F9695B" w:rsidP="00F9695B">
            <w:pPr>
              <w:keepNext/>
              <w:jc w:val="right"/>
              <w:rPr>
                <w:rFonts w:ascii="Times New Roman" w:hAnsi="Times New Roman"/>
                <w:sz w:val="20"/>
                <w:lang w:val="en-GB" w:eastAsia="en-US"/>
              </w:rPr>
            </w:pPr>
            <w:r w:rsidRPr="002D7198">
              <w:rPr>
                <w:rFonts w:ascii="Times New Roman" w:hAnsi="Times New Roman"/>
                <w:color w:val="000000"/>
                <w:sz w:val="20"/>
                <w:lang w:val="en-GB" w:eastAsia="en-US"/>
              </w:rPr>
              <w:t>$23,258,085</w:t>
            </w:r>
          </w:p>
        </w:tc>
        <w:tc>
          <w:tcPr>
            <w:tcW w:w="704" w:type="pct"/>
            <w:vAlign w:val="center"/>
          </w:tcPr>
          <w:p w14:paraId="0781183B" w14:textId="77777777" w:rsidR="00F9695B" w:rsidRPr="002D7198" w:rsidRDefault="00F9695B" w:rsidP="00F9695B">
            <w:pPr>
              <w:keepNext/>
              <w:jc w:val="right"/>
              <w:rPr>
                <w:rFonts w:ascii="Times New Roman" w:hAnsi="Times New Roman"/>
                <w:sz w:val="20"/>
                <w:lang w:val="en-GB" w:eastAsia="en-US"/>
              </w:rPr>
            </w:pPr>
            <w:r w:rsidRPr="002D7198">
              <w:rPr>
                <w:rFonts w:ascii="Times New Roman" w:hAnsi="Times New Roman"/>
                <w:color w:val="000000"/>
                <w:sz w:val="20"/>
                <w:lang w:val="en-GB" w:eastAsia="en-US"/>
              </w:rPr>
              <w:t>$24,034,737</w:t>
            </w:r>
          </w:p>
        </w:tc>
        <w:tc>
          <w:tcPr>
            <w:tcW w:w="704" w:type="pct"/>
            <w:vAlign w:val="center"/>
          </w:tcPr>
          <w:p w14:paraId="7E8B4AEC" w14:textId="77777777" w:rsidR="00F9695B" w:rsidRPr="002D7198" w:rsidRDefault="00F9695B" w:rsidP="00F9695B">
            <w:pPr>
              <w:keepNext/>
              <w:jc w:val="right"/>
              <w:rPr>
                <w:rFonts w:ascii="Times New Roman" w:hAnsi="Times New Roman"/>
                <w:sz w:val="20"/>
                <w:lang w:val="en-GB" w:eastAsia="en-US"/>
              </w:rPr>
            </w:pPr>
            <w:r w:rsidRPr="002D7198">
              <w:rPr>
                <w:rFonts w:ascii="Times New Roman" w:hAnsi="Times New Roman"/>
                <w:color w:val="000000"/>
                <w:sz w:val="20"/>
                <w:lang w:val="en-GB" w:eastAsia="en-US"/>
              </w:rPr>
              <w:t>$24,805,464</w:t>
            </w:r>
          </w:p>
        </w:tc>
        <w:tc>
          <w:tcPr>
            <w:tcW w:w="672" w:type="pct"/>
            <w:vAlign w:val="center"/>
          </w:tcPr>
          <w:p w14:paraId="40C6487B" w14:textId="77777777" w:rsidR="00F9695B" w:rsidRPr="002D7198" w:rsidRDefault="00F9695B" w:rsidP="00F9695B">
            <w:pPr>
              <w:keepNext/>
              <w:jc w:val="right"/>
              <w:rPr>
                <w:rFonts w:ascii="Times New Roman" w:hAnsi="Times New Roman"/>
                <w:sz w:val="20"/>
                <w:lang w:val="en-GB" w:eastAsia="en-US"/>
              </w:rPr>
            </w:pPr>
            <w:r w:rsidRPr="002D7198">
              <w:rPr>
                <w:rFonts w:ascii="Times New Roman" w:hAnsi="Times New Roman"/>
                <w:color w:val="000000"/>
                <w:sz w:val="20"/>
                <w:lang w:val="en-GB" w:eastAsia="en-US"/>
              </w:rPr>
              <w:t>$25,615,464</w:t>
            </w:r>
          </w:p>
        </w:tc>
        <w:tc>
          <w:tcPr>
            <w:tcW w:w="671" w:type="pct"/>
            <w:vAlign w:val="center"/>
          </w:tcPr>
          <w:p w14:paraId="11D75D32" w14:textId="77777777" w:rsidR="00F9695B" w:rsidRPr="002D7198" w:rsidRDefault="00F9695B" w:rsidP="00F9695B">
            <w:pPr>
              <w:keepNext/>
              <w:jc w:val="right"/>
              <w:rPr>
                <w:rFonts w:ascii="Times New Roman" w:hAnsi="Times New Roman"/>
                <w:sz w:val="20"/>
                <w:lang w:val="en-GB" w:eastAsia="en-US"/>
              </w:rPr>
            </w:pPr>
            <w:r w:rsidRPr="002D7198">
              <w:rPr>
                <w:rFonts w:ascii="Times New Roman" w:hAnsi="Times New Roman"/>
                <w:color w:val="000000"/>
                <w:sz w:val="20"/>
                <w:lang w:val="en-GB" w:eastAsia="en-US"/>
              </w:rPr>
              <w:t>$26,425,464</w:t>
            </w:r>
          </w:p>
        </w:tc>
      </w:tr>
      <w:tr w:rsidR="00F9695B" w:rsidRPr="002D7198" w14:paraId="387000DC" w14:textId="77777777" w:rsidTr="002D7198">
        <w:tc>
          <w:tcPr>
            <w:tcW w:w="1546" w:type="pct"/>
          </w:tcPr>
          <w:p w14:paraId="55121C4B" w14:textId="77777777" w:rsidR="00F9695B" w:rsidRPr="002D7198" w:rsidRDefault="00F9695B" w:rsidP="00F9695B">
            <w:pPr>
              <w:keepNext/>
              <w:rPr>
                <w:rFonts w:ascii="Times New Roman" w:hAnsi="Times New Roman"/>
                <w:sz w:val="20"/>
                <w:lang w:val="en-GB" w:eastAsia="en-US"/>
              </w:rPr>
            </w:pPr>
            <w:r w:rsidRPr="002D7198">
              <w:rPr>
                <w:rFonts w:ascii="Times New Roman" w:hAnsi="Times New Roman"/>
                <w:sz w:val="20"/>
                <w:lang w:val="en-GB" w:eastAsia="en-US"/>
              </w:rPr>
              <w:t>Net cost of TAVI hospital costs</w:t>
            </w:r>
          </w:p>
        </w:tc>
        <w:tc>
          <w:tcPr>
            <w:tcW w:w="703" w:type="pct"/>
            <w:vAlign w:val="center"/>
          </w:tcPr>
          <w:p w14:paraId="32D449E8" w14:textId="77777777" w:rsidR="00F9695B" w:rsidRPr="002D7198" w:rsidRDefault="00F9695B" w:rsidP="00F9695B">
            <w:pPr>
              <w:keepNext/>
              <w:jc w:val="right"/>
              <w:rPr>
                <w:rFonts w:ascii="Times New Roman" w:hAnsi="Times New Roman"/>
                <w:sz w:val="20"/>
                <w:lang w:val="en-GB" w:eastAsia="en-US"/>
              </w:rPr>
            </w:pPr>
            <w:r w:rsidRPr="002D7198">
              <w:rPr>
                <w:rFonts w:ascii="Times New Roman" w:hAnsi="Times New Roman"/>
                <w:color w:val="000000"/>
                <w:sz w:val="20"/>
                <w:lang w:val="en-GB" w:eastAsia="en-US"/>
              </w:rPr>
              <w:t>$9,336,572</w:t>
            </w:r>
          </w:p>
        </w:tc>
        <w:tc>
          <w:tcPr>
            <w:tcW w:w="704" w:type="pct"/>
            <w:vAlign w:val="center"/>
          </w:tcPr>
          <w:p w14:paraId="152408E6" w14:textId="77777777" w:rsidR="00F9695B" w:rsidRPr="002D7198" w:rsidRDefault="00F9695B" w:rsidP="00F9695B">
            <w:pPr>
              <w:keepNext/>
              <w:jc w:val="right"/>
              <w:rPr>
                <w:rFonts w:ascii="Times New Roman" w:hAnsi="Times New Roman"/>
                <w:sz w:val="20"/>
                <w:lang w:val="en-GB" w:eastAsia="en-US"/>
              </w:rPr>
            </w:pPr>
            <w:r w:rsidRPr="002D7198">
              <w:rPr>
                <w:rFonts w:ascii="Times New Roman" w:hAnsi="Times New Roman"/>
                <w:color w:val="000000"/>
                <w:sz w:val="20"/>
                <w:lang w:val="en-GB" w:eastAsia="en-US"/>
              </w:rPr>
              <w:t>$9,693,418</w:t>
            </w:r>
          </w:p>
        </w:tc>
        <w:tc>
          <w:tcPr>
            <w:tcW w:w="704" w:type="pct"/>
            <w:vAlign w:val="center"/>
          </w:tcPr>
          <w:p w14:paraId="22761B33" w14:textId="77777777" w:rsidR="00F9695B" w:rsidRPr="002D7198" w:rsidRDefault="00F9695B" w:rsidP="00F9695B">
            <w:pPr>
              <w:keepNext/>
              <w:jc w:val="right"/>
              <w:rPr>
                <w:rFonts w:ascii="Times New Roman" w:hAnsi="Times New Roman"/>
                <w:sz w:val="20"/>
                <w:lang w:val="en-GB" w:eastAsia="en-US"/>
              </w:rPr>
            </w:pPr>
            <w:r w:rsidRPr="002D7198">
              <w:rPr>
                <w:rFonts w:ascii="Times New Roman" w:hAnsi="Times New Roman"/>
                <w:color w:val="000000"/>
                <w:sz w:val="20"/>
                <w:lang w:val="en-GB" w:eastAsia="en-US"/>
              </w:rPr>
              <w:t>$9,950,848</w:t>
            </w:r>
          </w:p>
        </w:tc>
        <w:tc>
          <w:tcPr>
            <w:tcW w:w="672" w:type="pct"/>
            <w:vAlign w:val="center"/>
          </w:tcPr>
          <w:p w14:paraId="27FE3D7C" w14:textId="77777777" w:rsidR="00F9695B" w:rsidRPr="002D7198" w:rsidRDefault="00F9695B" w:rsidP="00F9695B">
            <w:pPr>
              <w:keepNext/>
              <w:jc w:val="right"/>
              <w:rPr>
                <w:rFonts w:ascii="Times New Roman" w:hAnsi="Times New Roman"/>
                <w:sz w:val="20"/>
                <w:lang w:val="en-GB" w:eastAsia="en-US"/>
              </w:rPr>
            </w:pPr>
            <w:r w:rsidRPr="002D7198">
              <w:rPr>
                <w:rFonts w:ascii="Times New Roman" w:hAnsi="Times New Roman"/>
                <w:color w:val="000000"/>
                <w:sz w:val="20"/>
                <w:lang w:val="en-GB" w:eastAsia="en-US"/>
              </w:rPr>
              <w:t>$10,308,594</w:t>
            </w:r>
          </w:p>
        </w:tc>
        <w:tc>
          <w:tcPr>
            <w:tcW w:w="671" w:type="pct"/>
            <w:vAlign w:val="center"/>
          </w:tcPr>
          <w:p w14:paraId="5F897C3C" w14:textId="77777777" w:rsidR="00F9695B" w:rsidRPr="002D7198" w:rsidRDefault="00F9695B" w:rsidP="00F9695B">
            <w:pPr>
              <w:keepNext/>
              <w:jc w:val="right"/>
              <w:rPr>
                <w:rFonts w:ascii="Times New Roman" w:hAnsi="Times New Roman"/>
                <w:sz w:val="20"/>
                <w:lang w:val="en-GB" w:eastAsia="en-US"/>
              </w:rPr>
            </w:pPr>
            <w:r w:rsidRPr="002D7198">
              <w:rPr>
                <w:rFonts w:ascii="Times New Roman" w:hAnsi="Times New Roman"/>
                <w:color w:val="000000"/>
                <w:sz w:val="20"/>
                <w:lang w:val="en-GB" w:eastAsia="en-US"/>
              </w:rPr>
              <w:t>$10,651,027</w:t>
            </w:r>
          </w:p>
        </w:tc>
      </w:tr>
      <w:tr w:rsidR="00F9695B" w:rsidRPr="002D7198" w14:paraId="48BE96C9" w14:textId="77777777" w:rsidTr="002D7198">
        <w:tc>
          <w:tcPr>
            <w:tcW w:w="1546" w:type="pct"/>
          </w:tcPr>
          <w:p w14:paraId="3BDDC373" w14:textId="77777777" w:rsidR="00F9695B" w:rsidRPr="002D7198" w:rsidRDefault="00F9695B" w:rsidP="00F9695B">
            <w:pPr>
              <w:keepNext/>
              <w:rPr>
                <w:rFonts w:ascii="Times New Roman" w:hAnsi="Times New Roman"/>
                <w:sz w:val="20"/>
                <w:lang w:val="en-GB" w:eastAsia="en-US"/>
              </w:rPr>
            </w:pPr>
            <w:r w:rsidRPr="002D7198">
              <w:rPr>
                <w:rFonts w:ascii="Times New Roman" w:hAnsi="Times New Roman"/>
                <w:sz w:val="20"/>
                <w:lang w:val="en-GB" w:eastAsia="en-US"/>
              </w:rPr>
              <w:t>Net cost (saving) to PBS</w:t>
            </w:r>
          </w:p>
        </w:tc>
        <w:tc>
          <w:tcPr>
            <w:tcW w:w="703" w:type="pct"/>
            <w:vAlign w:val="center"/>
          </w:tcPr>
          <w:p w14:paraId="459FF037" w14:textId="77777777" w:rsidR="00F9695B" w:rsidRPr="002D7198" w:rsidRDefault="00F9695B" w:rsidP="00F9695B">
            <w:pPr>
              <w:keepNext/>
              <w:jc w:val="right"/>
              <w:rPr>
                <w:rFonts w:ascii="Times New Roman" w:hAnsi="Times New Roman"/>
                <w:color w:val="000000"/>
                <w:sz w:val="20"/>
                <w:lang w:val="en-GB" w:eastAsia="en-US"/>
              </w:rPr>
            </w:pPr>
            <w:r w:rsidRPr="002D7198">
              <w:rPr>
                <w:rFonts w:ascii="Times New Roman" w:hAnsi="Times New Roman"/>
                <w:color w:val="000000"/>
                <w:sz w:val="20"/>
                <w:lang w:val="en-GB" w:eastAsia="en-US"/>
              </w:rPr>
              <w:t>($290,689)</w:t>
            </w:r>
          </w:p>
        </w:tc>
        <w:tc>
          <w:tcPr>
            <w:tcW w:w="704" w:type="pct"/>
            <w:vAlign w:val="center"/>
          </w:tcPr>
          <w:p w14:paraId="23CF34DD" w14:textId="77777777" w:rsidR="00F9695B" w:rsidRPr="002D7198" w:rsidRDefault="00F9695B" w:rsidP="00F9695B">
            <w:pPr>
              <w:keepNext/>
              <w:jc w:val="right"/>
              <w:rPr>
                <w:rFonts w:ascii="Times New Roman" w:hAnsi="Times New Roman"/>
                <w:color w:val="000000"/>
                <w:sz w:val="20"/>
                <w:lang w:val="en-GB" w:eastAsia="en-US"/>
              </w:rPr>
            </w:pPr>
            <w:r w:rsidRPr="002D7198">
              <w:rPr>
                <w:rFonts w:ascii="Times New Roman" w:hAnsi="Times New Roman"/>
                <w:color w:val="000000"/>
                <w:sz w:val="20"/>
                <w:lang w:val="en-GB" w:eastAsia="en-US"/>
              </w:rPr>
              <w:t>($300,493)</w:t>
            </w:r>
          </w:p>
        </w:tc>
        <w:tc>
          <w:tcPr>
            <w:tcW w:w="704" w:type="pct"/>
            <w:vAlign w:val="center"/>
          </w:tcPr>
          <w:p w14:paraId="5F2BD5AE" w14:textId="77777777" w:rsidR="00F9695B" w:rsidRPr="002D7198" w:rsidRDefault="00F9695B" w:rsidP="00F9695B">
            <w:pPr>
              <w:keepNext/>
              <w:jc w:val="right"/>
              <w:rPr>
                <w:rFonts w:ascii="Times New Roman" w:hAnsi="Times New Roman"/>
                <w:color w:val="000000"/>
                <w:sz w:val="20"/>
                <w:lang w:val="en-GB" w:eastAsia="en-US"/>
              </w:rPr>
            </w:pPr>
            <w:r w:rsidRPr="002D7198">
              <w:rPr>
                <w:rFonts w:ascii="Times New Roman" w:hAnsi="Times New Roman"/>
                <w:color w:val="000000"/>
                <w:sz w:val="20"/>
                <w:lang w:val="en-GB" w:eastAsia="en-US"/>
              </w:rPr>
              <w:t>($309,807)</w:t>
            </w:r>
          </w:p>
        </w:tc>
        <w:tc>
          <w:tcPr>
            <w:tcW w:w="672" w:type="pct"/>
            <w:vAlign w:val="center"/>
          </w:tcPr>
          <w:p w14:paraId="2FB1546C" w14:textId="77777777" w:rsidR="00F9695B" w:rsidRPr="002D7198" w:rsidRDefault="00F9695B" w:rsidP="00F9695B">
            <w:pPr>
              <w:keepNext/>
              <w:jc w:val="right"/>
              <w:rPr>
                <w:rFonts w:ascii="Times New Roman" w:hAnsi="Times New Roman"/>
                <w:color w:val="000000"/>
                <w:sz w:val="20"/>
                <w:lang w:val="en-GB" w:eastAsia="en-US"/>
              </w:rPr>
            </w:pPr>
            <w:r w:rsidRPr="002D7198">
              <w:rPr>
                <w:rFonts w:ascii="Times New Roman" w:hAnsi="Times New Roman"/>
                <w:color w:val="000000"/>
                <w:sz w:val="20"/>
                <w:lang w:val="en-GB" w:eastAsia="en-US"/>
              </w:rPr>
              <w:t>($320,101)</w:t>
            </w:r>
          </w:p>
        </w:tc>
        <w:tc>
          <w:tcPr>
            <w:tcW w:w="671" w:type="pct"/>
            <w:vAlign w:val="center"/>
          </w:tcPr>
          <w:p w14:paraId="41006F67" w14:textId="77777777" w:rsidR="00F9695B" w:rsidRPr="002D7198" w:rsidRDefault="00F9695B" w:rsidP="00F9695B">
            <w:pPr>
              <w:keepNext/>
              <w:jc w:val="right"/>
              <w:rPr>
                <w:rFonts w:ascii="Times New Roman" w:hAnsi="Times New Roman"/>
                <w:color w:val="000000"/>
                <w:sz w:val="20"/>
                <w:lang w:val="en-GB" w:eastAsia="en-US"/>
              </w:rPr>
            </w:pPr>
            <w:r w:rsidRPr="002D7198">
              <w:rPr>
                <w:rFonts w:ascii="Times New Roman" w:hAnsi="Times New Roman"/>
                <w:color w:val="000000"/>
                <w:sz w:val="20"/>
                <w:lang w:val="en-GB" w:eastAsia="en-US"/>
              </w:rPr>
              <w:t>($330,395)</w:t>
            </w:r>
          </w:p>
        </w:tc>
      </w:tr>
      <w:tr w:rsidR="00F9695B" w:rsidRPr="002D7198" w14:paraId="6F530D6F" w14:textId="77777777" w:rsidTr="002D7198">
        <w:tc>
          <w:tcPr>
            <w:tcW w:w="1546" w:type="pct"/>
          </w:tcPr>
          <w:p w14:paraId="52AB8B17" w14:textId="77777777" w:rsidR="00F9695B" w:rsidRPr="002D7198" w:rsidRDefault="002D7198" w:rsidP="002D7198">
            <w:pPr>
              <w:keepNext/>
              <w:rPr>
                <w:rFonts w:ascii="Times New Roman" w:hAnsi="Times New Roman"/>
                <w:sz w:val="20"/>
                <w:lang w:val="en-GB" w:eastAsia="en-US"/>
              </w:rPr>
            </w:pPr>
            <w:r>
              <w:rPr>
                <w:rFonts w:ascii="Times New Roman" w:hAnsi="Times New Roman"/>
                <w:sz w:val="20"/>
                <w:lang w:val="en-GB" w:eastAsia="en-US"/>
              </w:rPr>
              <w:t>Net cost for</w:t>
            </w:r>
            <w:r w:rsidR="00F9695B" w:rsidRPr="002D7198">
              <w:rPr>
                <w:rFonts w:ascii="Times New Roman" w:hAnsi="Times New Roman"/>
                <w:sz w:val="20"/>
                <w:lang w:val="en-GB" w:eastAsia="en-US"/>
              </w:rPr>
              <w:t xml:space="preserve"> other budgets</w:t>
            </w:r>
          </w:p>
        </w:tc>
        <w:tc>
          <w:tcPr>
            <w:tcW w:w="703" w:type="pct"/>
            <w:vAlign w:val="center"/>
          </w:tcPr>
          <w:p w14:paraId="1A03C4AE" w14:textId="77777777" w:rsidR="00F9695B" w:rsidRPr="002D7198" w:rsidRDefault="00F9695B" w:rsidP="00F9695B">
            <w:pPr>
              <w:keepNext/>
              <w:jc w:val="right"/>
              <w:rPr>
                <w:rFonts w:ascii="Times New Roman" w:hAnsi="Times New Roman"/>
                <w:sz w:val="20"/>
                <w:lang w:val="en-GB" w:eastAsia="en-US"/>
              </w:rPr>
            </w:pPr>
            <w:r w:rsidRPr="002D7198">
              <w:rPr>
                <w:rFonts w:ascii="Times New Roman" w:hAnsi="Times New Roman"/>
                <w:color w:val="000000"/>
                <w:sz w:val="20"/>
                <w:lang w:val="en-GB" w:eastAsia="en-US"/>
              </w:rPr>
              <w:t>$32,303,968</w:t>
            </w:r>
          </w:p>
        </w:tc>
        <w:tc>
          <w:tcPr>
            <w:tcW w:w="704" w:type="pct"/>
            <w:vAlign w:val="center"/>
          </w:tcPr>
          <w:p w14:paraId="1D9CFA17" w14:textId="77777777" w:rsidR="00F9695B" w:rsidRPr="002D7198" w:rsidRDefault="00F9695B" w:rsidP="00F9695B">
            <w:pPr>
              <w:keepNext/>
              <w:jc w:val="right"/>
              <w:rPr>
                <w:rFonts w:ascii="Times New Roman" w:hAnsi="Times New Roman"/>
                <w:sz w:val="20"/>
                <w:lang w:val="en-GB" w:eastAsia="en-US"/>
              </w:rPr>
            </w:pPr>
            <w:r w:rsidRPr="002D7198">
              <w:rPr>
                <w:rFonts w:ascii="Times New Roman" w:hAnsi="Times New Roman"/>
                <w:color w:val="000000"/>
                <w:sz w:val="20"/>
                <w:lang w:val="en-GB" w:eastAsia="en-US"/>
              </w:rPr>
              <w:t>$33,427,662</w:t>
            </w:r>
          </w:p>
        </w:tc>
        <w:tc>
          <w:tcPr>
            <w:tcW w:w="704" w:type="pct"/>
            <w:vAlign w:val="center"/>
          </w:tcPr>
          <w:p w14:paraId="2A3304A5" w14:textId="77777777" w:rsidR="00F9695B" w:rsidRPr="002D7198" w:rsidRDefault="00F9695B" w:rsidP="00F9695B">
            <w:pPr>
              <w:keepNext/>
              <w:jc w:val="right"/>
              <w:rPr>
                <w:rFonts w:ascii="Times New Roman" w:hAnsi="Times New Roman"/>
                <w:sz w:val="20"/>
                <w:lang w:val="en-GB" w:eastAsia="en-US"/>
              </w:rPr>
            </w:pPr>
            <w:r w:rsidRPr="002D7198">
              <w:rPr>
                <w:rFonts w:ascii="Times New Roman" w:hAnsi="Times New Roman"/>
                <w:color w:val="000000"/>
                <w:sz w:val="20"/>
                <w:lang w:val="en-GB" w:eastAsia="en-US"/>
              </w:rPr>
              <w:t>$34,446,505</w:t>
            </w:r>
          </w:p>
        </w:tc>
        <w:tc>
          <w:tcPr>
            <w:tcW w:w="672" w:type="pct"/>
            <w:vAlign w:val="center"/>
          </w:tcPr>
          <w:p w14:paraId="024601F1" w14:textId="77777777" w:rsidR="00F9695B" w:rsidRPr="002D7198" w:rsidRDefault="00F9695B" w:rsidP="00F9695B">
            <w:pPr>
              <w:keepNext/>
              <w:jc w:val="right"/>
              <w:rPr>
                <w:rFonts w:ascii="Times New Roman" w:hAnsi="Times New Roman"/>
                <w:sz w:val="20"/>
                <w:lang w:val="en-GB" w:eastAsia="en-US"/>
              </w:rPr>
            </w:pPr>
            <w:r w:rsidRPr="002D7198">
              <w:rPr>
                <w:rFonts w:ascii="Times New Roman" w:hAnsi="Times New Roman"/>
                <w:color w:val="000000"/>
                <w:sz w:val="20"/>
                <w:lang w:val="en-GB" w:eastAsia="en-US"/>
              </w:rPr>
              <w:t>$35,603,957</w:t>
            </w:r>
          </w:p>
        </w:tc>
        <w:tc>
          <w:tcPr>
            <w:tcW w:w="671" w:type="pct"/>
            <w:vAlign w:val="center"/>
          </w:tcPr>
          <w:p w14:paraId="52C51F6A" w14:textId="77777777" w:rsidR="00F9695B" w:rsidRPr="002D7198" w:rsidRDefault="00F9695B" w:rsidP="00F9695B">
            <w:pPr>
              <w:keepNext/>
              <w:jc w:val="right"/>
              <w:rPr>
                <w:rFonts w:ascii="Times New Roman" w:hAnsi="Times New Roman"/>
                <w:sz w:val="20"/>
                <w:lang w:val="en-GB" w:eastAsia="en-US"/>
              </w:rPr>
            </w:pPr>
            <w:r w:rsidRPr="002D7198">
              <w:rPr>
                <w:rFonts w:ascii="Times New Roman" w:hAnsi="Times New Roman"/>
                <w:color w:val="000000"/>
                <w:sz w:val="20"/>
                <w:lang w:val="en-GB" w:eastAsia="en-US"/>
              </w:rPr>
              <w:t>$36,746,096</w:t>
            </w:r>
          </w:p>
        </w:tc>
      </w:tr>
      <w:tr w:rsidR="00F9695B" w:rsidRPr="002D7198" w14:paraId="07D74694" w14:textId="77777777" w:rsidTr="002D7198">
        <w:tc>
          <w:tcPr>
            <w:tcW w:w="1546" w:type="pct"/>
          </w:tcPr>
          <w:p w14:paraId="603749B1" w14:textId="77777777" w:rsidR="00F9695B" w:rsidRPr="002D7198" w:rsidRDefault="002D7198" w:rsidP="002D7198">
            <w:pPr>
              <w:keepNext/>
              <w:rPr>
                <w:rFonts w:ascii="Times New Roman" w:hAnsi="Times New Roman"/>
                <w:sz w:val="20"/>
                <w:lang w:val="en-GB" w:eastAsia="en-US"/>
              </w:rPr>
            </w:pPr>
            <w:r>
              <w:rPr>
                <w:rFonts w:ascii="Times New Roman" w:hAnsi="Times New Roman"/>
                <w:sz w:val="20"/>
                <w:lang w:val="en-GB" w:eastAsia="en-US"/>
              </w:rPr>
              <w:t>Net</w:t>
            </w:r>
            <w:r w:rsidR="009C19BF">
              <w:rPr>
                <w:rFonts w:ascii="Times New Roman" w:hAnsi="Times New Roman"/>
                <w:sz w:val="20"/>
                <w:lang w:val="en-GB" w:eastAsia="en-US"/>
              </w:rPr>
              <w:t xml:space="preserve"> cost of TAVI to the MBS</w:t>
            </w:r>
          </w:p>
        </w:tc>
        <w:tc>
          <w:tcPr>
            <w:tcW w:w="703" w:type="pct"/>
            <w:vAlign w:val="center"/>
          </w:tcPr>
          <w:p w14:paraId="4412FA92" w14:textId="77777777" w:rsidR="00F9695B" w:rsidRPr="002D7198" w:rsidRDefault="00F9695B" w:rsidP="00F9695B">
            <w:pPr>
              <w:keepNext/>
              <w:jc w:val="right"/>
              <w:rPr>
                <w:rFonts w:ascii="Times New Roman" w:hAnsi="Times New Roman"/>
                <w:color w:val="000000"/>
                <w:sz w:val="20"/>
                <w:lang w:val="en-GB" w:eastAsia="en-US"/>
              </w:rPr>
            </w:pPr>
            <w:r w:rsidRPr="002D7198">
              <w:rPr>
                <w:rFonts w:ascii="Times New Roman" w:hAnsi="Times New Roman"/>
                <w:bCs/>
                <w:color w:val="000000"/>
                <w:sz w:val="20"/>
                <w:lang w:val="en-GB" w:eastAsia="en-US"/>
              </w:rPr>
              <w:t>$1,048,506</w:t>
            </w:r>
          </w:p>
        </w:tc>
        <w:tc>
          <w:tcPr>
            <w:tcW w:w="704" w:type="pct"/>
            <w:vAlign w:val="center"/>
          </w:tcPr>
          <w:p w14:paraId="272382C4" w14:textId="77777777" w:rsidR="00F9695B" w:rsidRPr="002D7198" w:rsidRDefault="00F9695B" w:rsidP="00F9695B">
            <w:pPr>
              <w:keepNext/>
              <w:jc w:val="right"/>
              <w:rPr>
                <w:rFonts w:ascii="Times New Roman" w:hAnsi="Times New Roman"/>
                <w:color w:val="000000"/>
                <w:sz w:val="20"/>
                <w:lang w:val="en-GB" w:eastAsia="en-US"/>
              </w:rPr>
            </w:pPr>
            <w:r w:rsidRPr="002D7198">
              <w:rPr>
                <w:rFonts w:ascii="Times New Roman" w:hAnsi="Times New Roman"/>
                <w:bCs/>
                <w:color w:val="000000"/>
                <w:sz w:val="20"/>
                <w:lang w:val="en-GB" w:eastAsia="en-US"/>
              </w:rPr>
              <w:t>$1,084,763</w:t>
            </w:r>
          </w:p>
        </w:tc>
        <w:tc>
          <w:tcPr>
            <w:tcW w:w="704" w:type="pct"/>
            <w:vAlign w:val="center"/>
          </w:tcPr>
          <w:p w14:paraId="185C56DF" w14:textId="77777777" w:rsidR="00F9695B" w:rsidRPr="002D7198" w:rsidRDefault="00F9695B" w:rsidP="00F9695B">
            <w:pPr>
              <w:keepNext/>
              <w:jc w:val="right"/>
              <w:rPr>
                <w:rFonts w:ascii="Times New Roman" w:hAnsi="Times New Roman"/>
                <w:color w:val="000000"/>
                <w:sz w:val="20"/>
                <w:lang w:val="en-GB" w:eastAsia="en-US"/>
              </w:rPr>
            </w:pPr>
            <w:r w:rsidRPr="002D7198">
              <w:rPr>
                <w:rFonts w:ascii="Times New Roman" w:hAnsi="Times New Roman"/>
                <w:bCs/>
                <w:color w:val="000000"/>
                <w:sz w:val="20"/>
                <w:lang w:val="en-GB" w:eastAsia="en-US"/>
              </w:rPr>
              <w:t>$1,118,808</w:t>
            </w:r>
          </w:p>
        </w:tc>
        <w:tc>
          <w:tcPr>
            <w:tcW w:w="672" w:type="pct"/>
            <w:vAlign w:val="center"/>
          </w:tcPr>
          <w:p w14:paraId="297D6F4C" w14:textId="77777777" w:rsidR="00F9695B" w:rsidRPr="002D7198" w:rsidRDefault="00F9695B" w:rsidP="00F9695B">
            <w:pPr>
              <w:keepNext/>
              <w:jc w:val="right"/>
              <w:rPr>
                <w:rFonts w:ascii="Times New Roman" w:hAnsi="Times New Roman"/>
                <w:color w:val="000000"/>
                <w:sz w:val="20"/>
                <w:lang w:val="en-GB" w:eastAsia="en-US"/>
              </w:rPr>
            </w:pPr>
            <w:r w:rsidRPr="002D7198">
              <w:rPr>
                <w:rFonts w:ascii="Times New Roman" w:hAnsi="Times New Roman"/>
                <w:bCs/>
                <w:color w:val="000000"/>
                <w:sz w:val="20"/>
                <w:lang w:val="en-GB" w:eastAsia="en-US"/>
              </w:rPr>
              <w:t>$1,155,642</w:t>
            </w:r>
          </w:p>
        </w:tc>
        <w:tc>
          <w:tcPr>
            <w:tcW w:w="671" w:type="pct"/>
            <w:vAlign w:val="center"/>
          </w:tcPr>
          <w:p w14:paraId="4C23789F" w14:textId="77777777" w:rsidR="00F9695B" w:rsidRPr="002D7198" w:rsidRDefault="00F9695B" w:rsidP="00F9695B">
            <w:pPr>
              <w:keepNext/>
              <w:jc w:val="right"/>
              <w:rPr>
                <w:rFonts w:ascii="Times New Roman" w:hAnsi="Times New Roman"/>
                <w:color w:val="000000"/>
                <w:sz w:val="20"/>
                <w:lang w:val="en-GB" w:eastAsia="en-US"/>
              </w:rPr>
            </w:pPr>
            <w:r w:rsidRPr="002D7198">
              <w:rPr>
                <w:rFonts w:ascii="Times New Roman" w:hAnsi="Times New Roman"/>
                <w:bCs/>
                <w:color w:val="000000"/>
                <w:sz w:val="20"/>
                <w:lang w:val="en-GB" w:eastAsia="en-US"/>
              </w:rPr>
              <w:t>$1,194,592</w:t>
            </w:r>
          </w:p>
        </w:tc>
      </w:tr>
      <w:tr w:rsidR="00F9695B" w:rsidRPr="002D7198" w14:paraId="2571EB22" w14:textId="77777777" w:rsidTr="002D7198">
        <w:tc>
          <w:tcPr>
            <w:tcW w:w="1546" w:type="pct"/>
          </w:tcPr>
          <w:p w14:paraId="68BB54EF" w14:textId="77777777" w:rsidR="00F9695B" w:rsidRPr="002D7198" w:rsidRDefault="002D7198" w:rsidP="002D7198">
            <w:pPr>
              <w:keepNext/>
              <w:rPr>
                <w:rFonts w:ascii="Times New Roman" w:hAnsi="Times New Roman"/>
                <w:sz w:val="20"/>
                <w:lang w:val="en-GB" w:eastAsia="en-US"/>
              </w:rPr>
            </w:pPr>
            <w:r>
              <w:rPr>
                <w:rFonts w:ascii="Times New Roman" w:hAnsi="Times New Roman"/>
                <w:sz w:val="20"/>
                <w:lang w:val="en-GB" w:eastAsia="en-US"/>
              </w:rPr>
              <w:t xml:space="preserve">Net costs to all </w:t>
            </w:r>
            <w:r w:rsidR="00F9695B" w:rsidRPr="002D7198">
              <w:rPr>
                <w:rFonts w:ascii="Times New Roman" w:hAnsi="Times New Roman"/>
                <w:sz w:val="20"/>
                <w:lang w:val="en-GB" w:eastAsia="en-US"/>
              </w:rPr>
              <w:t>budgets</w:t>
            </w:r>
          </w:p>
        </w:tc>
        <w:tc>
          <w:tcPr>
            <w:tcW w:w="703" w:type="pct"/>
            <w:vAlign w:val="center"/>
          </w:tcPr>
          <w:p w14:paraId="75B6455D" w14:textId="77777777" w:rsidR="00F9695B" w:rsidRPr="002D7198" w:rsidRDefault="00F9695B" w:rsidP="00F9695B">
            <w:pPr>
              <w:keepNext/>
              <w:jc w:val="right"/>
              <w:rPr>
                <w:rFonts w:ascii="Times New Roman" w:hAnsi="Times New Roman"/>
                <w:sz w:val="20"/>
                <w:highlight w:val="yellow"/>
                <w:lang w:val="en-GB" w:eastAsia="en-US"/>
              </w:rPr>
            </w:pPr>
            <w:r w:rsidRPr="002D7198">
              <w:rPr>
                <w:rFonts w:ascii="Times New Roman" w:hAnsi="Times New Roman"/>
                <w:bCs/>
                <w:color w:val="000000"/>
                <w:sz w:val="20"/>
                <w:lang w:val="en-GB" w:eastAsia="en-US"/>
              </w:rPr>
              <w:t>$33,352,474</w:t>
            </w:r>
          </w:p>
        </w:tc>
        <w:tc>
          <w:tcPr>
            <w:tcW w:w="704" w:type="pct"/>
            <w:vAlign w:val="center"/>
          </w:tcPr>
          <w:p w14:paraId="6C8FFA3E" w14:textId="77777777" w:rsidR="00F9695B" w:rsidRPr="002D7198" w:rsidRDefault="00F9695B" w:rsidP="00F9695B">
            <w:pPr>
              <w:keepNext/>
              <w:jc w:val="right"/>
              <w:rPr>
                <w:rFonts w:ascii="Times New Roman" w:hAnsi="Times New Roman"/>
                <w:sz w:val="20"/>
                <w:highlight w:val="yellow"/>
                <w:lang w:val="en-GB" w:eastAsia="en-US"/>
              </w:rPr>
            </w:pPr>
            <w:r w:rsidRPr="002D7198">
              <w:rPr>
                <w:rFonts w:ascii="Times New Roman" w:hAnsi="Times New Roman"/>
                <w:bCs/>
                <w:color w:val="000000"/>
                <w:sz w:val="20"/>
                <w:lang w:val="en-GB" w:eastAsia="en-US"/>
              </w:rPr>
              <w:t>$34,512,425</w:t>
            </w:r>
          </w:p>
        </w:tc>
        <w:tc>
          <w:tcPr>
            <w:tcW w:w="704" w:type="pct"/>
            <w:vAlign w:val="center"/>
          </w:tcPr>
          <w:p w14:paraId="6A80074B" w14:textId="77777777" w:rsidR="00F9695B" w:rsidRPr="002D7198" w:rsidRDefault="00F9695B" w:rsidP="00F9695B">
            <w:pPr>
              <w:keepNext/>
              <w:jc w:val="right"/>
              <w:rPr>
                <w:rFonts w:ascii="Times New Roman" w:hAnsi="Times New Roman"/>
                <w:sz w:val="20"/>
                <w:highlight w:val="yellow"/>
                <w:lang w:val="en-GB" w:eastAsia="en-US"/>
              </w:rPr>
            </w:pPr>
            <w:r w:rsidRPr="002D7198">
              <w:rPr>
                <w:rFonts w:ascii="Times New Roman" w:hAnsi="Times New Roman"/>
                <w:bCs/>
                <w:color w:val="000000"/>
                <w:sz w:val="20"/>
                <w:lang w:val="en-GB" w:eastAsia="en-US"/>
              </w:rPr>
              <w:t>$35,565,313</w:t>
            </w:r>
          </w:p>
        </w:tc>
        <w:tc>
          <w:tcPr>
            <w:tcW w:w="672" w:type="pct"/>
            <w:vAlign w:val="center"/>
          </w:tcPr>
          <w:p w14:paraId="4CA4C24E" w14:textId="77777777" w:rsidR="00F9695B" w:rsidRPr="002D7198" w:rsidRDefault="00F9695B" w:rsidP="00F9695B">
            <w:pPr>
              <w:keepNext/>
              <w:jc w:val="right"/>
              <w:rPr>
                <w:rFonts w:ascii="Times New Roman" w:hAnsi="Times New Roman"/>
                <w:sz w:val="20"/>
                <w:highlight w:val="yellow"/>
                <w:lang w:val="en-GB" w:eastAsia="en-US"/>
              </w:rPr>
            </w:pPr>
            <w:r w:rsidRPr="002D7198">
              <w:rPr>
                <w:rFonts w:ascii="Times New Roman" w:hAnsi="Times New Roman"/>
                <w:bCs/>
                <w:color w:val="000000"/>
                <w:sz w:val="20"/>
                <w:lang w:val="en-GB" w:eastAsia="en-US"/>
              </w:rPr>
              <w:t>$36,759,599</w:t>
            </w:r>
          </w:p>
        </w:tc>
        <w:tc>
          <w:tcPr>
            <w:tcW w:w="671" w:type="pct"/>
            <w:vAlign w:val="center"/>
          </w:tcPr>
          <w:p w14:paraId="67BF000D" w14:textId="77777777" w:rsidR="00F9695B" w:rsidRPr="002D7198" w:rsidRDefault="00F9695B" w:rsidP="00F9695B">
            <w:pPr>
              <w:keepNext/>
              <w:jc w:val="right"/>
              <w:rPr>
                <w:rFonts w:ascii="Times New Roman" w:hAnsi="Times New Roman"/>
                <w:sz w:val="20"/>
                <w:highlight w:val="yellow"/>
                <w:lang w:val="en-GB" w:eastAsia="en-US"/>
              </w:rPr>
            </w:pPr>
            <w:r w:rsidRPr="002D7198">
              <w:rPr>
                <w:rFonts w:ascii="Times New Roman" w:hAnsi="Times New Roman"/>
                <w:bCs/>
                <w:color w:val="000000"/>
                <w:sz w:val="20"/>
                <w:lang w:val="en-GB" w:eastAsia="en-US"/>
              </w:rPr>
              <w:t>$37,940,688</w:t>
            </w:r>
          </w:p>
        </w:tc>
      </w:tr>
    </w:tbl>
    <w:p w14:paraId="1E564D39" w14:textId="77777777" w:rsidR="00F9695B" w:rsidRPr="0006787A" w:rsidRDefault="00F9695B" w:rsidP="00F9695B">
      <w:pPr>
        <w:jc w:val="both"/>
        <w:rPr>
          <w:szCs w:val="24"/>
          <w:lang w:eastAsia="en-US"/>
        </w:rPr>
      </w:pPr>
    </w:p>
    <w:p w14:paraId="6FDD3D53" w14:textId="77777777" w:rsidR="00F9695B" w:rsidRPr="0006787A" w:rsidRDefault="00F9695B" w:rsidP="00F9695B">
      <w:pPr>
        <w:contextualSpacing/>
        <w:rPr>
          <w:szCs w:val="24"/>
          <w:lang w:eastAsia="en-US"/>
        </w:rPr>
      </w:pPr>
      <w:r>
        <w:rPr>
          <w:szCs w:val="24"/>
          <w:lang w:eastAsia="en-US"/>
        </w:rPr>
        <w:t>The main area of uncertainty was</w:t>
      </w:r>
      <w:r w:rsidRPr="0006787A">
        <w:rPr>
          <w:szCs w:val="24"/>
          <w:lang w:eastAsia="en-US"/>
        </w:rPr>
        <w:t xml:space="preserve"> the number of patients in Australia with severe symptomatic AS who may be being medically treated (+/- </w:t>
      </w:r>
      <w:r w:rsidR="000061C4">
        <w:rPr>
          <w:szCs w:val="24"/>
          <w:lang w:eastAsia="en-US"/>
        </w:rPr>
        <w:t xml:space="preserve">balloon </w:t>
      </w:r>
      <w:proofErr w:type="spellStart"/>
      <w:r w:rsidR="000061C4">
        <w:rPr>
          <w:szCs w:val="24"/>
          <w:lang w:eastAsia="en-US"/>
        </w:rPr>
        <w:t>valvuloplasty</w:t>
      </w:r>
      <w:proofErr w:type="spellEnd"/>
      <w:r w:rsidRPr="0006787A">
        <w:rPr>
          <w:szCs w:val="24"/>
          <w:lang w:eastAsia="en-US"/>
        </w:rPr>
        <w:t>) for this condition. Using prevalence estimate</w:t>
      </w:r>
      <w:r w:rsidR="002D7198">
        <w:rPr>
          <w:szCs w:val="24"/>
          <w:lang w:eastAsia="en-US"/>
        </w:rPr>
        <w:t>s from a meta-analysis indicated</w:t>
      </w:r>
      <w:r w:rsidRPr="0006787A">
        <w:rPr>
          <w:szCs w:val="24"/>
          <w:lang w:eastAsia="en-US"/>
        </w:rPr>
        <w:t xml:space="preserve"> that the likely number of patients who are being medically managed and eligible for TAVI may be 4,117 in 2015; a number 7 times greater than the 593 patients estimated by the </w:t>
      </w:r>
      <w:r w:rsidR="007C32E5">
        <w:rPr>
          <w:szCs w:val="24"/>
          <w:lang w:eastAsia="en-US"/>
        </w:rPr>
        <w:t>SBA</w:t>
      </w:r>
      <w:r w:rsidRPr="0006787A">
        <w:rPr>
          <w:szCs w:val="24"/>
          <w:lang w:eastAsia="en-US"/>
        </w:rPr>
        <w:t>. This number was calculated for patients &gt;</w:t>
      </w:r>
      <w:r w:rsidR="002D7198">
        <w:rPr>
          <w:szCs w:val="24"/>
          <w:lang w:eastAsia="en-US"/>
        </w:rPr>
        <w:t> </w:t>
      </w:r>
      <w:r w:rsidRPr="0006787A">
        <w:rPr>
          <w:szCs w:val="24"/>
          <w:lang w:eastAsia="en-US"/>
        </w:rPr>
        <w:t xml:space="preserve">75 years </w:t>
      </w:r>
      <w:r w:rsidR="006956EC">
        <w:rPr>
          <w:szCs w:val="24"/>
          <w:lang w:eastAsia="en-US"/>
        </w:rPr>
        <w:t xml:space="preserve">of age </w:t>
      </w:r>
      <w:r w:rsidRPr="0006787A">
        <w:rPr>
          <w:szCs w:val="24"/>
          <w:lang w:eastAsia="en-US"/>
        </w:rPr>
        <w:t xml:space="preserve">and with severe AS. If the criteria </w:t>
      </w:r>
      <w:r w:rsidR="002D7198">
        <w:rPr>
          <w:szCs w:val="24"/>
          <w:lang w:eastAsia="en-US"/>
        </w:rPr>
        <w:t xml:space="preserve">were to be </w:t>
      </w:r>
      <w:r w:rsidRPr="0006787A">
        <w:rPr>
          <w:szCs w:val="24"/>
          <w:lang w:eastAsia="en-US"/>
        </w:rPr>
        <w:t>relaxed to &gt;</w:t>
      </w:r>
      <w:r w:rsidR="002D7198">
        <w:rPr>
          <w:szCs w:val="24"/>
          <w:lang w:eastAsia="en-US"/>
        </w:rPr>
        <w:t> </w:t>
      </w:r>
      <w:r w:rsidRPr="0006787A">
        <w:rPr>
          <w:szCs w:val="24"/>
          <w:lang w:eastAsia="en-US"/>
        </w:rPr>
        <w:t>65 years of age and with less severe AS</w:t>
      </w:r>
      <w:r w:rsidR="002D7198">
        <w:rPr>
          <w:szCs w:val="24"/>
          <w:lang w:eastAsia="en-US"/>
        </w:rPr>
        <w:t>,</w:t>
      </w:r>
      <w:r w:rsidRPr="0006787A">
        <w:rPr>
          <w:szCs w:val="24"/>
          <w:lang w:eastAsia="en-US"/>
        </w:rPr>
        <w:t xml:space="preserve"> then the potential unmet demand for TAVI w</w:t>
      </w:r>
      <w:r w:rsidR="002D7198">
        <w:rPr>
          <w:szCs w:val="24"/>
          <w:lang w:eastAsia="en-US"/>
        </w:rPr>
        <w:t>ould</w:t>
      </w:r>
      <w:r w:rsidR="00E53514">
        <w:rPr>
          <w:szCs w:val="24"/>
          <w:lang w:eastAsia="en-US"/>
        </w:rPr>
        <w:t xml:space="preserve"> be greater again. </w:t>
      </w:r>
      <w:r w:rsidRPr="0006787A">
        <w:rPr>
          <w:szCs w:val="24"/>
          <w:lang w:eastAsia="en-US"/>
        </w:rPr>
        <w:t xml:space="preserve">However, </w:t>
      </w:r>
      <w:r w:rsidR="00F265CB">
        <w:rPr>
          <w:szCs w:val="24"/>
          <w:lang w:eastAsia="en-US"/>
        </w:rPr>
        <w:t xml:space="preserve">MSAC agreed with the applicant </w:t>
      </w:r>
      <w:r w:rsidRPr="0006787A">
        <w:rPr>
          <w:szCs w:val="24"/>
          <w:lang w:eastAsia="en-US"/>
        </w:rPr>
        <w:t>th</w:t>
      </w:r>
      <w:r w:rsidR="00F265CB">
        <w:rPr>
          <w:szCs w:val="24"/>
          <w:lang w:eastAsia="en-US"/>
        </w:rPr>
        <w:t xml:space="preserve">at uptake </w:t>
      </w:r>
      <w:r w:rsidRPr="0006787A">
        <w:rPr>
          <w:szCs w:val="24"/>
          <w:lang w:eastAsia="en-US"/>
        </w:rPr>
        <w:t xml:space="preserve">may be </w:t>
      </w:r>
      <w:r w:rsidR="00F265CB">
        <w:rPr>
          <w:szCs w:val="24"/>
          <w:lang w:eastAsia="en-US"/>
        </w:rPr>
        <w:t xml:space="preserve">most </w:t>
      </w:r>
      <w:r w:rsidRPr="0006787A">
        <w:rPr>
          <w:szCs w:val="24"/>
          <w:lang w:eastAsia="en-US"/>
        </w:rPr>
        <w:t>limited by the capacity of the specialist cardiac centre</w:t>
      </w:r>
      <w:r w:rsidR="00F265CB">
        <w:rPr>
          <w:szCs w:val="24"/>
          <w:lang w:eastAsia="en-US"/>
        </w:rPr>
        <w:t>s</w:t>
      </w:r>
      <w:r w:rsidRPr="0006787A">
        <w:rPr>
          <w:szCs w:val="24"/>
          <w:lang w:eastAsia="en-US"/>
        </w:rPr>
        <w:t xml:space="preserve"> to perform the procedure.</w:t>
      </w:r>
    </w:p>
    <w:p w14:paraId="65E17ECF" w14:textId="77777777" w:rsidR="006A7F8A" w:rsidRPr="006A7F8A" w:rsidRDefault="006A7F8A" w:rsidP="00D340DE">
      <w:pPr>
        <w:rPr>
          <w:szCs w:val="24"/>
        </w:rPr>
      </w:pPr>
    </w:p>
    <w:p w14:paraId="16CAB826" w14:textId="77777777" w:rsidR="006A0D97" w:rsidRDefault="006A0D97" w:rsidP="006A0D97">
      <w:pPr>
        <w:pStyle w:val="Heading1"/>
        <w:numPr>
          <w:ilvl w:val="0"/>
          <w:numId w:val="23"/>
        </w:numPr>
        <w:ind w:hanging="720"/>
      </w:pPr>
      <w:r w:rsidRPr="006A0D97">
        <w:t>Key issues from ESC for MSAC</w:t>
      </w:r>
    </w:p>
    <w:p w14:paraId="7A074153" w14:textId="77777777" w:rsidR="00193029" w:rsidRPr="00193029" w:rsidRDefault="00193029" w:rsidP="00193029"/>
    <w:p w14:paraId="0361FDD9" w14:textId="52840F4E" w:rsidR="00F9695B" w:rsidRDefault="00F9695B" w:rsidP="00F9695B">
      <w:r>
        <w:t xml:space="preserve">ESC noted that the </w:t>
      </w:r>
      <w:r w:rsidR="007C32E5">
        <w:t>SBA</w:t>
      </w:r>
      <w:r w:rsidR="00EA103A">
        <w:t xml:space="preserve"> </w:t>
      </w:r>
      <w:r>
        <w:t>describe</w:t>
      </w:r>
      <w:r w:rsidR="0039005F">
        <w:t>d</w:t>
      </w:r>
      <w:r>
        <w:t xml:space="preserve"> a population that, in terms of a measure of severity of aortic stenosis (AS), differ</w:t>
      </w:r>
      <w:r w:rsidR="0042014B">
        <w:t>ed</w:t>
      </w:r>
      <w:r w:rsidR="0039005F">
        <w:t xml:space="preserve"> </w:t>
      </w:r>
      <w:r>
        <w:t>from the population for whom TGA listing was requested (aortic valve area &lt;</w:t>
      </w:r>
      <w:r w:rsidR="00E53514">
        <w:t> </w:t>
      </w:r>
      <w:r>
        <w:t>0.8</w:t>
      </w:r>
      <w:r w:rsidR="00E53514">
        <w:t> </w:t>
      </w:r>
      <w:r>
        <w:t>cm</w:t>
      </w:r>
      <w:r w:rsidRPr="00E53514">
        <w:rPr>
          <w:vertAlign w:val="superscript"/>
        </w:rPr>
        <w:t>2</w:t>
      </w:r>
      <w:r>
        <w:t xml:space="preserve">) and </w:t>
      </w:r>
      <w:r w:rsidR="0042014B">
        <w:t xml:space="preserve">from </w:t>
      </w:r>
      <w:r>
        <w:t>the population in the pivotal</w:t>
      </w:r>
      <w:r w:rsidR="00E53514">
        <w:t xml:space="preserve"> trials (aortic valve area &lt; 0.8 </w:t>
      </w:r>
      <w:r>
        <w:t>cm</w:t>
      </w:r>
      <w:r w:rsidRPr="00E53514">
        <w:rPr>
          <w:vertAlign w:val="superscript"/>
        </w:rPr>
        <w:t>2</w:t>
      </w:r>
      <w:r w:rsidR="006956EC">
        <w:t>)</w:t>
      </w:r>
      <w:r w:rsidR="0042014B">
        <w:t xml:space="preserve"> by describing a population with aortic valve area &lt; 1.0 cm</w:t>
      </w:r>
      <w:r w:rsidR="0042014B" w:rsidRPr="00E53514">
        <w:rPr>
          <w:vertAlign w:val="superscript"/>
        </w:rPr>
        <w:t>2</w:t>
      </w:r>
      <w:r w:rsidR="006956EC">
        <w:t xml:space="preserve">. </w:t>
      </w:r>
      <w:r w:rsidR="0039005F">
        <w:t xml:space="preserve">ESC advised that the relevant clinical practice guidelines have changed over the last decade to now limit </w:t>
      </w:r>
      <w:r w:rsidR="00D36F93">
        <w:t xml:space="preserve">symptomatic </w:t>
      </w:r>
      <w:r w:rsidR="0039005F">
        <w:t>severe AS to a</w:t>
      </w:r>
      <w:r w:rsidR="007C32E5">
        <w:t xml:space="preserve"> mean </w:t>
      </w:r>
      <w:r w:rsidR="00016637">
        <w:t xml:space="preserve">transaortic </w:t>
      </w:r>
      <w:r w:rsidR="007C32E5">
        <w:t>gradient of</w:t>
      </w:r>
      <w:r w:rsidR="0039005F">
        <w:t xml:space="preserve"> </w:t>
      </w:r>
      <w:r w:rsidR="007C32E5">
        <w:t>&gt; </w:t>
      </w:r>
      <w:r w:rsidR="0039005F">
        <w:t>40 mm</w:t>
      </w:r>
      <w:r w:rsidR="007C32E5">
        <w:t>Hg</w:t>
      </w:r>
      <w:r w:rsidR="0039005F">
        <w:t xml:space="preserve"> </w:t>
      </w:r>
      <w:r w:rsidR="007C32E5">
        <w:t>and</w:t>
      </w:r>
      <w:r w:rsidR="0039005F">
        <w:t xml:space="preserve"> </w:t>
      </w:r>
      <w:r w:rsidR="007C32E5">
        <w:t xml:space="preserve">an </w:t>
      </w:r>
      <w:r w:rsidR="0039005F">
        <w:t xml:space="preserve">aortic valve area of </w:t>
      </w:r>
      <w:r w:rsidR="0042014B">
        <w:t>&lt; </w:t>
      </w:r>
      <w:r w:rsidR="0039005F">
        <w:t>0.8 cm</w:t>
      </w:r>
      <w:r w:rsidR="0039005F" w:rsidRPr="00E53514">
        <w:rPr>
          <w:vertAlign w:val="superscript"/>
        </w:rPr>
        <w:t>2</w:t>
      </w:r>
      <w:r w:rsidR="00792D3F">
        <w:t xml:space="preserve"> (for example, see the 2014 v</w:t>
      </w:r>
      <w:r w:rsidR="00792D3F" w:rsidRPr="00157FBE">
        <w:t xml:space="preserve">alvular </w:t>
      </w:r>
      <w:r w:rsidR="00792D3F">
        <w:t>h</w:t>
      </w:r>
      <w:r w:rsidR="00792D3F" w:rsidRPr="00157FBE">
        <w:t xml:space="preserve">eart </w:t>
      </w:r>
      <w:r w:rsidR="00792D3F">
        <w:t>di</w:t>
      </w:r>
      <w:r w:rsidR="00792D3F" w:rsidRPr="00157FBE">
        <w:t xml:space="preserve">sease </w:t>
      </w:r>
      <w:r w:rsidR="00792D3F">
        <w:t xml:space="preserve">practice </w:t>
      </w:r>
      <w:r w:rsidR="00792D3F" w:rsidRPr="00157FBE">
        <w:t xml:space="preserve">guidelines from the American College of Cardiology </w:t>
      </w:r>
      <w:r w:rsidR="00792D3F">
        <w:t xml:space="preserve">and the </w:t>
      </w:r>
      <w:r w:rsidR="00792D3F" w:rsidRPr="00157FBE">
        <w:t>American Heart Association</w:t>
      </w:r>
      <w:r w:rsidR="00C83CBF">
        <w:rPr>
          <w:rStyle w:val="FootnoteReference"/>
        </w:rPr>
        <w:footnoteReference w:id="1"/>
      </w:r>
      <w:r w:rsidR="00792D3F">
        <w:t>)</w:t>
      </w:r>
      <w:r w:rsidR="0039005F">
        <w:t xml:space="preserve">. </w:t>
      </w:r>
      <w:r>
        <w:t xml:space="preserve">The </w:t>
      </w:r>
      <w:r w:rsidR="007C32E5">
        <w:t>SBA</w:t>
      </w:r>
      <w:r w:rsidR="0039005F">
        <w:t xml:space="preserve">’s </w:t>
      </w:r>
      <w:r w:rsidR="00EA103A">
        <w:t xml:space="preserve">intended </w:t>
      </w:r>
      <w:r>
        <w:t xml:space="preserve">population, by this measure, </w:t>
      </w:r>
      <w:r w:rsidR="0039005F">
        <w:t xml:space="preserve">would include patients with </w:t>
      </w:r>
      <w:r>
        <w:t>less severe disease.</w:t>
      </w:r>
    </w:p>
    <w:p w14:paraId="61542880" w14:textId="77777777" w:rsidR="00F9695B" w:rsidRDefault="00F9695B" w:rsidP="00F9695B"/>
    <w:p w14:paraId="74A298F4" w14:textId="77777777" w:rsidR="00F9695B" w:rsidRDefault="00F9695B" w:rsidP="00F9695B">
      <w:r>
        <w:lastRenderedPageBreak/>
        <w:t xml:space="preserve">The proposed MBS item descriptor </w:t>
      </w:r>
      <w:r w:rsidR="00E53514">
        <w:t>wa</w:t>
      </w:r>
      <w:r>
        <w:t>s less specific in characterising the target population with symptomatic severe aortic stenosis than the proposed indication. ESC agreed that this potentially allow</w:t>
      </w:r>
      <w:r w:rsidR="00E53514">
        <w:t>ed</w:t>
      </w:r>
      <w:r>
        <w:t xml:space="preserve"> for less severe patients to be eligible for TAVI. ESC was concerned about this, as the </w:t>
      </w:r>
      <w:r w:rsidR="00264A15">
        <w:t>harm</w:t>
      </w:r>
      <w:r>
        <w:t>/benefit trade-off has not been established in a lower risk population.</w:t>
      </w:r>
    </w:p>
    <w:p w14:paraId="1CD2BC68" w14:textId="77777777" w:rsidR="00F9695B" w:rsidRDefault="00F9695B" w:rsidP="00F9695B"/>
    <w:p w14:paraId="5B92ADAF" w14:textId="77777777" w:rsidR="00F9695B" w:rsidRDefault="00F9695B" w:rsidP="00F9695B">
      <w:r>
        <w:t xml:space="preserve">ESC </w:t>
      </w:r>
      <w:r w:rsidR="00264A15">
        <w:t>advised</w:t>
      </w:r>
      <w:r>
        <w:t xml:space="preserve"> that there should be a non-brand-specific generic approach to the assessment a</w:t>
      </w:r>
      <w:r w:rsidR="00E53514">
        <w:t>nd also to the item descriptor.</w:t>
      </w:r>
    </w:p>
    <w:p w14:paraId="0806500E" w14:textId="77777777" w:rsidR="00F9695B" w:rsidRDefault="00F9695B" w:rsidP="00F9695B">
      <w:r>
        <w:t>ESC a</w:t>
      </w:r>
      <w:r w:rsidR="00264A15">
        <w:t>greed</w:t>
      </w:r>
      <w:r>
        <w:t xml:space="preserve"> that the assessment of patients by a </w:t>
      </w:r>
      <w:r w:rsidR="00264A15">
        <w:t>‘</w:t>
      </w:r>
      <w:r>
        <w:t>heart</w:t>
      </w:r>
      <w:r w:rsidR="00264A15">
        <w:t>’</w:t>
      </w:r>
      <w:r>
        <w:t xml:space="preserve"> </w:t>
      </w:r>
      <w:r w:rsidR="00264A15">
        <w:t xml:space="preserve">multidisciplinary </w:t>
      </w:r>
      <w:r>
        <w:t>team be included in the descript</w:t>
      </w:r>
      <w:r w:rsidR="00E53514">
        <w:t xml:space="preserve">or as a prerequisite for TAVI. </w:t>
      </w:r>
      <w:r>
        <w:t>This w</w:t>
      </w:r>
      <w:r w:rsidR="00E53514">
        <w:t>ould</w:t>
      </w:r>
      <w:r>
        <w:t xml:space="preserve"> allow for the use of clinical judgment ra</w:t>
      </w:r>
      <w:r w:rsidR="00E53514">
        <w:t>ther than a formal risk score.</w:t>
      </w:r>
    </w:p>
    <w:p w14:paraId="7539D7FD" w14:textId="77777777" w:rsidR="00F9695B" w:rsidRDefault="00F9695B" w:rsidP="00F9695B"/>
    <w:p w14:paraId="471FF9E0" w14:textId="1DCA4898" w:rsidR="00F9695B" w:rsidRDefault="00F9695B" w:rsidP="00F9695B">
      <w:r>
        <w:t xml:space="preserve">ESC </w:t>
      </w:r>
      <w:r w:rsidR="00264A15">
        <w:t>considered</w:t>
      </w:r>
      <w:r>
        <w:t xml:space="preserve"> that a restriction of eligibility for patients </w:t>
      </w:r>
      <w:r w:rsidR="00264A15">
        <w:t xml:space="preserve">judged by this team to </w:t>
      </w:r>
      <w:r>
        <w:t xml:space="preserve">have less than 12 months to live is appropriate </w:t>
      </w:r>
      <w:r w:rsidR="00E53514">
        <w:t>because</w:t>
      </w:r>
      <w:r>
        <w:t xml:space="preserve"> </w:t>
      </w:r>
      <w:r w:rsidR="00E53514">
        <w:t>it would remove</w:t>
      </w:r>
      <w:r>
        <w:t xml:space="preserve"> patients who are not suitable for TAVI, such as patients in a palliative state.</w:t>
      </w:r>
    </w:p>
    <w:p w14:paraId="30C1CEAF" w14:textId="77777777" w:rsidR="00F9695B" w:rsidRDefault="00F9695B" w:rsidP="00F9695B"/>
    <w:p w14:paraId="1622CDEB" w14:textId="77777777" w:rsidR="00F9695B" w:rsidRDefault="00F9695B" w:rsidP="00F9695B">
      <w:r>
        <w:t xml:space="preserve">ESC </w:t>
      </w:r>
      <w:r w:rsidR="00264A15">
        <w:t xml:space="preserve">advised </w:t>
      </w:r>
      <w:r>
        <w:t>that TAVI should be performed in institutions where immediate surgery for adverse events is available</w:t>
      </w:r>
      <w:r w:rsidR="00264A15">
        <w:t xml:space="preserve">, and that </w:t>
      </w:r>
      <w:r>
        <w:t xml:space="preserve">MSAC should consider whether this should be specified in the </w:t>
      </w:r>
      <w:r w:rsidR="00264A15">
        <w:t xml:space="preserve">item </w:t>
      </w:r>
      <w:r>
        <w:t>descriptor.</w:t>
      </w:r>
    </w:p>
    <w:p w14:paraId="504268A4" w14:textId="77777777" w:rsidR="00F9695B" w:rsidRDefault="00F9695B" w:rsidP="00F9695B"/>
    <w:p w14:paraId="1EB5453B" w14:textId="77777777" w:rsidR="00F9695B" w:rsidRDefault="00F9695B" w:rsidP="00F9695B">
      <w:r>
        <w:t xml:space="preserve">ESC could not estimate clinical safety outcomes for the high surgical risk/inoperable patients not suitable for transfemoral </w:t>
      </w:r>
      <w:r w:rsidR="000F29B5">
        <w:t>delivery</w:t>
      </w:r>
      <w:r>
        <w:t xml:space="preserve"> </w:t>
      </w:r>
      <w:r w:rsidR="00264A15">
        <w:t>of</w:t>
      </w:r>
      <w:r>
        <w:t xml:space="preserve"> TAVI. This was due to a lack of evidence available.</w:t>
      </w:r>
    </w:p>
    <w:p w14:paraId="2B2DA042" w14:textId="77777777" w:rsidR="00F9695B" w:rsidRDefault="00F9695B" w:rsidP="00F9695B"/>
    <w:p w14:paraId="1069C3D2" w14:textId="77777777" w:rsidR="00F9695B" w:rsidRDefault="00F9695B" w:rsidP="00F9695B">
      <w:r>
        <w:t xml:space="preserve">However, ESC was concerned about safety of transapical </w:t>
      </w:r>
      <w:r w:rsidR="000F29B5">
        <w:t>delivery</w:t>
      </w:r>
      <w:r>
        <w:t xml:space="preserve"> </w:t>
      </w:r>
      <w:r w:rsidR="00264A15">
        <w:t xml:space="preserve">of TAVI </w:t>
      </w:r>
      <w:r>
        <w:t xml:space="preserve">and suggested that the MBS item descriptor could be re-worded to explicitly state that the minimally invasive approach is only to be done on ‘high surgical risk’ patients where transfemoral </w:t>
      </w:r>
      <w:r w:rsidR="000F29B5">
        <w:t>delivery</w:t>
      </w:r>
      <w:r>
        <w:t xml:space="preserve"> is not possible.</w:t>
      </w:r>
    </w:p>
    <w:p w14:paraId="4489F979" w14:textId="77777777" w:rsidR="00E53514" w:rsidRDefault="00E53514" w:rsidP="00F9695B"/>
    <w:p w14:paraId="7C347AE8" w14:textId="77777777" w:rsidR="00F9695B" w:rsidRDefault="00F9695B" w:rsidP="00F9695B">
      <w:r>
        <w:t xml:space="preserve">ESC noted that </w:t>
      </w:r>
      <w:r w:rsidR="00E53514">
        <w:t xml:space="preserve">use of </w:t>
      </w:r>
      <w:r>
        <w:t>the device m</w:t>
      </w:r>
      <w:r w:rsidR="00E53514">
        <w:t>ight</w:t>
      </w:r>
      <w:r>
        <w:t xml:space="preserve"> lead to problems with high risk patients requiring pacemaker insertion.</w:t>
      </w:r>
    </w:p>
    <w:p w14:paraId="045C2254" w14:textId="77777777" w:rsidR="00F9695B" w:rsidRDefault="00F9695B" w:rsidP="00F9695B"/>
    <w:p w14:paraId="5D9D905C" w14:textId="77777777" w:rsidR="00F9695B" w:rsidRDefault="00F9695B" w:rsidP="00F9695B">
      <w:r>
        <w:t xml:space="preserve">As with clinical safety, there was insufficient evidence for ESC to estimate clinical effectiveness outcomes for the high surgical risk/inoperable patients not suitable for </w:t>
      </w:r>
      <w:r w:rsidR="00264A15">
        <w:t xml:space="preserve">transfemoral delivery </w:t>
      </w:r>
      <w:r w:rsidR="000F29B5">
        <w:t>TAVI</w:t>
      </w:r>
      <w:r>
        <w:t>.</w:t>
      </w:r>
    </w:p>
    <w:p w14:paraId="00B7FAD5" w14:textId="77777777" w:rsidR="00F9695B" w:rsidRDefault="00F9695B" w:rsidP="00F9695B"/>
    <w:p w14:paraId="2D1E75F4" w14:textId="77777777" w:rsidR="00F9695B" w:rsidRDefault="00F9695B" w:rsidP="00F9695B">
      <w:r>
        <w:t xml:space="preserve">ESC was concerned that the methods used to extrapolate the observed outcomes beyond the clinical trials </w:t>
      </w:r>
      <w:r w:rsidR="00E53514">
        <w:t>might not be</w:t>
      </w:r>
      <w:r>
        <w:t xml:space="preserve"> appropriate. For example, no justification </w:t>
      </w:r>
      <w:r w:rsidR="00E53514">
        <w:t>w</w:t>
      </w:r>
      <w:r>
        <w:t>as provided to use constant rat</w:t>
      </w:r>
      <w:r w:rsidR="00264A15">
        <w:t>her than time-</w:t>
      </w:r>
      <w:r>
        <w:t xml:space="preserve">dependent transition probabilities. This </w:t>
      </w:r>
      <w:r w:rsidR="00E53514">
        <w:t>wa</w:t>
      </w:r>
      <w:r>
        <w:t>s particularly important for the economic evaluation of SAVR vs. TAVI as it c</w:t>
      </w:r>
      <w:r w:rsidR="00E53514">
        <w:t>ould</w:t>
      </w:r>
      <w:r>
        <w:t xml:space="preserve"> lead to the resu</w:t>
      </w:r>
      <w:r w:rsidR="00247146">
        <w:t>lts potentially favouring TAVI.</w:t>
      </w:r>
    </w:p>
    <w:p w14:paraId="049FCA71" w14:textId="77777777" w:rsidR="00F9695B" w:rsidRDefault="00F9695B" w:rsidP="00F9695B"/>
    <w:p w14:paraId="012603E5" w14:textId="77777777" w:rsidR="00F9695B" w:rsidRDefault="00F9695B" w:rsidP="00F9695B">
      <w:r>
        <w:t xml:space="preserve">ESC considered the </w:t>
      </w:r>
      <w:r w:rsidR="007C32E5">
        <w:t>SBA</w:t>
      </w:r>
      <w:r>
        <w:t>’s economic mod</w:t>
      </w:r>
      <w:r w:rsidR="00E53514">
        <w:t>el, which involved</w:t>
      </w:r>
      <w:r>
        <w:t xml:space="preserve"> the cycling of patients through a series of Markov health states to examine costs </w:t>
      </w:r>
      <w:r w:rsidR="00E53514">
        <w:t>and outcomes for TAVI or SAVR. The cohort entered</w:t>
      </w:r>
      <w:r>
        <w:t xml:space="preserve"> the Markov model in the “procedure” health state, which c</w:t>
      </w:r>
      <w:r w:rsidR="00E53514">
        <w:t xml:space="preserve">ould </w:t>
      </w:r>
      <w:r>
        <w:t>result in a successful, no complication outcome, or be associated with complications. Complications include</w:t>
      </w:r>
      <w:r w:rsidR="00E53514">
        <w:t>d</w:t>
      </w:r>
      <w:r>
        <w:t xml:space="preserve"> death, pacemaker, major bleeding, stroke, heart failure/vascular complication, and “other CV complications”</w:t>
      </w:r>
      <w:r w:rsidR="00E53514">
        <w:t>.</w:t>
      </w:r>
    </w:p>
    <w:p w14:paraId="2A7011D1" w14:textId="77777777" w:rsidR="00F9695B" w:rsidRDefault="00F9695B" w:rsidP="00F9695B"/>
    <w:p w14:paraId="286841CD" w14:textId="77777777" w:rsidR="00F9695B" w:rsidRDefault="00F9695B" w:rsidP="00F9695B">
      <w:r>
        <w:t>The critique highlighted several issues with the economic evaluation. ESC noted that</w:t>
      </w:r>
      <w:r w:rsidR="00E53514">
        <w:t>,</w:t>
      </w:r>
      <w:r>
        <w:t xml:space="preserve"> whilst the applicant did make some changes to the model in its pre-ESC response document, there were many areas that the applicant should have ideally revised.</w:t>
      </w:r>
    </w:p>
    <w:p w14:paraId="42B12C04" w14:textId="77777777" w:rsidR="00F9695B" w:rsidRDefault="00F9695B" w:rsidP="00F9695B"/>
    <w:p w14:paraId="21F2676D" w14:textId="77777777" w:rsidR="00F9695B" w:rsidRDefault="00F9695B" w:rsidP="00F9695B">
      <w:r>
        <w:lastRenderedPageBreak/>
        <w:t xml:space="preserve">ESC noted that there </w:t>
      </w:r>
      <w:r w:rsidR="00E53514">
        <w:t>wa</w:t>
      </w:r>
      <w:r>
        <w:t>s inappropriate pooling of patients experiencing a wide variety of events of differing severity into a single health state of “other complications” with dif</w:t>
      </w:r>
      <w:r w:rsidR="00E53514">
        <w:t>ferentials in the proportions across TAVI and its comparators.</w:t>
      </w:r>
    </w:p>
    <w:p w14:paraId="3E6BDF3E" w14:textId="77777777" w:rsidR="00F9695B" w:rsidRDefault="00F9695B" w:rsidP="00F9695B">
      <w:r>
        <w:t xml:space="preserve">ESC noted that there </w:t>
      </w:r>
      <w:r w:rsidR="001160A7">
        <w:t>were discrepancies</w:t>
      </w:r>
      <w:r>
        <w:t xml:space="preserve"> that patients experiencing the same events </w:t>
      </w:r>
      <w:r w:rsidR="00E53514">
        <w:t xml:space="preserve">could </w:t>
      </w:r>
      <w:r>
        <w:t>transit to</w:t>
      </w:r>
      <w:r w:rsidR="00E53514">
        <w:t xml:space="preserve"> different health states</w:t>
      </w:r>
      <w:r w:rsidR="001160A7">
        <w:t xml:space="preserve"> across the different interventions</w:t>
      </w:r>
      <w:r>
        <w:t>.</w:t>
      </w:r>
    </w:p>
    <w:p w14:paraId="4B601AC6" w14:textId="77777777" w:rsidR="00F9695B" w:rsidRDefault="00F9695B" w:rsidP="00F9695B"/>
    <w:p w14:paraId="40F0022F" w14:textId="77777777" w:rsidR="00F9695B" w:rsidRDefault="00F9695B" w:rsidP="00F9695B">
      <w:r>
        <w:t>ESC not</w:t>
      </w:r>
      <w:r w:rsidR="00E53514">
        <w:t>ed that the economic model failed</w:t>
      </w:r>
      <w:r>
        <w:t xml:space="preserve"> to include all relevant health states, which ha</w:t>
      </w:r>
      <w:r w:rsidR="00264A15">
        <w:t>d</w:t>
      </w:r>
      <w:r>
        <w:t xml:space="preserve"> implications for survival outcomes.</w:t>
      </w:r>
    </w:p>
    <w:p w14:paraId="5290A043" w14:textId="77777777" w:rsidR="00F9695B" w:rsidRDefault="00F9695B" w:rsidP="00F9695B"/>
    <w:p w14:paraId="1161065B" w14:textId="77777777" w:rsidR="00F9695B" w:rsidRDefault="00F9695B" w:rsidP="00F9695B">
      <w:r>
        <w:t xml:space="preserve">ESC noted that most of the transition probabilities </w:t>
      </w:r>
      <w:r w:rsidR="00E53514">
        <w:t>we</w:t>
      </w:r>
      <w:r>
        <w:t xml:space="preserve">re artificially derived without a proper justification or supporting clinical evidence and </w:t>
      </w:r>
      <w:r w:rsidR="006956EC">
        <w:t>so we</w:t>
      </w:r>
      <w:r>
        <w:t>re considered invalid.</w:t>
      </w:r>
    </w:p>
    <w:p w14:paraId="523D86A2" w14:textId="77777777" w:rsidR="00F9695B" w:rsidRDefault="00F9695B" w:rsidP="00F9695B"/>
    <w:p w14:paraId="1D62C9D3" w14:textId="77777777" w:rsidR="00F9695B" w:rsidRDefault="00F9695B" w:rsidP="00F9695B">
      <w:r>
        <w:t>ESC noted that the economic evaluation applied unadjusted utility values obtained from two different multi-attribute utility instruments.</w:t>
      </w:r>
    </w:p>
    <w:p w14:paraId="71E55660" w14:textId="77777777" w:rsidR="00F9695B" w:rsidRDefault="00F9695B" w:rsidP="00F9695B"/>
    <w:p w14:paraId="062F9FF5" w14:textId="77777777" w:rsidR="00F9695B" w:rsidRDefault="00F9695B" w:rsidP="00F9695B">
      <w:r>
        <w:t>E</w:t>
      </w:r>
      <w:r w:rsidR="006A7F8A">
        <w:t>SC</w:t>
      </w:r>
      <w:r>
        <w:t xml:space="preserve"> noted the main area of </w:t>
      </w:r>
      <w:r w:rsidR="00264A15">
        <w:t xml:space="preserve">financial </w:t>
      </w:r>
      <w:r>
        <w:t xml:space="preserve">uncertainty was the number of patients in Australia with severe symptomatic AS who may be being medically treated (+/- </w:t>
      </w:r>
      <w:r w:rsidR="000061C4">
        <w:t xml:space="preserve">balloon </w:t>
      </w:r>
      <w:proofErr w:type="spellStart"/>
      <w:r w:rsidR="000061C4">
        <w:t>valvuloplasty</w:t>
      </w:r>
      <w:proofErr w:type="spellEnd"/>
      <w:r>
        <w:t>) for this condition. ESC noted that using prevalence estimate</w:t>
      </w:r>
      <w:r w:rsidR="006956EC">
        <w:t>s from a meta-analysis indicated</w:t>
      </w:r>
      <w:r>
        <w:t xml:space="preserve"> that the likely number of patients who are being medically managed and eligible for TAVI may be 4,117 in 2015; a number 7 times greater than the 593 patients estimated by the </w:t>
      </w:r>
      <w:r w:rsidR="007C32E5">
        <w:t>SBA</w:t>
      </w:r>
      <w:r>
        <w:t>. ESC also noted that this number was calculated for patients &gt;</w:t>
      </w:r>
      <w:r w:rsidR="006956EC">
        <w:t> </w:t>
      </w:r>
      <w:r>
        <w:t xml:space="preserve">75 years </w:t>
      </w:r>
      <w:r w:rsidR="006956EC">
        <w:t xml:space="preserve">of age </w:t>
      </w:r>
      <w:r>
        <w:t xml:space="preserve">and with severe AS. If the criteria </w:t>
      </w:r>
      <w:r w:rsidR="006956EC">
        <w:t>were</w:t>
      </w:r>
      <w:r>
        <w:t xml:space="preserve"> relaxed to </w:t>
      </w:r>
      <w:r w:rsidR="006956EC">
        <w:t xml:space="preserve">be </w:t>
      </w:r>
      <w:r>
        <w:t>&gt;</w:t>
      </w:r>
      <w:r w:rsidR="006956EC">
        <w:t> </w:t>
      </w:r>
      <w:r>
        <w:t>65 years of age and with less severe AS</w:t>
      </w:r>
      <w:r w:rsidR="006956EC">
        <w:t>,</w:t>
      </w:r>
      <w:r>
        <w:t xml:space="preserve"> then the potential unmet demand f</w:t>
      </w:r>
      <w:r w:rsidR="006956EC">
        <w:t xml:space="preserve">or TAVI will be greater again. </w:t>
      </w:r>
      <w:r>
        <w:t>However, this estimate may be limited by the capacity of the existing specialist cardiac centre to perform the procedure.</w:t>
      </w:r>
    </w:p>
    <w:p w14:paraId="6C182FE0" w14:textId="77777777" w:rsidR="00F9695B" w:rsidRDefault="00F9695B" w:rsidP="00F9695B"/>
    <w:p w14:paraId="76F19537" w14:textId="77777777" w:rsidR="006A0D97" w:rsidRDefault="006956EC" w:rsidP="00F9695B">
      <w:r>
        <w:t xml:space="preserve">ESC advised </w:t>
      </w:r>
      <w:r w:rsidR="00F9695B">
        <w:t xml:space="preserve">that data </w:t>
      </w:r>
      <w:r>
        <w:t xml:space="preserve">relating to </w:t>
      </w:r>
      <w:r w:rsidR="00F9695B">
        <w:t>first generation device</w:t>
      </w:r>
      <w:r>
        <w:t>s</w:t>
      </w:r>
      <w:r w:rsidR="00F9695B">
        <w:t xml:space="preserve"> </w:t>
      </w:r>
      <w:r>
        <w:t xml:space="preserve">may overestimate </w:t>
      </w:r>
      <w:r w:rsidR="00F9695B">
        <w:t>some adverse events, for example, the high rate of pacemaker insertion required in patients who have undergone TAVI may be reduced with new generation devices.</w:t>
      </w:r>
    </w:p>
    <w:p w14:paraId="001EFD50" w14:textId="77777777" w:rsidR="006A7F8A" w:rsidRPr="006A0D97" w:rsidRDefault="006A7F8A" w:rsidP="006A0D97"/>
    <w:p w14:paraId="3FE88C93" w14:textId="77777777" w:rsidR="00BC1364" w:rsidRDefault="00BC1364" w:rsidP="007B32D1">
      <w:pPr>
        <w:pStyle w:val="Heading1"/>
        <w:numPr>
          <w:ilvl w:val="0"/>
          <w:numId w:val="23"/>
        </w:numPr>
        <w:ind w:hanging="720"/>
      </w:pPr>
      <w:r w:rsidRPr="008D5885">
        <w:t>Other significant factors</w:t>
      </w:r>
    </w:p>
    <w:p w14:paraId="5765CB2E" w14:textId="77777777" w:rsidR="00D90A38" w:rsidRDefault="00D90A38" w:rsidP="00DD2858">
      <w:pPr>
        <w:rPr>
          <w:szCs w:val="24"/>
        </w:rPr>
      </w:pPr>
    </w:p>
    <w:p w14:paraId="19FFBF64" w14:textId="744FA6F6" w:rsidR="00BC1364" w:rsidRDefault="00F56F93" w:rsidP="001B05DD">
      <w:pPr>
        <w:rPr>
          <w:szCs w:val="24"/>
        </w:rPr>
      </w:pPr>
      <w:r>
        <w:rPr>
          <w:szCs w:val="24"/>
        </w:rPr>
        <w:t xml:space="preserve">MSAC </w:t>
      </w:r>
      <w:r w:rsidR="00EE3BFE">
        <w:rPr>
          <w:szCs w:val="24"/>
        </w:rPr>
        <w:t>discussed whether the rule of rescue might apply in this context and decided against this primarily because TAVI is not intended to be restricted to inoperable patients only and so other alternatives (</w:t>
      </w:r>
      <w:proofErr w:type="spellStart"/>
      <w:r w:rsidR="00EE3BFE">
        <w:rPr>
          <w:szCs w:val="24"/>
        </w:rPr>
        <w:t>eg</w:t>
      </w:r>
      <w:proofErr w:type="spellEnd"/>
      <w:r w:rsidR="00EE3BFE">
        <w:rPr>
          <w:szCs w:val="24"/>
        </w:rPr>
        <w:t xml:space="preserve"> SAVR) are available</w:t>
      </w:r>
      <w:r w:rsidR="00193029" w:rsidRPr="00193029">
        <w:rPr>
          <w:szCs w:val="24"/>
        </w:rPr>
        <w:t>.</w:t>
      </w:r>
    </w:p>
    <w:p w14:paraId="035E0E9D" w14:textId="77777777" w:rsidR="006A7F8A" w:rsidRPr="00707064" w:rsidRDefault="006A7F8A" w:rsidP="001B05DD">
      <w:pPr>
        <w:tabs>
          <w:tab w:val="left" w:pos="720"/>
        </w:tabs>
        <w:rPr>
          <w:szCs w:val="24"/>
        </w:rPr>
      </w:pPr>
    </w:p>
    <w:p w14:paraId="4A6341C0" w14:textId="77777777" w:rsidR="00BC1364" w:rsidRDefault="00BC1364" w:rsidP="007B32D1">
      <w:pPr>
        <w:pStyle w:val="Heading1"/>
        <w:numPr>
          <w:ilvl w:val="0"/>
          <w:numId w:val="23"/>
        </w:numPr>
        <w:ind w:hanging="720"/>
      </w:pPr>
      <w:r w:rsidRPr="008D5885">
        <w:t xml:space="preserve">Applicant’s comments on MSAC’s </w:t>
      </w:r>
      <w:r w:rsidR="00DA56AA">
        <w:t>Public Summary Document</w:t>
      </w:r>
    </w:p>
    <w:p w14:paraId="5CDE3CBD" w14:textId="77777777" w:rsidR="00BC1364" w:rsidRPr="006A7F8A" w:rsidRDefault="00BC1364" w:rsidP="00230D6B">
      <w:pPr>
        <w:tabs>
          <w:tab w:val="left" w:pos="720"/>
        </w:tabs>
        <w:ind w:left="709" w:hanging="709"/>
        <w:rPr>
          <w:szCs w:val="24"/>
        </w:rPr>
      </w:pPr>
    </w:p>
    <w:p w14:paraId="3BB76923" w14:textId="06493EE8" w:rsidR="00D305C7" w:rsidRPr="001C6FD4" w:rsidRDefault="00D305C7" w:rsidP="00D305C7">
      <w:pPr>
        <w:rPr>
          <w:color w:val="FF0000"/>
          <w:szCs w:val="24"/>
        </w:rPr>
      </w:pPr>
      <w:r w:rsidRPr="006B3B3B">
        <w:rPr>
          <w:szCs w:val="24"/>
        </w:rPr>
        <w:t xml:space="preserve">The applicant acknowledges MSAC’s consideration of the proposed listing of transcatheter aortic valve implantation (TAVI) on the MBS. The areas of uncertainty presented in this PSD were addressed in the applicant’s response to the evaluation report, to the ESC Report, to the MSAC request, and to the critique of post-MSAC. Specifically, the applicant notes that transapical and other minimally invasive TAVI procedures are no longer considered as part of the submission. The applicant notes that further justification was provided regarding the structure of the model, the costs of hospitalisations, the transitions probabilities, and the utility values in the response to the critique of post-MSAC. Further, the applicant notes that multivariate analyses have been provided to show that the economic model is robust. Finally, the applicant notes that the model was calibrated against the 5-year published PARTNER data in the response to the critique of post-MSAC. The 5-year PARTNER data were published 5 days before the MSAC meeting. However, the applicant reiterates that the Australian mortality rates would better represent the proposed patient population. The intent of the proposed listing is to address an area of high unmet clinical need for TAVI, particularly by patients deemed as high risk for SAVR or otherwise inoperable. The applicant </w:t>
      </w:r>
      <w:r w:rsidRPr="006B3B3B">
        <w:rPr>
          <w:szCs w:val="24"/>
        </w:rPr>
        <w:lastRenderedPageBreak/>
        <w:t>notes that MSAC considered that the 5-year results from the PARTNER trial strengthened the clinical case for public funding of TAVI.</w:t>
      </w:r>
    </w:p>
    <w:p w14:paraId="50E802F4" w14:textId="77777777" w:rsidR="006A7F8A" w:rsidRPr="006A7F8A" w:rsidRDefault="006A7F8A" w:rsidP="00230D6B">
      <w:pPr>
        <w:rPr>
          <w:szCs w:val="24"/>
        </w:rPr>
      </w:pPr>
    </w:p>
    <w:p w14:paraId="6FC635B6" w14:textId="77777777" w:rsidR="00BC1364" w:rsidRDefault="00271F18" w:rsidP="007B32D1">
      <w:pPr>
        <w:pStyle w:val="Heading1"/>
        <w:numPr>
          <w:ilvl w:val="0"/>
          <w:numId w:val="23"/>
        </w:numPr>
        <w:ind w:hanging="720"/>
      </w:pPr>
      <w:r>
        <w:t>Further information on MSAC</w:t>
      </w:r>
    </w:p>
    <w:p w14:paraId="2207769D" w14:textId="77777777" w:rsidR="00BC1364" w:rsidRPr="006A7F8A" w:rsidRDefault="00BC1364" w:rsidP="00DD2858">
      <w:pPr>
        <w:tabs>
          <w:tab w:val="left" w:pos="720"/>
        </w:tabs>
        <w:ind w:left="709" w:hanging="709"/>
        <w:rPr>
          <w:szCs w:val="24"/>
        </w:rPr>
      </w:pPr>
    </w:p>
    <w:p w14:paraId="135E234E" w14:textId="77777777"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4" w:tooltip="This is a link to the MSAC website" w:history="1">
        <w:r w:rsidR="00BC1364" w:rsidRPr="00DD2858">
          <w:rPr>
            <w:rStyle w:val="Hyperlink"/>
            <w:color w:val="auto"/>
            <w:szCs w:val="24"/>
          </w:rPr>
          <w:t>www.msac.gov.au</w:t>
        </w:r>
      </w:hyperlink>
      <w:r w:rsidR="006956EC">
        <w:rPr>
          <w:szCs w:val="24"/>
        </w:rPr>
        <w:t>.</w:t>
      </w:r>
    </w:p>
    <w:sectPr w:rsidR="00BC1364" w:rsidRPr="00DD2858" w:rsidSect="00271F18">
      <w:footerReference w:type="default" r:id="rId15"/>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18845E" w15:done="0"/>
  <w15:commentEx w15:paraId="19383490" w15:done="0"/>
  <w15:commentEx w15:paraId="2790055C" w15:done="0"/>
  <w15:commentEx w15:paraId="04765A24" w15:done="0"/>
  <w15:commentEx w15:paraId="335C33BF" w15:done="0"/>
  <w15:commentEx w15:paraId="4B6CBE91" w15:done="0"/>
  <w15:commentEx w15:paraId="608C7870" w15:done="0"/>
  <w15:commentEx w15:paraId="2E50A4FC" w15:done="0"/>
  <w15:commentEx w15:paraId="78A84602" w15:done="0"/>
  <w15:commentEx w15:paraId="763B1060" w15:done="0"/>
  <w15:commentEx w15:paraId="59BA3D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A8E81" w14:textId="77777777" w:rsidR="004C0C70" w:rsidRDefault="004C0C70" w:rsidP="00065623">
      <w:r>
        <w:separator/>
      </w:r>
    </w:p>
  </w:endnote>
  <w:endnote w:type="continuationSeparator" w:id="0">
    <w:p w14:paraId="42BC1BEB" w14:textId="77777777" w:rsidR="004C0C70" w:rsidRDefault="004C0C7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60358A90" w14:textId="77777777" w:rsidR="003F32B7" w:rsidRDefault="003F32B7">
        <w:pPr>
          <w:pStyle w:val="Footer"/>
          <w:jc w:val="right"/>
        </w:pPr>
        <w:r>
          <w:fldChar w:fldCharType="begin"/>
        </w:r>
        <w:r>
          <w:instrText xml:space="preserve"> PAGE   \* MERGEFORMAT </w:instrText>
        </w:r>
        <w:r>
          <w:fldChar w:fldCharType="separate"/>
        </w:r>
        <w:r w:rsidR="00FA7E22">
          <w:rPr>
            <w:noProof/>
          </w:rPr>
          <w:t>16</w:t>
        </w:r>
        <w:r>
          <w:rPr>
            <w:noProof/>
          </w:rPr>
          <w:fldChar w:fldCharType="end"/>
        </w:r>
      </w:p>
    </w:sdtContent>
  </w:sdt>
  <w:p w14:paraId="0111A523" w14:textId="77777777" w:rsidR="003F32B7" w:rsidRDefault="003F3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E7068" w14:textId="77777777" w:rsidR="004C0C70" w:rsidRDefault="004C0C70" w:rsidP="00065623">
      <w:r>
        <w:separator/>
      </w:r>
    </w:p>
  </w:footnote>
  <w:footnote w:type="continuationSeparator" w:id="0">
    <w:p w14:paraId="64711611" w14:textId="77777777" w:rsidR="004C0C70" w:rsidRDefault="004C0C70" w:rsidP="00065623">
      <w:r>
        <w:continuationSeparator/>
      </w:r>
    </w:p>
  </w:footnote>
  <w:footnote w:id="1">
    <w:p w14:paraId="2F4C1202" w14:textId="730D9C94" w:rsidR="003F32B7" w:rsidRDefault="003F32B7" w:rsidP="00C83CBF">
      <w:pPr>
        <w:pStyle w:val="CommentText"/>
      </w:pPr>
      <w:r>
        <w:rPr>
          <w:rStyle w:val="FootnoteReference"/>
        </w:rPr>
        <w:footnoteRef/>
      </w:r>
      <w:r>
        <w:t xml:space="preserve">page 44, </w:t>
      </w:r>
      <w:hyperlink r:id="rId1" w:tooltip="Link to AHA/ACC guidline for the management of patients with valvular heart disease PDF" w:history="1">
        <w:r w:rsidRPr="00CE315E">
          <w:rPr>
            <w:rStyle w:val="Hyperlink"/>
          </w:rPr>
          <w:t>http://circ.ahajournals.org/content/early/2014/02/27/CIR.0000000000000031.full.pdf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2C7478"/>
    <w:multiLevelType w:val="hybridMultilevel"/>
    <w:tmpl w:val="E10C230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nsid w:val="2B650263"/>
    <w:multiLevelType w:val="hybridMultilevel"/>
    <w:tmpl w:val="14520ED4"/>
    <w:lvl w:ilvl="0" w:tplc="C638E278">
      <w:numFmt w:val="bullet"/>
      <w:pStyle w:val="Guidelines"/>
      <w:lvlText w:val="-"/>
      <w:lvlJc w:val="left"/>
      <w:pPr>
        <w:tabs>
          <w:tab w:val="num" w:pos="720"/>
        </w:tabs>
        <w:ind w:left="720" w:hanging="360"/>
      </w:pPr>
      <w:rPr>
        <w:rFonts w:ascii="Times New Roman" w:eastAsia="Times New Roman" w:hAnsi="Times New Roman" w:cs="Times New Roman" w:hint="default"/>
      </w:rPr>
    </w:lvl>
    <w:lvl w:ilvl="1" w:tplc="0B005D56">
      <w:start w:val="1"/>
      <w:numFmt w:val="bullet"/>
      <w:lvlText w:val="o"/>
      <w:lvlJc w:val="left"/>
      <w:pPr>
        <w:tabs>
          <w:tab w:val="num" w:pos="1440"/>
        </w:tabs>
        <w:ind w:left="1440" w:hanging="360"/>
      </w:pPr>
      <w:rPr>
        <w:rFonts w:ascii="Courier New" w:hAnsi="Courier New" w:cs="Courier New" w:hint="default"/>
        <w:color w:val="auto"/>
      </w:rPr>
    </w:lvl>
    <w:lvl w:ilvl="2" w:tplc="A50895EA">
      <w:numFmt w:val="bullet"/>
      <w:lvlText w:val="•"/>
      <w:lvlJc w:val="left"/>
      <w:pPr>
        <w:ind w:left="2160" w:hanging="360"/>
      </w:pPr>
      <w:rPr>
        <w:rFonts w:ascii="Garamond" w:eastAsia="Times New Roman" w:hAnsi="Garamond" w:cs="Times New Roman" w:hint="default"/>
      </w:rPr>
    </w:lvl>
    <w:lvl w:ilvl="3" w:tplc="90BE3F90" w:tentative="1">
      <w:start w:val="1"/>
      <w:numFmt w:val="bullet"/>
      <w:lvlText w:val=""/>
      <w:lvlJc w:val="left"/>
      <w:pPr>
        <w:tabs>
          <w:tab w:val="num" w:pos="2880"/>
        </w:tabs>
        <w:ind w:left="2880" w:hanging="360"/>
      </w:pPr>
      <w:rPr>
        <w:rFonts w:ascii="Symbol" w:hAnsi="Symbol" w:hint="default"/>
      </w:rPr>
    </w:lvl>
    <w:lvl w:ilvl="4" w:tplc="CC8EDEF2" w:tentative="1">
      <w:start w:val="1"/>
      <w:numFmt w:val="bullet"/>
      <w:lvlText w:val="o"/>
      <w:lvlJc w:val="left"/>
      <w:pPr>
        <w:tabs>
          <w:tab w:val="num" w:pos="3600"/>
        </w:tabs>
        <w:ind w:left="3600" w:hanging="360"/>
      </w:pPr>
      <w:rPr>
        <w:rFonts w:ascii="Courier New" w:hAnsi="Courier New" w:cs="Courier New" w:hint="default"/>
      </w:rPr>
    </w:lvl>
    <w:lvl w:ilvl="5" w:tplc="AEE4F300" w:tentative="1">
      <w:start w:val="1"/>
      <w:numFmt w:val="bullet"/>
      <w:lvlText w:val=""/>
      <w:lvlJc w:val="left"/>
      <w:pPr>
        <w:tabs>
          <w:tab w:val="num" w:pos="4320"/>
        </w:tabs>
        <w:ind w:left="4320" w:hanging="360"/>
      </w:pPr>
      <w:rPr>
        <w:rFonts w:ascii="Wingdings" w:hAnsi="Wingdings" w:hint="default"/>
      </w:rPr>
    </w:lvl>
    <w:lvl w:ilvl="6" w:tplc="0FF482F8" w:tentative="1">
      <w:start w:val="1"/>
      <w:numFmt w:val="bullet"/>
      <w:lvlText w:val=""/>
      <w:lvlJc w:val="left"/>
      <w:pPr>
        <w:tabs>
          <w:tab w:val="num" w:pos="5040"/>
        </w:tabs>
        <w:ind w:left="5040" w:hanging="360"/>
      </w:pPr>
      <w:rPr>
        <w:rFonts w:ascii="Symbol" w:hAnsi="Symbol" w:hint="default"/>
      </w:rPr>
    </w:lvl>
    <w:lvl w:ilvl="7" w:tplc="C4F0A61E" w:tentative="1">
      <w:start w:val="1"/>
      <w:numFmt w:val="bullet"/>
      <w:lvlText w:val="o"/>
      <w:lvlJc w:val="left"/>
      <w:pPr>
        <w:tabs>
          <w:tab w:val="num" w:pos="5760"/>
        </w:tabs>
        <w:ind w:left="5760" w:hanging="360"/>
      </w:pPr>
      <w:rPr>
        <w:rFonts w:ascii="Courier New" w:hAnsi="Courier New" w:cs="Courier New" w:hint="default"/>
      </w:rPr>
    </w:lvl>
    <w:lvl w:ilvl="8" w:tplc="3E000A1C" w:tentative="1">
      <w:start w:val="1"/>
      <w:numFmt w:val="bullet"/>
      <w:lvlText w:val=""/>
      <w:lvlJc w:val="left"/>
      <w:pPr>
        <w:tabs>
          <w:tab w:val="num" w:pos="6480"/>
        </w:tabs>
        <w:ind w:left="6480" w:hanging="360"/>
      </w:pPr>
      <w:rPr>
        <w:rFonts w:ascii="Wingdings" w:hAnsi="Wingdings" w:hint="default"/>
      </w:r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084099"/>
    <w:multiLevelType w:val="hybridMultilevel"/>
    <w:tmpl w:val="B964DE1C"/>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B64422"/>
    <w:multiLevelType w:val="hybridMultilevel"/>
    <w:tmpl w:val="A5E0315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4F1FF4"/>
    <w:multiLevelType w:val="hybridMultilevel"/>
    <w:tmpl w:val="3CDC0E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7BF3610"/>
    <w:multiLevelType w:val="hybridMultilevel"/>
    <w:tmpl w:val="745EC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58184A"/>
    <w:multiLevelType w:val="hybridMultilevel"/>
    <w:tmpl w:val="E6642A1C"/>
    <w:lvl w:ilvl="0" w:tplc="9ABCBC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1B6BA7"/>
    <w:multiLevelType w:val="hybridMultilevel"/>
    <w:tmpl w:val="42844BDA"/>
    <w:lvl w:ilvl="0" w:tplc="9ABCBC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CEA360F"/>
    <w:multiLevelType w:val="hybridMultilevel"/>
    <w:tmpl w:val="40661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2B91A34"/>
    <w:multiLevelType w:val="hybridMultilevel"/>
    <w:tmpl w:val="D7486A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68CF172C"/>
    <w:multiLevelType w:val="hybridMultilevel"/>
    <w:tmpl w:val="4E546B9C"/>
    <w:lvl w:ilvl="0" w:tplc="9ABCBC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7B4F5AE6"/>
    <w:multiLevelType w:val="hybridMultilevel"/>
    <w:tmpl w:val="F05C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1"/>
  </w:num>
  <w:num w:numId="4">
    <w:abstractNumId w:val="22"/>
  </w:num>
  <w:num w:numId="5">
    <w:abstractNumId w:val="13"/>
  </w:num>
  <w:num w:numId="6">
    <w:abstractNumId w:val="21"/>
  </w:num>
  <w:num w:numId="7">
    <w:abstractNumId w:val="28"/>
  </w:num>
  <w:num w:numId="8">
    <w:abstractNumId w:val="15"/>
  </w:num>
  <w:num w:numId="9">
    <w:abstractNumId w:val="36"/>
  </w:num>
  <w:num w:numId="10">
    <w:abstractNumId w:val="0"/>
  </w:num>
  <w:num w:numId="11">
    <w:abstractNumId w:val="26"/>
  </w:num>
  <w:num w:numId="12">
    <w:abstractNumId w:val="29"/>
  </w:num>
  <w:num w:numId="13">
    <w:abstractNumId w:val="4"/>
  </w:num>
  <w:num w:numId="14">
    <w:abstractNumId w:val="34"/>
  </w:num>
  <w:num w:numId="15">
    <w:abstractNumId w:val="25"/>
  </w:num>
  <w:num w:numId="16">
    <w:abstractNumId w:val="30"/>
  </w:num>
  <w:num w:numId="17">
    <w:abstractNumId w:val="17"/>
  </w:num>
  <w:num w:numId="18">
    <w:abstractNumId w:val="19"/>
  </w:num>
  <w:num w:numId="19">
    <w:abstractNumId w:val="33"/>
  </w:num>
  <w:num w:numId="20">
    <w:abstractNumId w:val="31"/>
  </w:num>
  <w:num w:numId="21">
    <w:abstractNumId w:val="3"/>
  </w:num>
  <w:num w:numId="22">
    <w:abstractNumId w:val="10"/>
  </w:num>
  <w:num w:numId="23">
    <w:abstractNumId w:val="2"/>
  </w:num>
  <w:num w:numId="24">
    <w:abstractNumId w:val="9"/>
  </w:num>
  <w:num w:numId="25">
    <w:abstractNumId w:val="5"/>
  </w:num>
  <w:num w:numId="26">
    <w:abstractNumId w:val="11"/>
  </w:num>
  <w:num w:numId="27">
    <w:abstractNumId w:val="7"/>
  </w:num>
  <w:num w:numId="28">
    <w:abstractNumId w:val="35"/>
  </w:num>
  <w:num w:numId="29">
    <w:abstractNumId w:val="12"/>
  </w:num>
  <w:num w:numId="30">
    <w:abstractNumId w:val="8"/>
  </w:num>
  <w:num w:numId="31">
    <w:abstractNumId w:val="24"/>
  </w:num>
  <w:num w:numId="32">
    <w:abstractNumId w:val="27"/>
  </w:num>
  <w:num w:numId="33">
    <w:abstractNumId w:val="32"/>
  </w:num>
  <w:num w:numId="34">
    <w:abstractNumId w:val="23"/>
  </w:num>
  <w:num w:numId="35">
    <w:abstractNumId w:val="18"/>
  </w:num>
  <w:num w:numId="36">
    <w:abstractNumId w:val="16"/>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3020"/>
    <w:rsid w:val="000052B4"/>
    <w:rsid w:val="000061C4"/>
    <w:rsid w:val="00007FA6"/>
    <w:rsid w:val="00011A36"/>
    <w:rsid w:val="00013785"/>
    <w:rsid w:val="00016637"/>
    <w:rsid w:val="00017A85"/>
    <w:rsid w:val="0004553C"/>
    <w:rsid w:val="00047606"/>
    <w:rsid w:val="000555D4"/>
    <w:rsid w:val="00065623"/>
    <w:rsid w:val="00074132"/>
    <w:rsid w:val="00074392"/>
    <w:rsid w:val="000756B9"/>
    <w:rsid w:val="00096B67"/>
    <w:rsid w:val="00096DAF"/>
    <w:rsid w:val="000A1094"/>
    <w:rsid w:val="000C2F47"/>
    <w:rsid w:val="000C6BC3"/>
    <w:rsid w:val="000D26F1"/>
    <w:rsid w:val="000D6899"/>
    <w:rsid w:val="000D6C00"/>
    <w:rsid w:val="000E4E04"/>
    <w:rsid w:val="000E76C4"/>
    <w:rsid w:val="000F14B4"/>
    <w:rsid w:val="000F29B5"/>
    <w:rsid w:val="000F75DF"/>
    <w:rsid w:val="00107B69"/>
    <w:rsid w:val="00111F0B"/>
    <w:rsid w:val="001160A7"/>
    <w:rsid w:val="001328FA"/>
    <w:rsid w:val="001472CD"/>
    <w:rsid w:val="00147AAF"/>
    <w:rsid w:val="001512DB"/>
    <w:rsid w:val="001523B6"/>
    <w:rsid w:val="001552C0"/>
    <w:rsid w:val="0015667E"/>
    <w:rsid w:val="0015704A"/>
    <w:rsid w:val="00157FBE"/>
    <w:rsid w:val="001640B1"/>
    <w:rsid w:val="00167F60"/>
    <w:rsid w:val="0018435E"/>
    <w:rsid w:val="00193029"/>
    <w:rsid w:val="00195715"/>
    <w:rsid w:val="001B05DD"/>
    <w:rsid w:val="001C2419"/>
    <w:rsid w:val="001D1222"/>
    <w:rsid w:val="001E27AD"/>
    <w:rsid w:val="001E747A"/>
    <w:rsid w:val="001F10C3"/>
    <w:rsid w:val="001F14D9"/>
    <w:rsid w:val="001F516C"/>
    <w:rsid w:val="002041A1"/>
    <w:rsid w:val="002054F0"/>
    <w:rsid w:val="00230D6B"/>
    <w:rsid w:val="00232068"/>
    <w:rsid w:val="002330F2"/>
    <w:rsid w:val="002371F6"/>
    <w:rsid w:val="00243D9E"/>
    <w:rsid w:val="00244301"/>
    <w:rsid w:val="00247146"/>
    <w:rsid w:val="00250F63"/>
    <w:rsid w:val="00253B66"/>
    <w:rsid w:val="00261DF1"/>
    <w:rsid w:val="00264A15"/>
    <w:rsid w:val="00271F18"/>
    <w:rsid w:val="00274695"/>
    <w:rsid w:val="00282779"/>
    <w:rsid w:val="0028334D"/>
    <w:rsid w:val="002A445B"/>
    <w:rsid w:val="002B3546"/>
    <w:rsid w:val="002B7FFA"/>
    <w:rsid w:val="002C2BCF"/>
    <w:rsid w:val="002D7198"/>
    <w:rsid w:val="002E515A"/>
    <w:rsid w:val="002F279D"/>
    <w:rsid w:val="002F43B8"/>
    <w:rsid w:val="00343924"/>
    <w:rsid w:val="0034554D"/>
    <w:rsid w:val="00346E85"/>
    <w:rsid w:val="00352224"/>
    <w:rsid w:val="003671E6"/>
    <w:rsid w:val="00380CFB"/>
    <w:rsid w:val="00384272"/>
    <w:rsid w:val="00386D67"/>
    <w:rsid w:val="0039005F"/>
    <w:rsid w:val="003945B8"/>
    <w:rsid w:val="00396A8E"/>
    <w:rsid w:val="003B337F"/>
    <w:rsid w:val="003B6C13"/>
    <w:rsid w:val="003D7F29"/>
    <w:rsid w:val="003E19F8"/>
    <w:rsid w:val="003F32B7"/>
    <w:rsid w:val="00405A6B"/>
    <w:rsid w:val="00407B1F"/>
    <w:rsid w:val="00414C57"/>
    <w:rsid w:val="00416E4B"/>
    <w:rsid w:val="0041758C"/>
    <w:rsid w:val="0042014B"/>
    <w:rsid w:val="00435F60"/>
    <w:rsid w:val="004539DE"/>
    <w:rsid w:val="00454656"/>
    <w:rsid w:val="00455C03"/>
    <w:rsid w:val="004746B0"/>
    <w:rsid w:val="004746F4"/>
    <w:rsid w:val="00476AE9"/>
    <w:rsid w:val="004822E7"/>
    <w:rsid w:val="004A2CF1"/>
    <w:rsid w:val="004B613E"/>
    <w:rsid w:val="004C0C70"/>
    <w:rsid w:val="004C3035"/>
    <w:rsid w:val="004C307F"/>
    <w:rsid w:val="004E1046"/>
    <w:rsid w:val="004E4BA8"/>
    <w:rsid w:val="004F340F"/>
    <w:rsid w:val="004F3790"/>
    <w:rsid w:val="004F7B7C"/>
    <w:rsid w:val="0051452B"/>
    <w:rsid w:val="0052243D"/>
    <w:rsid w:val="00532435"/>
    <w:rsid w:val="00550354"/>
    <w:rsid w:val="00562660"/>
    <w:rsid w:val="00571236"/>
    <w:rsid w:val="005953A1"/>
    <w:rsid w:val="005B6A25"/>
    <w:rsid w:val="005C6127"/>
    <w:rsid w:val="005C736D"/>
    <w:rsid w:val="005C7E42"/>
    <w:rsid w:val="005D0332"/>
    <w:rsid w:val="005D0D8C"/>
    <w:rsid w:val="005D5137"/>
    <w:rsid w:val="005F7855"/>
    <w:rsid w:val="00614012"/>
    <w:rsid w:val="0065491D"/>
    <w:rsid w:val="00670E10"/>
    <w:rsid w:val="00686800"/>
    <w:rsid w:val="006956EC"/>
    <w:rsid w:val="006A0D97"/>
    <w:rsid w:val="006A7F8A"/>
    <w:rsid w:val="006B1F86"/>
    <w:rsid w:val="006B46BF"/>
    <w:rsid w:val="006C0A91"/>
    <w:rsid w:val="006E5C6B"/>
    <w:rsid w:val="007054BB"/>
    <w:rsid w:val="00705E67"/>
    <w:rsid w:val="00707064"/>
    <w:rsid w:val="00730683"/>
    <w:rsid w:val="00744117"/>
    <w:rsid w:val="00744308"/>
    <w:rsid w:val="0075261F"/>
    <w:rsid w:val="0075468E"/>
    <w:rsid w:val="007665D8"/>
    <w:rsid w:val="00766E36"/>
    <w:rsid w:val="00770121"/>
    <w:rsid w:val="007765F4"/>
    <w:rsid w:val="00776633"/>
    <w:rsid w:val="00784D53"/>
    <w:rsid w:val="00787199"/>
    <w:rsid w:val="00792D3F"/>
    <w:rsid w:val="00797797"/>
    <w:rsid w:val="007A3C2F"/>
    <w:rsid w:val="007A63C9"/>
    <w:rsid w:val="007B32D1"/>
    <w:rsid w:val="007B7095"/>
    <w:rsid w:val="007C32E5"/>
    <w:rsid w:val="007C376F"/>
    <w:rsid w:val="007C7026"/>
    <w:rsid w:val="007C7CE6"/>
    <w:rsid w:val="007D24E1"/>
    <w:rsid w:val="007E2B92"/>
    <w:rsid w:val="007F4CE9"/>
    <w:rsid w:val="007F4E20"/>
    <w:rsid w:val="00812065"/>
    <w:rsid w:val="00813800"/>
    <w:rsid w:val="00822C7E"/>
    <w:rsid w:val="0082448C"/>
    <w:rsid w:val="00847060"/>
    <w:rsid w:val="00855EAF"/>
    <w:rsid w:val="00856A33"/>
    <w:rsid w:val="008627BB"/>
    <w:rsid w:val="00863FE1"/>
    <w:rsid w:val="0088003B"/>
    <w:rsid w:val="00882BC7"/>
    <w:rsid w:val="00892620"/>
    <w:rsid w:val="00894307"/>
    <w:rsid w:val="008A12C8"/>
    <w:rsid w:val="008C3702"/>
    <w:rsid w:val="008C4EFA"/>
    <w:rsid w:val="008C7D37"/>
    <w:rsid w:val="008D5885"/>
    <w:rsid w:val="00903186"/>
    <w:rsid w:val="00914FDD"/>
    <w:rsid w:val="00917EAD"/>
    <w:rsid w:val="00922B3F"/>
    <w:rsid w:val="00923FA2"/>
    <w:rsid w:val="00944D51"/>
    <w:rsid w:val="00954798"/>
    <w:rsid w:val="0096060D"/>
    <w:rsid w:val="009670FC"/>
    <w:rsid w:val="00974A50"/>
    <w:rsid w:val="0097585A"/>
    <w:rsid w:val="00981706"/>
    <w:rsid w:val="009924B0"/>
    <w:rsid w:val="009942C9"/>
    <w:rsid w:val="009B35C4"/>
    <w:rsid w:val="009C0886"/>
    <w:rsid w:val="009C19BF"/>
    <w:rsid w:val="009C630A"/>
    <w:rsid w:val="009D2BF0"/>
    <w:rsid w:val="009D6442"/>
    <w:rsid w:val="009E0D98"/>
    <w:rsid w:val="009E625C"/>
    <w:rsid w:val="009F08CB"/>
    <w:rsid w:val="00A068A1"/>
    <w:rsid w:val="00A1207D"/>
    <w:rsid w:val="00A12FD8"/>
    <w:rsid w:val="00A15DED"/>
    <w:rsid w:val="00A16AFE"/>
    <w:rsid w:val="00A3079B"/>
    <w:rsid w:val="00A346FC"/>
    <w:rsid w:val="00A43007"/>
    <w:rsid w:val="00A46563"/>
    <w:rsid w:val="00A70129"/>
    <w:rsid w:val="00A84F93"/>
    <w:rsid w:val="00AB1AC5"/>
    <w:rsid w:val="00AB3BFC"/>
    <w:rsid w:val="00AC4F2E"/>
    <w:rsid w:val="00AD0C37"/>
    <w:rsid w:val="00AD385F"/>
    <w:rsid w:val="00AE6E2A"/>
    <w:rsid w:val="00AF535C"/>
    <w:rsid w:val="00B271DD"/>
    <w:rsid w:val="00B31E9C"/>
    <w:rsid w:val="00B35595"/>
    <w:rsid w:val="00B43F62"/>
    <w:rsid w:val="00B51C6D"/>
    <w:rsid w:val="00B803ED"/>
    <w:rsid w:val="00B86D64"/>
    <w:rsid w:val="00BA4AC5"/>
    <w:rsid w:val="00BB1C2E"/>
    <w:rsid w:val="00BC1364"/>
    <w:rsid w:val="00BC7DE9"/>
    <w:rsid w:val="00BE431B"/>
    <w:rsid w:val="00BF479B"/>
    <w:rsid w:val="00C02577"/>
    <w:rsid w:val="00C16314"/>
    <w:rsid w:val="00C204FB"/>
    <w:rsid w:val="00C20BEE"/>
    <w:rsid w:val="00C2158D"/>
    <w:rsid w:val="00C21A01"/>
    <w:rsid w:val="00C42B05"/>
    <w:rsid w:val="00C67DD2"/>
    <w:rsid w:val="00C725CB"/>
    <w:rsid w:val="00C76F5C"/>
    <w:rsid w:val="00C83CBF"/>
    <w:rsid w:val="00C91897"/>
    <w:rsid w:val="00C96BAD"/>
    <w:rsid w:val="00CA1E55"/>
    <w:rsid w:val="00CA6944"/>
    <w:rsid w:val="00CB0F8E"/>
    <w:rsid w:val="00CB317C"/>
    <w:rsid w:val="00CB7E7D"/>
    <w:rsid w:val="00CC2911"/>
    <w:rsid w:val="00CC765B"/>
    <w:rsid w:val="00CD65CD"/>
    <w:rsid w:val="00CE2BC5"/>
    <w:rsid w:val="00CF0C6D"/>
    <w:rsid w:val="00CF7307"/>
    <w:rsid w:val="00CF7C68"/>
    <w:rsid w:val="00D1210E"/>
    <w:rsid w:val="00D124FA"/>
    <w:rsid w:val="00D24542"/>
    <w:rsid w:val="00D305C7"/>
    <w:rsid w:val="00D340DE"/>
    <w:rsid w:val="00D36F93"/>
    <w:rsid w:val="00D43CF7"/>
    <w:rsid w:val="00D55723"/>
    <w:rsid w:val="00D62FAD"/>
    <w:rsid w:val="00D70450"/>
    <w:rsid w:val="00D71A8F"/>
    <w:rsid w:val="00D76790"/>
    <w:rsid w:val="00D83BFD"/>
    <w:rsid w:val="00D90A38"/>
    <w:rsid w:val="00D977EC"/>
    <w:rsid w:val="00DA0515"/>
    <w:rsid w:val="00DA171E"/>
    <w:rsid w:val="00DA56AA"/>
    <w:rsid w:val="00DB146F"/>
    <w:rsid w:val="00DB5833"/>
    <w:rsid w:val="00DD2858"/>
    <w:rsid w:val="00DE1CBB"/>
    <w:rsid w:val="00DE48A5"/>
    <w:rsid w:val="00DE4B0F"/>
    <w:rsid w:val="00DF3104"/>
    <w:rsid w:val="00E03E33"/>
    <w:rsid w:val="00E3642A"/>
    <w:rsid w:val="00E415C4"/>
    <w:rsid w:val="00E50016"/>
    <w:rsid w:val="00E50EAA"/>
    <w:rsid w:val="00E53514"/>
    <w:rsid w:val="00E57F38"/>
    <w:rsid w:val="00E656D6"/>
    <w:rsid w:val="00E80E7F"/>
    <w:rsid w:val="00E92F19"/>
    <w:rsid w:val="00E977EE"/>
    <w:rsid w:val="00EA077D"/>
    <w:rsid w:val="00EA103A"/>
    <w:rsid w:val="00EA67A2"/>
    <w:rsid w:val="00EC0791"/>
    <w:rsid w:val="00EC4F98"/>
    <w:rsid w:val="00ED2032"/>
    <w:rsid w:val="00EE3BFE"/>
    <w:rsid w:val="00F04870"/>
    <w:rsid w:val="00F12F02"/>
    <w:rsid w:val="00F265CB"/>
    <w:rsid w:val="00F26C06"/>
    <w:rsid w:val="00F35134"/>
    <w:rsid w:val="00F41812"/>
    <w:rsid w:val="00F56F93"/>
    <w:rsid w:val="00F73333"/>
    <w:rsid w:val="00F740F5"/>
    <w:rsid w:val="00F95D8F"/>
    <w:rsid w:val="00F9695B"/>
    <w:rsid w:val="00FA7E22"/>
    <w:rsid w:val="00FB350A"/>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AF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F969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tyle1">
    <w:name w:val="Style1"/>
    <w:basedOn w:val="Normal"/>
    <w:link w:val="Style1Char"/>
    <w:qFormat/>
    <w:rsid w:val="00F9695B"/>
    <w:pPr>
      <w:tabs>
        <w:tab w:val="left" w:pos="4320"/>
      </w:tabs>
      <w:spacing w:before="120" w:after="240" w:line="360" w:lineRule="auto"/>
      <w:jc w:val="center"/>
    </w:pPr>
    <w:rPr>
      <w:rFonts w:ascii="Arial" w:hAnsi="Arial" w:cs="Arial"/>
      <w:b/>
      <w:i/>
      <w:color w:val="000080"/>
      <w:sz w:val="28"/>
      <w:szCs w:val="28"/>
    </w:rPr>
  </w:style>
  <w:style w:type="character" w:customStyle="1" w:styleId="Style1Char">
    <w:name w:val="Style1 Char"/>
    <w:basedOn w:val="DefaultParagraphFont"/>
    <w:link w:val="Style1"/>
    <w:rsid w:val="00F9695B"/>
    <w:rPr>
      <w:rFonts w:ascii="Arial" w:eastAsia="Times New Roman" w:hAnsi="Arial" w:cs="Arial"/>
      <w:b/>
      <w:i/>
      <w:color w:val="000080"/>
      <w:sz w:val="28"/>
      <w:szCs w:val="28"/>
    </w:rPr>
  </w:style>
  <w:style w:type="table" w:styleId="TableGrid">
    <w:name w:val="Table Grid"/>
    <w:aliases w:val="Summary box"/>
    <w:basedOn w:val="TableNormal"/>
    <w:uiPriority w:val="59"/>
    <w:locked/>
    <w:rsid w:val="00F9695B"/>
    <w:pPr>
      <w:spacing w:before="24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9695B"/>
    <w:pPr>
      <w:spacing w:before="240" w:after="240"/>
    </w:pPr>
    <w:rPr>
      <w:rFonts w:ascii="Arial Narrow" w:hAnsi="Arial Narrow"/>
      <w:sz w:val="20"/>
      <w:szCs w:val="24"/>
      <w:lang w:eastAsia="en-US"/>
    </w:rPr>
  </w:style>
  <w:style w:type="character" w:customStyle="1" w:styleId="TabletextChar">
    <w:name w:val="Table text Char"/>
    <w:basedOn w:val="DefaultParagraphFont"/>
    <w:link w:val="Tabletext"/>
    <w:rsid w:val="00F9695B"/>
    <w:rPr>
      <w:rFonts w:ascii="Arial Narrow" w:eastAsia="Times New Roman" w:hAnsi="Arial Narrow"/>
      <w:sz w:val="20"/>
      <w:szCs w:val="24"/>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locked/>
    <w:rsid w:val="00F9695B"/>
    <w:pPr>
      <w:keepNext/>
      <w:spacing w:before="240" w:after="240"/>
      <w:jc w:val="both"/>
      <w:outlineLvl w:val="4"/>
    </w:pPr>
    <w:rPr>
      <w:rFonts w:ascii="Arial Narrow" w:hAnsi="Arial Narrow" w:cs="Arial"/>
      <w:b/>
      <w:bCs/>
      <w:iCs/>
      <w:sz w:val="20"/>
      <w:lang w:eastAsia="en-US"/>
    </w:rPr>
  </w:style>
  <w:style w:type="character" w:customStyle="1" w:styleId="ListParagraphChar">
    <w:name w:val="List Paragraph Char"/>
    <w:basedOn w:val="DefaultParagraphFont"/>
    <w:link w:val="ListParagraph"/>
    <w:uiPriority w:val="34"/>
    <w:rsid w:val="00F9695B"/>
    <w:rPr>
      <w:rFonts w:eastAsia="Times New Roman"/>
      <w:sz w:val="24"/>
      <w:szCs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F9695B"/>
    <w:rPr>
      <w:rFonts w:ascii="Arial Narrow" w:eastAsia="Times New Roman" w:hAnsi="Arial Narrow" w:cs="Arial"/>
      <w:b/>
      <w:bCs/>
      <w:iCs/>
      <w:sz w:val="20"/>
      <w:szCs w:val="20"/>
      <w:lang w:eastAsia="en-US"/>
    </w:rPr>
  </w:style>
  <w:style w:type="character" w:customStyle="1" w:styleId="Heading3Char">
    <w:name w:val="Heading 3 Char"/>
    <w:basedOn w:val="DefaultParagraphFont"/>
    <w:link w:val="Heading3"/>
    <w:semiHidden/>
    <w:rsid w:val="00F9695B"/>
    <w:rPr>
      <w:rFonts w:asciiTheme="majorHAnsi" w:eastAsiaTheme="majorEastAsia" w:hAnsiTheme="majorHAnsi" w:cstheme="majorBidi"/>
      <w:b/>
      <w:bCs/>
      <w:color w:val="4F81BD" w:themeColor="accent1"/>
      <w:sz w:val="24"/>
      <w:szCs w:val="20"/>
    </w:rPr>
  </w:style>
  <w:style w:type="table" w:customStyle="1" w:styleId="TableGrid3">
    <w:name w:val="Table Grid3"/>
    <w:basedOn w:val="TableNormal"/>
    <w:next w:val="TableGrid"/>
    <w:uiPriority w:val="59"/>
    <w:rsid w:val="00F9695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link w:val="TablecaptionChar"/>
    <w:qFormat/>
    <w:rsid w:val="00F9695B"/>
    <w:pPr>
      <w:keepNext/>
      <w:keepLines/>
      <w:spacing w:before="240" w:after="240"/>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F9695B"/>
    <w:rPr>
      <w:rFonts w:ascii="Arial Narrow" w:eastAsia="Times New Roman" w:hAnsi="Arial Narrow" w:cs="Arial"/>
      <w:sz w:val="20"/>
      <w:szCs w:val="20"/>
      <w:lang w:eastAsia="en-US"/>
    </w:rPr>
  </w:style>
  <w:style w:type="paragraph" w:customStyle="1" w:styleId="Guidelines">
    <w:name w:val="Guidelines"/>
    <w:basedOn w:val="Normal"/>
    <w:link w:val="GuidelinesChar"/>
    <w:qFormat/>
    <w:rsid w:val="00F9695B"/>
    <w:pPr>
      <w:numPr>
        <w:numId w:val="30"/>
      </w:numPr>
      <w:jc w:val="both"/>
    </w:pPr>
    <w:rPr>
      <w:rFonts w:ascii="Garamond" w:hAnsi="Garamond"/>
      <w:color w:val="548DD4" w:themeColor="text2" w:themeTint="99"/>
      <w:szCs w:val="24"/>
      <w:lang w:eastAsia="en-US"/>
    </w:rPr>
  </w:style>
  <w:style w:type="character" w:customStyle="1" w:styleId="GuidelinesChar">
    <w:name w:val="Guidelines Char"/>
    <w:basedOn w:val="DefaultParagraphFont"/>
    <w:link w:val="Guidelines"/>
    <w:rsid w:val="00F9695B"/>
    <w:rPr>
      <w:rFonts w:ascii="Garamond" w:eastAsia="Times New Roman" w:hAnsi="Garamond"/>
      <w:color w:val="548DD4" w:themeColor="text2" w:themeTint="99"/>
      <w:sz w:val="24"/>
      <w:szCs w:val="24"/>
      <w:lang w:eastAsia="en-US"/>
    </w:rPr>
  </w:style>
  <w:style w:type="table" w:customStyle="1" w:styleId="Summarybox2">
    <w:name w:val="Summary box2"/>
    <w:basedOn w:val="TableNormal"/>
    <w:next w:val="TableGrid"/>
    <w:uiPriority w:val="59"/>
    <w:rsid w:val="00F9695B"/>
    <w:rPr>
      <w:rFonts w:ascii="Arial Narrow" w:eastAsia="Times New Roman" w:hAnsi="Arial Narrow" w:cs="Arial Narrow"/>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bold">
    <w:name w:val="Table text bold"/>
    <w:basedOn w:val="Normal"/>
    <w:link w:val="TabletextboldChar"/>
    <w:qFormat/>
    <w:rsid w:val="00F9695B"/>
    <w:pPr>
      <w:keepNext/>
      <w:spacing w:before="240" w:after="240"/>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F9695B"/>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F9695B"/>
    <w:pPr>
      <w:jc w:val="left"/>
    </w:pPr>
  </w:style>
  <w:style w:type="character" w:customStyle="1" w:styleId="TabletextboldleftChar">
    <w:name w:val="Table text bold left Char"/>
    <w:basedOn w:val="TabletextboldChar"/>
    <w:link w:val="Tabletextboldleft"/>
    <w:rsid w:val="00F9695B"/>
    <w:rPr>
      <w:rFonts w:ascii="Arial Narrow" w:eastAsia="Times New Roman" w:hAnsi="Arial Narrow" w:cs="Arial"/>
      <w:b/>
      <w:sz w:val="20"/>
      <w:szCs w:val="20"/>
      <w:lang w:eastAsia="en-US"/>
    </w:rPr>
  </w:style>
  <w:style w:type="table" w:customStyle="1" w:styleId="TableGrid1">
    <w:name w:val="Table Grid1"/>
    <w:basedOn w:val="TableNormal"/>
    <w:next w:val="TableGrid"/>
    <w:uiPriority w:val="59"/>
    <w:rsid w:val="00F9695B"/>
    <w:rPr>
      <w:rFonts w:ascii="Calibri" w:eastAsiaTheme="minorHAnsi" w:hAnsi="Calibr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F9695B"/>
    <w:rPr>
      <w:rFonts w:ascii="Arial Narrow" w:eastAsia="Times New Roman" w:hAnsi="Arial Narrow" w:cs="Arial Narrow"/>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locked/>
    <w:rsid w:val="00074132"/>
    <w:rPr>
      <w:rFonts w:ascii="Garamond" w:eastAsia="Times New Roman" w:hAnsi="Garamond" w:cs="Times New Roman"/>
      <w:i/>
      <w:sz w:val="24"/>
      <w:szCs w:val="24"/>
    </w:rPr>
  </w:style>
  <w:style w:type="character" w:styleId="FollowedHyperlink">
    <w:name w:val="FollowedHyperlink"/>
    <w:basedOn w:val="DefaultParagraphFont"/>
    <w:uiPriority w:val="99"/>
    <w:semiHidden/>
    <w:unhideWhenUsed/>
    <w:rsid w:val="000166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F969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tyle1">
    <w:name w:val="Style1"/>
    <w:basedOn w:val="Normal"/>
    <w:link w:val="Style1Char"/>
    <w:qFormat/>
    <w:rsid w:val="00F9695B"/>
    <w:pPr>
      <w:tabs>
        <w:tab w:val="left" w:pos="4320"/>
      </w:tabs>
      <w:spacing w:before="120" w:after="240" w:line="360" w:lineRule="auto"/>
      <w:jc w:val="center"/>
    </w:pPr>
    <w:rPr>
      <w:rFonts w:ascii="Arial" w:hAnsi="Arial" w:cs="Arial"/>
      <w:b/>
      <w:i/>
      <w:color w:val="000080"/>
      <w:sz w:val="28"/>
      <w:szCs w:val="28"/>
    </w:rPr>
  </w:style>
  <w:style w:type="character" w:customStyle="1" w:styleId="Style1Char">
    <w:name w:val="Style1 Char"/>
    <w:basedOn w:val="DefaultParagraphFont"/>
    <w:link w:val="Style1"/>
    <w:rsid w:val="00F9695B"/>
    <w:rPr>
      <w:rFonts w:ascii="Arial" w:eastAsia="Times New Roman" w:hAnsi="Arial" w:cs="Arial"/>
      <w:b/>
      <w:i/>
      <w:color w:val="000080"/>
      <w:sz w:val="28"/>
      <w:szCs w:val="28"/>
    </w:rPr>
  </w:style>
  <w:style w:type="table" w:styleId="TableGrid">
    <w:name w:val="Table Grid"/>
    <w:aliases w:val="Summary box"/>
    <w:basedOn w:val="TableNormal"/>
    <w:uiPriority w:val="59"/>
    <w:locked/>
    <w:rsid w:val="00F9695B"/>
    <w:pPr>
      <w:spacing w:before="24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9695B"/>
    <w:pPr>
      <w:spacing w:before="240" w:after="240"/>
    </w:pPr>
    <w:rPr>
      <w:rFonts w:ascii="Arial Narrow" w:hAnsi="Arial Narrow"/>
      <w:sz w:val="20"/>
      <w:szCs w:val="24"/>
      <w:lang w:eastAsia="en-US"/>
    </w:rPr>
  </w:style>
  <w:style w:type="character" w:customStyle="1" w:styleId="TabletextChar">
    <w:name w:val="Table text Char"/>
    <w:basedOn w:val="DefaultParagraphFont"/>
    <w:link w:val="Tabletext"/>
    <w:rsid w:val="00F9695B"/>
    <w:rPr>
      <w:rFonts w:ascii="Arial Narrow" w:eastAsia="Times New Roman" w:hAnsi="Arial Narrow"/>
      <w:sz w:val="20"/>
      <w:szCs w:val="24"/>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locked/>
    <w:rsid w:val="00F9695B"/>
    <w:pPr>
      <w:keepNext/>
      <w:spacing w:before="240" w:after="240"/>
      <w:jc w:val="both"/>
      <w:outlineLvl w:val="4"/>
    </w:pPr>
    <w:rPr>
      <w:rFonts w:ascii="Arial Narrow" w:hAnsi="Arial Narrow" w:cs="Arial"/>
      <w:b/>
      <w:bCs/>
      <w:iCs/>
      <w:sz w:val="20"/>
      <w:lang w:eastAsia="en-US"/>
    </w:rPr>
  </w:style>
  <w:style w:type="character" w:customStyle="1" w:styleId="ListParagraphChar">
    <w:name w:val="List Paragraph Char"/>
    <w:basedOn w:val="DefaultParagraphFont"/>
    <w:link w:val="ListParagraph"/>
    <w:uiPriority w:val="34"/>
    <w:rsid w:val="00F9695B"/>
    <w:rPr>
      <w:rFonts w:eastAsia="Times New Roman"/>
      <w:sz w:val="24"/>
      <w:szCs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F9695B"/>
    <w:rPr>
      <w:rFonts w:ascii="Arial Narrow" w:eastAsia="Times New Roman" w:hAnsi="Arial Narrow" w:cs="Arial"/>
      <w:b/>
      <w:bCs/>
      <w:iCs/>
      <w:sz w:val="20"/>
      <w:szCs w:val="20"/>
      <w:lang w:eastAsia="en-US"/>
    </w:rPr>
  </w:style>
  <w:style w:type="character" w:customStyle="1" w:styleId="Heading3Char">
    <w:name w:val="Heading 3 Char"/>
    <w:basedOn w:val="DefaultParagraphFont"/>
    <w:link w:val="Heading3"/>
    <w:semiHidden/>
    <w:rsid w:val="00F9695B"/>
    <w:rPr>
      <w:rFonts w:asciiTheme="majorHAnsi" w:eastAsiaTheme="majorEastAsia" w:hAnsiTheme="majorHAnsi" w:cstheme="majorBidi"/>
      <w:b/>
      <w:bCs/>
      <w:color w:val="4F81BD" w:themeColor="accent1"/>
      <w:sz w:val="24"/>
      <w:szCs w:val="20"/>
    </w:rPr>
  </w:style>
  <w:style w:type="table" w:customStyle="1" w:styleId="TableGrid3">
    <w:name w:val="Table Grid3"/>
    <w:basedOn w:val="TableNormal"/>
    <w:next w:val="TableGrid"/>
    <w:uiPriority w:val="59"/>
    <w:rsid w:val="00F9695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link w:val="TablecaptionChar"/>
    <w:qFormat/>
    <w:rsid w:val="00F9695B"/>
    <w:pPr>
      <w:keepNext/>
      <w:keepLines/>
      <w:spacing w:before="240" w:after="240"/>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F9695B"/>
    <w:rPr>
      <w:rFonts w:ascii="Arial Narrow" w:eastAsia="Times New Roman" w:hAnsi="Arial Narrow" w:cs="Arial"/>
      <w:sz w:val="20"/>
      <w:szCs w:val="20"/>
      <w:lang w:eastAsia="en-US"/>
    </w:rPr>
  </w:style>
  <w:style w:type="paragraph" w:customStyle="1" w:styleId="Guidelines">
    <w:name w:val="Guidelines"/>
    <w:basedOn w:val="Normal"/>
    <w:link w:val="GuidelinesChar"/>
    <w:qFormat/>
    <w:rsid w:val="00F9695B"/>
    <w:pPr>
      <w:numPr>
        <w:numId w:val="30"/>
      </w:numPr>
      <w:jc w:val="both"/>
    </w:pPr>
    <w:rPr>
      <w:rFonts w:ascii="Garamond" w:hAnsi="Garamond"/>
      <w:color w:val="548DD4" w:themeColor="text2" w:themeTint="99"/>
      <w:szCs w:val="24"/>
      <w:lang w:eastAsia="en-US"/>
    </w:rPr>
  </w:style>
  <w:style w:type="character" w:customStyle="1" w:styleId="GuidelinesChar">
    <w:name w:val="Guidelines Char"/>
    <w:basedOn w:val="DefaultParagraphFont"/>
    <w:link w:val="Guidelines"/>
    <w:rsid w:val="00F9695B"/>
    <w:rPr>
      <w:rFonts w:ascii="Garamond" w:eastAsia="Times New Roman" w:hAnsi="Garamond"/>
      <w:color w:val="548DD4" w:themeColor="text2" w:themeTint="99"/>
      <w:sz w:val="24"/>
      <w:szCs w:val="24"/>
      <w:lang w:eastAsia="en-US"/>
    </w:rPr>
  </w:style>
  <w:style w:type="table" w:customStyle="1" w:styleId="Summarybox2">
    <w:name w:val="Summary box2"/>
    <w:basedOn w:val="TableNormal"/>
    <w:next w:val="TableGrid"/>
    <w:uiPriority w:val="59"/>
    <w:rsid w:val="00F9695B"/>
    <w:rPr>
      <w:rFonts w:ascii="Arial Narrow" w:eastAsia="Times New Roman" w:hAnsi="Arial Narrow" w:cs="Arial Narrow"/>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bold">
    <w:name w:val="Table text bold"/>
    <w:basedOn w:val="Normal"/>
    <w:link w:val="TabletextboldChar"/>
    <w:qFormat/>
    <w:rsid w:val="00F9695B"/>
    <w:pPr>
      <w:keepNext/>
      <w:spacing w:before="240" w:after="240"/>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F9695B"/>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F9695B"/>
    <w:pPr>
      <w:jc w:val="left"/>
    </w:pPr>
  </w:style>
  <w:style w:type="character" w:customStyle="1" w:styleId="TabletextboldleftChar">
    <w:name w:val="Table text bold left Char"/>
    <w:basedOn w:val="TabletextboldChar"/>
    <w:link w:val="Tabletextboldleft"/>
    <w:rsid w:val="00F9695B"/>
    <w:rPr>
      <w:rFonts w:ascii="Arial Narrow" w:eastAsia="Times New Roman" w:hAnsi="Arial Narrow" w:cs="Arial"/>
      <w:b/>
      <w:sz w:val="20"/>
      <w:szCs w:val="20"/>
      <w:lang w:eastAsia="en-US"/>
    </w:rPr>
  </w:style>
  <w:style w:type="table" w:customStyle="1" w:styleId="TableGrid1">
    <w:name w:val="Table Grid1"/>
    <w:basedOn w:val="TableNormal"/>
    <w:next w:val="TableGrid"/>
    <w:uiPriority w:val="59"/>
    <w:rsid w:val="00F9695B"/>
    <w:rPr>
      <w:rFonts w:ascii="Calibri" w:eastAsiaTheme="minorHAnsi" w:hAnsi="Calibr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F9695B"/>
    <w:rPr>
      <w:rFonts w:ascii="Arial Narrow" w:eastAsia="Times New Roman" w:hAnsi="Arial Narrow" w:cs="Arial Narrow"/>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locked/>
    <w:rsid w:val="00074132"/>
    <w:rPr>
      <w:rFonts w:ascii="Garamond" w:eastAsia="Times New Roman" w:hAnsi="Garamond" w:cs="Times New Roman"/>
      <w:i/>
      <w:sz w:val="24"/>
      <w:szCs w:val="24"/>
    </w:rPr>
  </w:style>
  <w:style w:type="character" w:styleId="FollowedHyperlink">
    <w:name w:val="FollowedHyperlink"/>
    <w:basedOn w:val="DefaultParagraphFont"/>
    <w:uiPriority w:val="99"/>
    <w:semiHidden/>
    <w:unhideWhenUsed/>
    <w:rsid w:val="000166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ac.gov.a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ac.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irc.ahajournals.org/content/early/2014/02/27/CIR.0000000000000031.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FD0BD-B379-4BF2-BAFB-014EB739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20</Pages>
  <Words>8347</Words>
  <Characters>47582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Styche Jordan</cp:lastModifiedBy>
  <cp:revision>17</cp:revision>
  <cp:lastPrinted>2014-01-23T05:11:00Z</cp:lastPrinted>
  <dcterms:created xsi:type="dcterms:W3CDTF">2015-05-21T01:44:00Z</dcterms:created>
  <dcterms:modified xsi:type="dcterms:W3CDTF">2015-06-23T06:49:00Z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