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322BE" w14:textId="77777777" w:rsidR="00E44B80" w:rsidRPr="00F637B3" w:rsidRDefault="00E44B80" w:rsidP="00E44B80">
      <w:pPr>
        <w:jc w:val="center"/>
        <w:rPr>
          <w:b/>
          <w:szCs w:val="20"/>
        </w:rPr>
      </w:pPr>
      <w:r w:rsidRPr="00F637B3">
        <w:rPr>
          <w:b/>
          <w:noProof/>
          <w:szCs w:val="20"/>
          <w:lang w:eastAsia="en-AU"/>
        </w:rPr>
        <w:drawing>
          <wp:inline distT="0" distB="0" distL="0" distR="0" wp14:anchorId="3261A0FC" wp14:editId="6669B897">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378D805" w14:textId="3B242224" w:rsidR="008B2610" w:rsidRDefault="008B2610" w:rsidP="00F971CC">
      <w:pPr>
        <w:pStyle w:val="Title"/>
        <w:spacing w:before="2600"/>
      </w:pPr>
      <w:r w:rsidRPr="001906CD">
        <w:t xml:space="preserve">Application </w:t>
      </w:r>
      <w:r w:rsidR="00457A9F">
        <w:t>1665</w:t>
      </w:r>
    </w:p>
    <w:p w14:paraId="3C2CBB4F" w14:textId="5664C564" w:rsidR="00931BDD" w:rsidRDefault="00931BDD" w:rsidP="00CF3802">
      <w:pPr>
        <w:spacing w:before="840" w:after="840"/>
        <w:jc w:val="center"/>
        <w:rPr>
          <w:rFonts w:ascii="Arial" w:hAnsi="Arial" w:cs="Arial"/>
          <w:b/>
          <w:color w:val="548DD4" w:themeColor="text2" w:themeTint="99"/>
          <w:sz w:val="52"/>
          <w:szCs w:val="52"/>
        </w:rPr>
      </w:pPr>
      <w:r w:rsidRPr="00931BDD">
        <w:rPr>
          <w:rFonts w:ascii="Arial" w:hAnsi="Arial" w:cs="Arial"/>
          <w:b/>
          <w:color w:val="548DD4" w:themeColor="text2" w:themeTint="99"/>
          <w:sz w:val="52"/>
          <w:szCs w:val="52"/>
        </w:rPr>
        <w:t>Radiofrequency Echographic Multi Spectrometry for bone density measurement &amp; determination of osteopenia/osteoporosis</w:t>
      </w:r>
    </w:p>
    <w:p w14:paraId="00F715B5" w14:textId="1D5760E4"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22087967"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3A26242F"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6446F427" w14:textId="77777777" w:rsidR="009F5758" w:rsidRPr="00154B00" w:rsidRDefault="009F5758" w:rsidP="003F7CB9">
      <w:pPr>
        <w:spacing w:before="0" w:after="0"/>
      </w:pPr>
    </w:p>
    <w:p w14:paraId="111172DC"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65700A9B"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653CE5A"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282017B5"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723A3964" w14:textId="2043935E"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FF09B2">
        <w:t>Cortex Health Pty Ltd</w:t>
      </w:r>
    </w:p>
    <w:p w14:paraId="3EB8ABD6" w14:textId="5D34B05C"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FF09B2">
        <w:t>Cortex Health Pty Ltd</w:t>
      </w:r>
    </w:p>
    <w:p w14:paraId="4DA509FB" w14:textId="540FF7A3"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FF09B2" w:rsidRPr="00D87C63">
        <w:rPr>
          <w:rFonts w:cstheme="minorHAnsi"/>
          <w:sz w:val="18"/>
          <w:szCs w:val="18"/>
        </w:rPr>
        <w:t>17 144 062 386</w:t>
      </w:r>
    </w:p>
    <w:p w14:paraId="4F7CC8D6" w14:textId="13BBA5D1"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FF09B2" w:rsidRPr="00D87C63">
        <w:rPr>
          <w:rFonts w:cstheme="minorHAnsi"/>
          <w:sz w:val="18"/>
          <w:szCs w:val="18"/>
        </w:rPr>
        <w:t>Cortex Health Pty Ltd</w:t>
      </w:r>
    </w:p>
    <w:p w14:paraId="01318DBE" w14:textId="77777777" w:rsidR="00C171FB" w:rsidRPr="00C171FB" w:rsidRDefault="00C171FB" w:rsidP="00C171FB"/>
    <w:p w14:paraId="651756E3" w14:textId="28C6A965" w:rsidR="00C171FB" w:rsidRPr="00C171FB" w:rsidRDefault="00C171FB" w:rsidP="00C171FB">
      <w:pPr>
        <w:rPr>
          <w:b/>
        </w:rPr>
      </w:pPr>
      <w:r>
        <w:rPr>
          <w:b/>
        </w:rPr>
        <w:t xml:space="preserve">Primary contact name: </w:t>
      </w:r>
      <w:r w:rsidR="00457A9F" w:rsidRPr="00457A9F">
        <w:rPr>
          <w:b/>
          <w:bCs/>
        </w:rPr>
        <w:t>REDACTED</w:t>
      </w:r>
      <w:r w:rsidR="003157C4" w:rsidRPr="00457A9F">
        <w:rPr>
          <w:b/>
          <w:bCs/>
        </w:rPr>
        <w:t xml:space="preserve"> </w:t>
      </w:r>
    </w:p>
    <w:p w14:paraId="4B6D2A64"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36002129" w14:textId="78865A4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457A9F" w:rsidRPr="00457A9F">
        <w:rPr>
          <w:b/>
          <w:bCs/>
        </w:rPr>
        <w:t>REDACTED</w:t>
      </w:r>
      <w:r w:rsidR="00373B5A">
        <w:t xml:space="preserve"> </w:t>
      </w:r>
      <w:r w:rsidR="003157C4">
        <w:t xml:space="preserve"> </w:t>
      </w:r>
    </w:p>
    <w:p w14:paraId="3E04EBC6" w14:textId="699FAF59"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3157C4">
        <w:t xml:space="preserve"> </w:t>
      </w:r>
      <w:r w:rsidR="00457A9F" w:rsidRPr="00457A9F">
        <w:rPr>
          <w:b/>
          <w:bCs/>
        </w:rPr>
        <w:t>REDACTED</w:t>
      </w:r>
      <w:r w:rsidR="00373B5A">
        <w:t xml:space="preserve">  </w:t>
      </w:r>
    </w:p>
    <w:p w14:paraId="5DD5E883" w14:textId="3F0A29F4"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457A9F" w:rsidRPr="00457A9F">
        <w:rPr>
          <w:b/>
          <w:bCs/>
        </w:rPr>
        <w:t>REDACTED</w:t>
      </w:r>
      <w:r w:rsidR="00373B5A">
        <w:t xml:space="preserve">  </w:t>
      </w:r>
    </w:p>
    <w:p w14:paraId="7245E4C5" w14:textId="77777777" w:rsidR="00C171FB" w:rsidRDefault="00C171FB" w:rsidP="00C171FB">
      <w:pPr>
        <w:rPr>
          <w:b/>
        </w:rPr>
      </w:pPr>
    </w:p>
    <w:p w14:paraId="7E664B14" w14:textId="5E4BB46B" w:rsidR="00C171FB" w:rsidRPr="00C171FB" w:rsidRDefault="00C171FB" w:rsidP="00C171FB">
      <w:pPr>
        <w:rPr>
          <w:b/>
        </w:rPr>
      </w:pPr>
      <w:r>
        <w:rPr>
          <w:b/>
        </w:rPr>
        <w:t xml:space="preserve">Alternative contact name: </w:t>
      </w:r>
      <w:r w:rsidR="00457A9F" w:rsidRPr="00457A9F">
        <w:rPr>
          <w:b/>
          <w:bCs/>
        </w:rPr>
        <w:t>REDACTED</w:t>
      </w:r>
    </w:p>
    <w:p w14:paraId="355B45A9" w14:textId="77777777" w:rsidR="00C171FB" w:rsidRDefault="00C171FB" w:rsidP="00457A9F">
      <w:pPr>
        <w:pBdr>
          <w:top w:val="single" w:sz="4" w:space="1" w:color="auto"/>
          <w:left w:val="single" w:sz="4" w:space="4" w:color="auto"/>
          <w:bottom w:val="single" w:sz="4" w:space="0" w:color="auto"/>
          <w:right w:val="single" w:sz="4" w:space="4" w:color="auto"/>
        </w:pBdr>
      </w:pPr>
      <w:r>
        <w:t>Alternative contact numbers</w:t>
      </w:r>
      <w:r>
        <w:tab/>
      </w:r>
    </w:p>
    <w:p w14:paraId="098C46EE" w14:textId="6575F13A" w:rsidR="00C171FB" w:rsidRDefault="00C171FB" w:rsidP="00457A9F">
      <w:pPr>
        <w:pBdr>
          <w:top w:val="single" w:sz="4" w:space="1" w:color="auto"/>
          <w:left w:val="single" w:sz="4" w:space="4" w:color="auto"/>
          <w:bottom w:val="single" w:sz="4" w:space="0" w:color="auto"/>
          <w:right w:val="single" w:sz="4" w:space="4" w:color="auto"/>
        </w:pBdr>
      </w:pPr>
      <w:r>
        <w:t xml:space="preserve">Business: </w:t>
      </w:r>
      <w:r w:rsidR="00457A9F" w:rsidRPr="00457A9F">
        <w:rPr>
          <w:b/>
          <w:bCs/>
        </w:rPr>
        <w:t>REDACTED</w:t>
      </w:r>
    </w:p>
    <w:p w14:paraId="30FB2742" w14:textId="34A3822A" w:rsidR="00457A9F" w:rsidRDefault="00C171FB" w:rsidP="00457A9F">
      <w:pPr>
        <w:pBdr>
          <w:top w:val="single" w:sz="4" w:space="1" w:color="auto"/>
          <w:left w:val="single" w:sz="4" w:space="4" w:color="auto"/>
          <w:bottom w:val="single" w:sz="4" w:space="0" w:color="auto"/>
          <w:right w:val="single" w:sz="4" w:space="4" w:color="auto"/>
        </w:pBdr>
      </w:pPr>
      <w:r>
        <w:t>Mobile</w:t>
      </w:r>
      <w:r w:rsidR="003157C4">
        <w:t xml:space="preserve">: </w:t>
      </w:r>
      <w:r w:rsidR="00457A9F" w:rsidRPr="00457A9F">
        <w:rPr>
          <w:b/>
          <w:bCs/>
        </w:rPr>
        <w:t>REDACTED</w:t>
      </w:r>
      <w:r w:rsidR="00373B5A">
        <w:t xml:space="preserve">  </w:t>
      </w:r>
    </w:p>
    <w:p w14:paraId="718FB14C" w14:textId="50F25E5C" w:rsidR="00C171FB" w:rsidRDefault="00C171FB" w:rsidP="00457A9F">
      <w:pPr>
        <w:pBdr>
          <w:top w:val="single" w:sz="4" w:space="1" w:color="auto"/>
          <w:left w:val="single" w:sz="4" w:space="4" w:color="auto"/>
          <w:bottom w:val="single" w:sz="4" w:space="0" w:color="auto"/>
          <w:right w:val="single" w:sz="4" w:space="4" w:color="auto"/>
        </w:pBdr>
      </w:pPr>
      <w:r>
        <w:t xml:space="preserve">Email: </w:t>
      </w:r>
      <w:r w:rsidR="00457A9F" w:rsidRPr="00457A9F">
        <w:rPr>
          <w:b/>
          <w:bCs/>
        </w:rPr>
        <w:t>REDACTED</w:t>
      </w:r>
      <w:r w:rsidR="00373B5A">
        <w:t xml:space="preserve"> </w:t>
      </w:r>
    </w:p>
    <w:p w14:paraId="3091AA4B" w14:textId="77777777" w:rsidR="00C171FB" w:rsidRPr="00C171FB" w:rsidRDefault="00C171FB" w:rsidP="00C171FB"/>
    <w:p w14:paraId="5F3ED87C" w14:textId="77777777" w:rsidR="00534C5F" w:rsidRPr="00154B00" w:rsidRDefault="00494011" w:rsidP="004A0BF4">
      <w:pPr>
        <w:pStyle w:val="Heading2"/>
      </w:pPr>
      <w:r>
        <w:t xml:space="preserve">(a) </w:t>
      </w:r>
      <w:r w:rsidR="00534C5F">
        <w:t>Are you a lobbyist acting on behalf of an Applicant?</w:t>
      </w:r>
    </w:p>
    <w:p w14:paraId="0903F3B4" w14:textId="771729A1" w:rsidR="00A6491A" w:rsidRDefault="003157C4" w:rsidP="00A6491A">
      <w:pPr>
        <w:spacing w:before="0" w:after="0"/>
        <w:ind w:left="426"/>
        <w:rPr>
          <w:szCs w:val="20"/>
        </w:rPr>
      </w:pPr>
      <w:r>
        <w:rPr>
          <w:szCs w:val="20"/>
        </w:rPr>
        <w:fldChar w:fldCharType="begin">
          <w:ffData>
            <w:name w:val="Check1"/>
            <w:enabled/>
            <w:calcOnExit w:val="0"/>
            <w:checkBox>
              <w:sizeAuto/>
              <w:default w:val="0"/>
            </w:checkBox>
          </w:ffData>
        </w:fldChar>
      </w:r>
      <w:bookmarkStart w:id="1" w:name="Check1"/>
      <w:r>
        <w:rPr>
          <w:szCs w:val="20"/>
        </w:rPr>
        <w:instrText xml:space="preserve"> FORMCHECKBOX </w:instrText>
      </w:r>
      <w:r w:rsidR="00D63788">
        <w:rPr>
          <w:szCs w:val="20"/>
        </w:rPr>
      </w:r>
      <w:r w:rsidR="00D63788">
        <w:rPr>
          <w:szCs w:val="20"/>
        </w:rPr>
        <w:fldChar w:fldCharType="separate"/>
      </w:r>
      <w:r>
        <w:rPr>
          <w:szCs w:val="20"/>
        </w:rPr>
        <w:fldChar w:fldCharType="end"/>
      </w:r>
      <w:bookmarkEnd w:id="1"/>
      <w:r w:rsidR="00A6491A">
        <w:rPr>
          <w:szCs w:val="20"/>
        </w:rPr>
        <w:t xml:space="preserve"> Yes</w:t>
      </w:r>
    </w:p>
    <w:p w14:paraId="77A8EE05" w14:textId="56C25308" w:rsidR="00A6491A" w:rsidRPr="00753C44" w:rsidRDefault="003157C4" w:rsidP="00A6491A">
      <w:pPr>
        <w:spacing w:before="0" w:after="0"/>
        <w:ind w:left="426"/>
        <w:rPr>
          <w:szCs w:val="20"/>
        </w:rPr>
      </w:pPr>
      <w:r>
        <w:rPr>
          <w:szCs w:val="20"/>
        </w:rPr>
        <w:fldChar w:fldCharType="begin">
          <w:ffData>
            <w:name w:val="Check2"/>
            <w:enabled w:val="0"/>
            <w:calcOnExit w:val="0"/>
            <w:checkBox>
              <w:sizeAuto/>
              <w:default w:val="1"/>
            </w:checkBox>
          </w:ffData>
        </w:fldChar>
      </w:r>
      <w:bookmarkStart w:id="2" w:name="Check2"/>
      <w:r>
        <w:rPr>
          <w:szCs w:val="20"/>
        </w:rPr>
        <w:instrText xml:space="preserve"> FORMCHECKBOX </w:instrText>
      </w:r>
      <w:r w:rsidR="00D63788">
        <w:rPr>
          <w:szCs w:val="20"/>
        </w:rPr>
      </w:r>
      <w:r w:rsidR="00D63788">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26C02769"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34B4A8B5"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63788">
        <w:rPr>
          <w:szCs w:val="20"/>
        </w:rPr>
      </w:r>
      <w:r w:rsidR="00D63788">
        <w:rPr>
          <w:szCs w:val="20"/>
        </w:rPr>
        <w:fldChar w:fldCharType="separate"/>
      </w:r>
      <w:r w:rsidRPr="00753C44">
        <w:rPr>
          <w:szCs w:val="20"/>
        </w:rPr>
        <w:fldChar w:fldCharType="end"/>
      </w:r>
      <w:r>
        <w:rPr>
          <w:szCs w:val="20"/>
        </w:rPr>
        <w:t xml:space="preserve"> Yes</w:t>
      </w:r>
    </w:p>
    <w:p w14:paraId="11B8FF20"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63788">
        <w:rPr>
          <w:szCs w:val="20"/>
        </w:rPr>
      </w:r>
      <w:r w:rsidR="00D63788">
        <w:rPr>
          <w:szCs w:val="20"/>
        </w:rPr>
        <w:fldChar w:fldCharType="separate"/>
      </w:r>
      <w:r w:rsidRPr="00753C44">
        <w:rPr>
          <w:szCs w:val="20"/>
        </w:rPr>
        <w:fldChar w:fldCharType="end"/>
      </w:r>
      <w:r>
        <w:rPr>
          <w:szCs w:val="20"/>
        </w:rPr>
        <w:t xml:space="preserve"> No</w:t>
      </w:r>
      <w:r w:rsidRPr="00753C44">
        <w:rPr>
          <w:szCs w:val="20"/>
        </w:rPr>
        <w:t xml:space="preserve">  </w:t>
      </w:r>
    </w:p>
    <w:p w14:paraId="01201A2A" w14:textId="77777777" w:rsidR="00E04FB3" w:rsidRDefault="00E04FB3" w:rsidP="005C333E">
      <w:pPr>
        <w:spacing w:before="0" w:after="0"/>
        <w:ind w:left="426"/>
        <w:rPr>
          <w:b/>
          <w:szCs w:val="20"/>
        </w:rPr>
      </w:pPr>
      <w:r w:rsidRPr="00154B00">
        <w:rPr>
          <w:b/>
          <w:szCs w:val="20"/>
        </w:rPr>
        <w:br w:type="page"/>
      </w:r>
    </w:p>
    <w:p w14:paraId="47985ED3"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3B7AACE1" w14:textId="77777777" w:rsidR="000B3CD0" w:rsidRDefault="000B3CD0" w:rsidP="00730C04">
      <w:pPr>
        <w:pStyle w:val="Heading2"/>
      </w:pPr>
      <w:r w:rsidRPr="00154B00">
        <w:t>Application title</w:t>
      </w:r>
      <w:r w:rsidR="00A8732C">
        <w:t xml:space="preserve"> </w:t>
      </w:r>
    </w:p>
    <w:p w14:paraId="35D4A28E" w14:textId="2CEFFC37" w:rsidR="00820262" w:rsidRDefault="00820262" w:rsidP="00820262">
      <w:pPr>
        <w:ind w:left="360"/>
      </w:pPr>
      <w:r w:rsidRPr="00820262">
        <w:t>Radiofrequency echographic multi spectrometry for bone density measurement &amp; determination of osteopenia/osteoporosis</w:t>
      </w:r>
      <w:r>
        <w:t>.</w:t>
      </w:r>
    </w:p>
    <w:p w14:paraId="7CA73B05" w14:textId="5378F4DE"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16AA5612" w14:textId="067CEE77" w:rsidR="003157C4" w:rsidRPr="00457A9F" w:rsidRDefault="00FD5695" w:rsidP="00931BDD">
      <w:pPr>
        <w:ind w:left="360"/>
        <w:rPr>
          <w:szCs w:val="20"/>
        </w:rPr>
      </w:pPr>
      <w:r>
        <w:t>The Echolight system can accurately measure l</w:t>
      </w:r>
      <w:r w:rsidR="003157C4">
        <w:t>ow bone mineral density</w:t>
      </w:r>
      <w:r>
        <w:t xml:space="preserve"> (BMD)</w:t>
      </w:r>
      <w:r w:rsidR="00F01E90">
        <w:t xml:space="preserve"> at all levels. Of note low BMD</w:t>
      </w:r>
      <w:r>
        <w:t xml:space="preserve"> is present in osteopenia </w:t>
      </w:r>
      <w:r w:rsidR="00F01E90">
        <w:t xml:space="preserve">and </w:t>
      </w:r>
      <w:r>
        <w:t>osteop</w:t>
      </w:r>
      <w:r w:rsidR="0065191F">
        <w:t>o</w:t>
      </w:r>
      <w:r>
        <w:t>rosis.</w:t>
      </w:r>
      <w:r w:rsidR="00C154AF">
        <w:t xml:space="preserve"> </w:t>
      </w:r>
      <w:r w:rsidR="00C154AF" w:rsidRPr="00DA7C7D">
        <w:rPr>
          <w:szCs w:val="20"/>
        </w:rPr>
        <w:t xml:space="preserve">Osteoporosis is a condition where bones become thin, </w:t>
      </w:r>
      <w:proofErr w:type="gramStart"/>
      <w:r w:rsidR="00C154AF" w:rsidRPr="00DA7C7D">
        <w:rPr>
          <w:szCs w:val="20"/>
        </w:rPr>
        <w:t>weak</w:t>
      </w:r>
      <w:proofErr w:type="gramEnd"/>
      <w:r w:rsidR="00C154AF" w:rsidRPr="00DA7C7D">
        <w:rPr>
          <w:szCs w:val="20"/>
        </w:rPr>
        <w:t xml:space="preserve"> and</w:t>
      </w:r>
      <w:r w:rsidR="00C154AF">
        <w:rPr>
          <w:szCs w:val="20"/>
        </w:rPr>
        <w:t xml:space="preserve"> </w:t>
      </w:r>
      <w:r w:rsidR="00C154AF" w:rsidRPr="00DA7C7D">
        <w:rPr>
          <w:szCs w:val="20"/>
        </w:rPr>
        <w:t>fragile, such that even a minor bump or accident can cause a broken</w:t>
      </w:r>
      <w:r w:rsidR="00C154AF">
        <w:rPr>
          <w:szCs w:val="20"/>
        </w:rPr>
        <w:t xml:space="preserve"> </w:t>
      </w:r>
      <w:r w:rsidR="00C154AF" w:rsidRPr="00DA7C7D">
        <w:rPr>
          <w:szCs w:val="20"/>
        </w:rPr>
        <w:t xml:space="preserve">bone (minimal trauma fracture). </w:t>
      </w:r>
      <w:r w:rsidR="000B085E">
        <w:rPr>
          <w:szCs w:val="20"/>
        </w:rPr>
        <w:t>Examples of s</w:t>
      </w:r>
      <w:r w:rsidR="000B085E" w:rsidRPr="00DA7C7D">
        <w:rPr>
          <w:szCs w:val="20"/>
        </w:rPr>
        <w:t>uch events might include falling out of a bed or chair, or tripping and falling while walking.</w:t>
      </w:r>
      <w:r w:rsidR="000B085E">
        <w:rPr>
          <w:szCs w:val="20"/>
        </w:rPr>
        <w:t xml:space="preserve"> </w:t>
      </w:r>
      <w:r w:rsidR="00C154AF" w:rsidRPr="00DA7C7D">
        <w:rPr>
          <w:szCs w:val="20"/>
        </w:rPr>
        <w:t>Osteopenia is a condition when bone</w:t>
      </w:r>
      <w:r w:rsidR="00C154AF">
        <w:rPr>
          <w:szCs w:val="20"/>
        </w:rPr>
        <w:t xml:space="preserve"> </w:t>
      </w:r>
      <w:r w:rsidR="00C154AF" w:rsidRPr="00DA7C7D">
        <w:rPr>
          <w:szCs w:val="20"/>
        </w:rPr>
        <w:t>mineral density is lower than normal but not low enough to be</w:t>
      </w:r>
      <w:r w:rsidR="00C154AF">
        <w:rPr>
          <w:szCs w:val="20"/>
        </w:rPr>
        <w:t xml:space="preserve"> </w:t>
      </w:r>
      <w:r w:rsidR="00C154AF" w:rsidRPr="00DA7C7D">
        <w:rPr>
          <w:szCs w:val="20"/>
        </w:rPr>
        <w:t>classified as osteoporosis.</w:t>
      </w:r>
      <w:r w:rsidR="00C154AF">
        <w:rPr>
          <w:szCs w:val="20"/>
        </w:rPr>
        <w:t xml:space="preserve"> </w:t>
      </w:r>
      <w:r w:rsidR="00C154AF" w:rsidRPr="00DA7C7D">
        <w:rPr>
          <w:szCs w:val="20"/>
        </w:rPr>
        <w:t>Fractures due to osteoporosis can result in chronic pain, disability, loss of independence and premature death</w:t>
      </w:r>
      <w:r w:rsidR="00C154AF">
        <w:rPr>
          <w:szCs w:val="20"/>
        </w:rPr>
        <w:t>. Osteop</w:t>
      </w:r>
      <w:r w:rsidR="0089363D">
        <w:rPr>
          <w:szCs w:val="20"/>
        </w:rPr>
        <w:t>o</w:t>
      </w:r>
      <w:r w:rsidR="00C154AF">
        <w:rPr>
          <w:szCs w:val="20"/>
        </w:rPr>
        <w:t xml:space="preserve">rosis has significant </w:t>
      </w:r>
      <w:r w:rsidR="000B085E">
        <w:rPr>
          <w:szCs w:val="20"/>
        </w:rPr>
        <w:t>morbidity</w:t>
      </w:r>
      <w:r w:rsidR="00C154AF">
        <w:rPr>
          <w:szCs w:val="20"/>
        </w:rPr>
        <w:t xml:space="preserve"> and mortality, with </w:t>
      </w:r>
      <w:r w:rsidR="00C154AF" w:rsidRPr="00DA7C7D">
        <w:rPr>
          <w:szCs w:val="20"/>
        </w:rPr>
        <w:t>93,321 hospitalisations for minimal trauma</w:t>
      </w:r>
      <w:r w:rsidR="00C154AF">
        <w:rPr>
          <w:szCs w:val="20"/>
        </w:rPr>
        <w:t xml:space="preserve"> </w:t>
      </w:r>
      <w:r w:rsidR="00C154AF" w:rsidRPr="00DA7C7D">
        <w:rPr>
          <w:szCs w:val="20"/>
        </w:rPr>
        <w:t>fractures in people aged 50 and over</w:t>
      </w:r>
      <w:r w:rsidR="00C154AF">
        <w:rPr>
          <w:szCs w:val="20"/>
        </w:rPr>
        <w:t xml:space="preserve"> and</w:t>
      </w:r>
      <w:r w:rsidR="00C154AF" w:rsidRPr="00DA7C7D">
        <w:rPr>
          <w:szCs w:val="20"/>
        </w:rPr>
        <w:t xml:space="preserve"> 6,838 hospitalisations for osteoporosis for</w:t>
      </w:r>
      <w:r w:rsidR="00C154AF">
        <w:rPr>
          <w:szCs w:val="20"/>
        </w:rPr>
        <w:t xml:space="preserve"> </w:t>
      </w:r>
      <w:r w:rsidR="00C154AF" w:rsidRPr="00DA7C7D">
        <w:rPr>
          <w:szCs w:val="20"/>
        </w:rPr>
        <w:t>people aged 50 and over</w:t>
      </w:r>
      <w:r w:rsidR="00C154AF">
        <w:rPr>
          <w:szCs w:val="20"/>
        </w:rPr>
        <w:t xml:space="preserve"> reported in</w:t>
      </w:r>
      <w:r w:rsidR="00C154AF" w:rsidRPr="00DA7C7D">
        <w:rPr>
          <w:szCs w:val="20"/>
        </w:rPr>
        <w:t xml:space="preserve"> </w:t>
      </w:r>
      <w:r w:rsidR="00C154AF">
        <w:rPr>
          <w:szCs w:val="20"/>
        </w:rPr>
        <w:t xml:space="preserve">Australia in </w:t>
      </w:r>
      <w:r w:rsidR="00C154AF" w:rsidRPr="00DA7C7D">
        <w:rPr>
          <w:szCs w:val="20"/>
        </w:rPr>
        <w:t>2017–18</w:t>
      </w:r>
      <w:r w:rsidR="00C154AF">
        <w:rPr>
          <w:szCs w:val="20"/>
        </w:rPr>
        <w:t xml:space="preserve">. </w:t>
      </w:r>
      <w:r w:rsidR="00C154AF" w:rsidRPr="00350EC2">
        <w:rPr>
          <w:szCs w:val="20"/>
        </w:rPr>
        <w:t xml:space="preserve">Osteoporosis is </w:t>
      </w:r>
      <w:r w:rsidR="00C154AF">
        <w:rPr>
          <w:szCs w:val="20"/>
        </w:rPr>
        <w:t xml:space="preserve">often undiagnosed, but </w:t>
      </w:r>
      <w:r w:rsidR="00C154AF" w:rsidRPr="00350EC2">
        <w:rPr>
          <w:szCs w:val="20"/>
        </w:rPr>
        <w:t>largely a preventable disease</w:t>
      </w:r>
      <w:r w:rsidR="00C154AF">
        <w:rPr>
          <w:szCs w:val="20"/>
        </w:rPr>
        <w:t xml:space="preserve"> once diagnosed and treated.</w:t>
      </w:r>
      <w:r w:rsidR="00C154AF" w:rsidRPr="00350EC2">
        <w:rPr>
          <w:szCs w:val="20"/>
        </w:rPr>
        <w:t xml:space="preserve"> </w:t>
      </w:r>
    </w:p>
    <w:p w14:paraId="55379B40"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40DDBAF9" w14:textId="103321B4" w:rsidR="00CA5E86" w:rsidRDefault="00CA5E86" w:rsidP="00931BDD">
      <w:pPr>
        <w:ind w:left="360"/>
      </w:pPr>
      <w:r>
        <w:t xml:space="preserve">Echolight is a </w:t>
      </w:r>
      <w:r w:rsidR="000B085E">
        <w:t>unique</w:t>
      </w:r>
      <w:r>
        <w:t>, non-invasive ultrasound device for bone characterisation and micro architecture assessment through scanning of central reference sites (lumbar vertebrae and proximal femur). Echolight technology is based on the new REMS (i.e. Radiofrequency Echographic Multi Spectrometry) method, an innovative ultrasound approach to the diagnosis of osteoporosis, which integrally exploits all the spectral features of the “ radiofrequency (signals acquired during an echographic scan</w:t>
      </w:r>
      <w:r w:rsidR="000B085E">
        <w:t>)</w:t>
      </w:r>
      <w:r>
        <w:t xml:space="preserve"> of the target anatomical site to determine the status of internal bone architecture.</w:t>
      </w:r>
    </w:p>
    <w:p w14:paraId="60F61310" w14:textId="01D50501" w:rsidR="003157C4" w:rsidRPr="00CB12EC" w:rsidRDefault="00CA5E86" w:rsidP="00931BDD">
      <w:pPr>
        <w:ind w:left="360"/>
      </w:pPr>
      <w:r>
        <w:t xml:space="preserve">Echolight is a </w:t>
      </w:r>
      <w:r w:rsidRPr="003157C4">
        <w:t>software-assisted</w:t>
      </w:r>
      <w:r>
        <w:t>, non-invasive</w:t>
      </w:r>
      <w:r w:rsidRPr="003157C4">
        <w:t xml:space="preserve"> echographic</w:t>
      </w:r>
      <w:r>
        <w:t xml:space="preserve"> </w:t>
      </w:r>
      <w:r w:rsidRPr="003157C4">
        <w:t xml:space="preserve">scan </w:t>
      </w:r>
      <w:r>
        <w:t xml:space="preserve">for evaluation of BMD at the lumbar vertebrae (L1-L4) and the femoral neck providing all the standard parameters for the diagnosis of osteoporosis, i.e. BMD, T-score, Z-score. The technology does not require radiological protection and is portable. </w:t>
      </w:r>
      <w:r w:rsidR="000B085E">
        <w:t xml:space="preserve">Minimal </w:t>
      </w:r>
      <w:r>
        <w:t>training of operators is required, with high reproducibility of results observed.</w:t>
      </w:r>
    </w:p>
    <w:p w14:paraId="64960730"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A9E978C" w14:textId="6F8F214E" w:rsidR="00753C44" w:rsidRDefault="0072641A" w:rsidP="00457A9F">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6B6390">
        <w:rPr>
          <w:szCs w:val="20"/>
        </w:rPr>
        <w:t xml:space="preserve"> Yes</w:t>
      </w:r>
    </w:p>
    <w:p w14:paraId="6128D144" w14:textId="77777777" w:rsidR="00753C44" w:rsidRPr="00753C44" w:rsidRDefault="006B6390" w:rsidP="00457A9F">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63788">
        <w:rPr>
          <w:szCs w:val="20"/>
        </w:rPr>
      </w:r>
      <w:r w:rsidR="00D63788">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75F0FDC2"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3943F66F" w14:textId="77777777" w:rsidR="00753C44" w:rsidRDefault="006B6390" w:rsidP="00457A9F">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63788">
        <w:rPr>
          <w:szCs w:val="20"/>
        </w:rPr>
      </w:r>
      <w:r w:rsidR="00D63788">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7F51DD02" w14:textId="7686E011" w:rsidR="00753C44" w:rsidRPr="00753C44" w:rsidRDefault="0072641A" w:rsidP="00457A9F">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02988A05" w14:textId="642DAC8F" w:rsidR="000B3CD0"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4741E8CE" w14:textId="0E9D9F26" w:rsidR="00457A9F" w:rsidRPr="00457A9F" w:rsidRDefault="00457A9F" w:rsidP="00457A9F">
      <w:pPr>
        <w:ind w:left="360"/>
      </w:pPr>
      <w:r>
        <w:t>N/A</w:t>
      </w:r>
    </w:p>
    <w:p w14:paraId="0B293622"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07DC2CF" w14:textId="2EFA6C03" w:rsidR="002A270B" w:rsidRPr="00931BDD" w:rsidRDefault="00931BDD" w:rsidP="00931BDD">
      <w:pPr>
        <w:ind w:firstLine="360"/>
        <w:rPr>
          <w:rStyle w:val="Strong"/>
          <w:bCs/>
        </w:rPr>
      </w:pPr>
      <w:r w:rsidRPr="00931BDD">
        <w:rPr>
          <w:bCs/>
          <w:szCs w:val="20"/>
        </w:rPr>
        <w:t>N/A</w:t>
      </w:r>
    </w:p>
    <w:p w14:paraId="4615660C"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DF8AB82"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D63788">
        <w:rPr>
          <w:b/>
          <w:szCs w:val="20"/>
        </w:rPr>
      </w:r>
      <w:r w:rsidR="00D63788">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07D86934" w14:textId="2DCDD267" w:rsidR="006B6390" w:rsidRPr="00AA2CFE" w:rsidRDefault="009B61C6"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D63788">
        <w:rPr>
          <w:b/>
          <w:szCs w:val="20"/>
        </w:rPr>
      </w:r>
      <w:r w:rsidR="00D63788">
        <w:rPr>
          <w:b/>
          <w:szCs w:val="20"/>
        </w:rPr>
        <w:fldChar w:fldCharType="separate"/>
      </w:r>
      <w:r>
        <w:rPr>
          <w:b/>
          <w:szCs w:val="20"/>
        </w:rPr>
        <w:fldChar w:fldCharType="end"/>
      </w:r>
      <w:r w:rsidR="006B6390" w:rsidRPr="00AA2CFE">
        <w:rPr>
          <w:b/>
          <w:szCs w:val="20"/>
        </w:rPr>
        <w:t xml:space="preserve"> </w:t>
      </w:r>
      <w:r w:rsidR="006B6390" w:rsidRPr="00AA2CFE">
        <w:rPr>
          <w:rStyle w:val="Strong"/>
          <w:b w:val="0"/>
        </w:rPr>
        <w:t xml:space="preserve">A new item that is proposing a way of clinically delivering a service that is new to the MBS </w:t>
      </w:r>
    </w:p>
    <w:p w14:paraId="1448B49A" w14:textId="37DE1C20" w:rsidR="006B6390" w:rsidRPr="00AA2CFE" w:rsidRDefault="009B61C6"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0"/>
            </w:checkBox>
          </w:ffData>
        </w:fldChar>
      </w:r>
      <w:r>
        <w:rPr>
          <w:b/>
          <w:szCs w:val="20"/>
        </w:rPr>
        <w:instrText xml:space="preserve"> FORMCHECKBOX </w:instrText>
      </w:r>
      <w:r w:rsidR="00D63788">
        <w:rPr>
          <w:b/>
          <w:szCs w:val="20"/>
        </w:rPr>
      </w:r>
      <w:r w:rsidR="00D63788">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for a specific single consultation item</w:t>
      </w:r>
    </w:p>
    <w:p w14:paraId="2FDE5A88"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Is the proposed service seeking public funding other than the MBS?</w:t>
      </w:r>
    </w:p>
    <w:p w14:paraId="0043EB14" w14:textId="77777777" w:rsidR="000A5B32" w:rsidRDefault="000A5B32" w:rsidP="00457A9F">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sidRPr="000A5B32">
        <w:rPr>
          <w:szCs w:val="20"/>
        </w:rPr>
        <w:t xml:space="preserve"> Yes</w:t>
      </w:r>
    </w:p>
    <w:p w14:paraId="08220E57" w14:textId="4C0D96C7" w:rsidR="00626365" w:rsidRPr="00626365" w:rsidRDefault="0072641A" w:rsidP="00931BDD">
      <w:pPr>
        <w:spacing w:before="0" w:after="0"/>
        <w:ind w:left="360"/>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0A5B32" w:rsidRPr="000A5B32">
        <w:rPr>
          <w:szCs w:val="20"/>
        </w:rPr>
        <w:t xml:space="preserve"> No</w:t>
      </w:r>
    </w:p>
    <w:p w14:paraId="1D8CD9AD"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3F8792EC" w14:textId="641CF9E7" w:rsidR="000A5B32" w:rsidRPr="00855944" w:rsidRDefault="00457A9F" w:rsidP="00457A9F">
      <w:pPr>
        <w:ind w:left="284" w:firstLine="76"/>
        <w:rPr>
          <w:rStyle w:val="Strong"/>
        </w:rPr>
      </w:pPr>
      <w:r>
        <w:t>N/A</w:t>
      </w:r>
    </w:p>
    <w:p w14:paraId="4F1C2FBD" w14:textId="77777777" w:rsidR="000B3CD0" w:rsidRDefault="000B3CD0" w:rsidP="00730C04">
      <w:pPr>
        <w:pStyle w:val="Heading2"/>
      </w:pPr>
      <w:r w:rsidRPr="00154B00">
        <w:t xml:space="preserve">What is the type of </w:t>
      </w:r>
      <w:proofErr w:type="gramStart"/>
      <w:r w:rsidRPr="00154B00">
        <w:t>service:</w:t>
      </w:r>
      <w:proofErr w:type="gramEnd"/>
    </w:p>
    <w:p w14:paraId="076054D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63788">
        <w:rPr>
          <w:b/>
          <w:szCs w:val="20"/>
        </w:rPr>
      </w:r>
      <w:r w:rsidR="00D63788">
        <w:rPr>
          <w:b/>
          <w:szCs w:val="20"/>
        </w:rPr>
        <w:fldChar w:fldCharType="separate"/>
      </w:r>
      <w:r w:rsidRPr="0027105F">
        <w:rPr>
          <w:b/>
          <w:szCs w:val="20"/>
        </w:rPr>
        <w:fldChar w:fldCharType="end"/>
      </w:r>
      <w:r w:rsidRPr="0027105F">
        <w:rPr>
          <w:b/>
          <w:szCs w:val="20"/>
        </w:rPr>
        <w:t xml:space="preserve"> </w:t>
      </w:r>
      <w:r>
        <w:t>Therapeutic medical service</w:t>
      </w:r>
    </w:p>
    <w:p w14:paraId="15A41E51" w14:textId="49FC55B1" w:rsidR="00A6594E" w:rsidRDefault="0072641A"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D63788">
        <w:rPr>
          <w:b/>
          <w:szCs w:val="20"/>
        </w:rPr>
      </w:r>
      <w:r w:rsidR="00D63788">
        <w:rPr>
          <w:b/>
          <w:szCs w:val="20"/>
        </w:rPr>
        <w:fldChar w:fldCharType="separate"/>
      </w:r>
      <w:r>
        <w:rPr>
          <w:b/>
          <w:szCs w:val="20"/>
        </w:rPr>
        <w:fldChar w:fldCharType="end"/>
      </w:r>
      <w:r w:rsidR="00A6594E" w:rsidRPr="0027105F">
        <w:rPr>
          <w:b/>
          <w:szCs w:val="20"/>
        </w:rPr>
        <w:t xml:space="preserve"> </w:t>
      </w:r>
      <w:r w:rsidR="00A6594E">
        <w:t>Investigative medical service</w:t>
      </w:r>
    </w:p>
    <w:p w14:paraId="542BCB3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63788">
        <w:rPr>
          <w:b/>
          <w:szCs w:val="20"/>
        </w:rPr>
      </w:r>
      <w:r w:rsidR="00D63788">
        <w:rPr>
          <w:b/>
          <w:szCs w:val="20"/>
        </w:rPr>
        <w:fldChar w:fldCharType="separate"/>
      </w:r>
      <w:r w:rsidRPr="0027105F">
        <w:rPr>
          <w:b/>
          <w:szCs w:val="20"/>
        </w:rPr>
        <w:fldChar w:fldCharType="end"/>
      </w:r>
      <w:r w:rsidRPr="0027105F">
        <w:rPr>
          <w:b/>
          <w:szCs w:val="20"/>
        </w:rPr>
        <w:t xml:space="preserve"> </w:t>
      </w:r>
      <w:r>
        <w:t>Single consultation medical service</w:t>
      </w:r>
    </w:p>
    <w:p w14:paraId="2F1FC2E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63788">
        <w:rPr>
          <w:b/>
          <w:szCs w:val="20"/>
        </w:rPr>
      </w:r>
      <w:r w:rsidR="00D63788">
        <w:rPr>
          <w:b/>
          <w:szCs w:val="20"/>
        </w:rPr>
        <w:fldChar w:fldCharType="separate"/>
      </w:r>
      <w:r w:rsidRPr="0027105F">
        <w:rPr>
          <w:b/>
          <w:szCs w:val="20"/>
        </w:rPr>
        <w:fldChar w:fldCharType="end"/>
      </w:r>
      <w:r w:rsidRPr="0027105F">
        <w:rPr>
          <w:b/>
          <w:szCs w:val="20"/>
        </w:rPr>
        <w:t xml:space="preserve"> </w:t>
      </w:r>
      <w:r>
        <w:t>Global consultation medical service</w:t>
      </w:r>
    </w:p>
    <w:p w14:paraId="70846A5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63788">
        <w:rPr>
          <w:b/>
          <w:szCs w:val="20"/>
        </w:rPr>
      </w:r>
      <w:r w:rsidR="00D63788">
        <w:rPr>
          <w:b/>
          <w:szCs w:val="20"/>
        </w:rPr>
        <w:fldChar w:fldCharType="separate"/>
      </w:r>
      <w:r w:rsidRPr="0027105F">
        <w:rPr>
          <w:b/>
          <w:szCs w:val="20"/>
        </w:rPr>
        <w:fldChar w:fldCharType="end"/>
      </w:r>
      <w:r w:rsidRPr="0027105F">
        <w:rPr>
          <w:b/>
          <w:szCs w:val="20"/>
        </w:rPr>
        <w:t xml:space="preserve"> </w:t>
      </w:r>
      <w:r>
        <w:t>Allied health service</w:t>
      </w:r>
    </w:p>
    <w:p w14:paraId="22F13AD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63788">
        <w:rPr>
          <w:b/>
          <w:szCs w:val="20"/>
        </w:rPr>
      </w:r>
      <w:r w:rsidR="00D63788">
        <w:rPr>
          <w:b/>
          <w:szCs w:val="20"/>
        </w:rPr>
        <w:fldChar w:fldCharType="separate"/>
      </w:r>
      <w:r w:rsidRPr="0027105F">
        <w:rPr>
          <w:b/>
          <w:szCs w:val="20"/>
        </w:rPr>
        <w:fldChar w:fldCharType="end"/>
      </w:r>
      <w:r w:rsidRPr="0027105F">
        <w:rPr>
          <w:b/>
          <w:szCs w:val="20"/>
        </w:rPr>
        <w:t xml:space="preserve"> </w:t>
      </w:r>
      <w:r>
        <w:t>Co-dependent technology</w:t>
      </w:r>
    </w:p>
    <w:p w14:paraId="1B6B27D8"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63788">
        <w:rPr>
          <w:b/>
          <w:szCs w:val="20"/>
        </w:rPr>
      </w:r>
      <w:r w:rsidR="00D63788">
        <w:rPr>
          <w:b/>
          <w:szCs w:val="20"/>
        </w:rPr>
        <w:fldChar w:fldCharType="separate"/>
      </w:r>
      <w:r w:rsidRPr="0027105F">
        <w:rPr>
          <w:b/>
          <w:szCs w:val="20"/>
        </w:rPr>
        <w:fldChar w:fldCharType="end"/>
      </w:r>
      <w:r w:rsidRPr="0027105F">
        <w:rPr>
          <w:b/>
          <w:szCs w:val="20"/>
        </w:rPr>
        <w:t xml:space="preserve"> </w:t>
      </w:r>
      <w:r>
        <w:t>Hybrid health technology</w:t>
      </w:r>
    </w:p>
    <w:p w14:paraId="78E445DC"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858F232"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63788">
        <w:rPr>
          <w:b/>
          <w:szCs w:val="20"/>
        </w:rPr>
      </w:r>
      <w:r w:rsidR="00D63788">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375049F2" w14:textId="3A1080A0" w:rsidR="00A6594E" w:rsidRDefault="0072641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D63788">
        <w:rPr>
          <w:b/>
          <w:szCs w:val="20"/>
        </w:rPr>
      </w:r>
      <w:r w:rsidR="00D63788">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1E31A454" w14:textId="38E13C7C" w:rsidR="00A6594E" w:rsidRDefault="0072641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D63788">
        <w:rPr>
          <w:b/>
          <w:szCs w:val="20"/>
        </w:rPr>
      </w:r>
      <w:r w:rsidR="00D63788">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7179F51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D63788">
        <w:rPr>
          <w:b/>
          <w:szCs w:val="20"/>
        </w:rPr>
      </w:r>
      <w:r w:rsidR="00D63788">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6EBB831C" w14:textId="7945D97F" w:rsidR="00A6594E" w:rsidRPr="00A6594E" w:rsidRDefault="0072641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D63788">
        <w:rPr>
          <w:b/>
          <w:szCs w:val="20"/>
        </w:rPr>
      </w:r>
      <w:r w:rsidR="00D63788">
        <w:rPr>
          <w:b/>
          <w:szCs w:val="20"/>
        </w:rPr>
        <w:fldChar w:fldCharType="separate"/>
      </w:r>
      <w:r>
        <w:rPr>
          <w:b/>
          <w:szCs w:val="20"/>
        </w:rPr>
        <w:fldChar w:fldCharType="end"/>
      </w:r>
      <w:r w:rsidR="00A6594E" w:rsidRPr="00AF4466">
        <w:rPr>
          <w:b/>
          <w:szCs w:val="20"/>
        </w:rPr>
        <w:t xml:space="preserve"> </w:t>
      </w:r>
      <w:r w:rsidR="00A6594E">
        <w:t>Monitors a patient over time to assess treatment response and guide subsequent treatment decisions</w:t>
      </w:r>
    </w:p>
    <w:p w14:paraId="2AA1C5C7"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B2D3FD5" w14:textId="77777777" w:rsidR="00FE16C1" w:rsidRDefault="00FE16C1" w:rsidP="00457A9F">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63788">
        <w:rPr>
          <w:b/>
          <w:szCs w:val="20"/>
        </w:rPr>
      </w:r>
      <w:r w:rsidR="00D63788">
        <w:rPr>
          <w:b/>
          <w:szCs w:val="20"/>
        </w:rPr>
        <w:fldChar w:fldCharType="separate"/>
      </w:r>
      <w:r w:rsidRPr="0027105F">
        <w:rPr>
          <w:b/>
          <w:szCs w:val="20"/>
        </w:rPr>
        <w:fldChar w:fldCharType="end"/>
      </w:r>
      <w:r w:rsidRPr="0027105F">
        <w:rPr>
          <w:b/>
          <w:szCs w:val="20"/>
        </w:rPr>
        <w:t xml:space="preserve"> </w:t>
      </w:r>
      <w:r>
        <w:t>Pharmaceutical / Biological</w:t>
      </w:r>
    </w:p>
    <w:p w14:paraId="31F68E5E" w14:textId="77777777" w:rsidR="00FE16C1" w:rsidRDefault="00FE16C1" w:rsidP="00457A9F">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D63788">
        <w:rPr>
          <w:b/>
          <w:szCs w:val="20"/>
        </w:rPr>
      </w:r>
      <w:r w:rsidR="00D63788">
        <w:rPr>
          <w:b/>
          <w:szCs w:val="20"/>
        </w:rPr>
        <w:fldChar w:fldCharType="separate"/>
      </w:r>
      <w:r w:rsidRPr="0027105F">
        <w:rPr>
          <w:b/>
          <w:szCs w:val="20"/>
        </w:rPr>
        <w:fldChar w:fldCharType="end"/>
      </w:r>
      <w:r w:rsidRPr="0027105F">
        <w:rPr>
          <w:b/>
          <w:szCs w:val="20"/>
        </w:rPr>
        <w:t xml:space="preserve"> </w:t>
      </w:r>
      <w:r>
        <w:t>Prosthesis or device</w:t>
      </w:r>
    </w:p>
    <w:p w14:paraId="5AC08AA2" w14:textId="794FAAEE" w:rsidR="00FE16C1" w:rsidRPr="00FE16C1" w:rsidRDefault="0072641A" w:rsidP="00457A9F">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D63788">
        <w:rPr>
          <w:b/>
          <w:szCs w:val="20"/>
        </w:rPr>
      </w:r>
      <w:r w:rsidR="00D63788">
        <w:rPr>
          <w:b/>
          <w:szCs w:val="20"/>
        </w:rPr>
        <w:fldChar w:fldCharType="separate"/>
      </w:r>
      <w:r>
        <w:rPr>
          <w:b/>
          <w:szCs w:val="20"/>
        </w:rPr>
        <w:fldChar w:fldCharType="end"/>
      </w:r>
      <w:r w:rsidR="00FE16C1" w:rsidRPr="0027105F">
        <w:rPr>
          <w:b/>
          <w:szCs w:val="20"/>
        </w:rPr>
        <w:t xml:space="preserve"> </w:t>
      </w:r>
      <w:r w:rsidR="00FE16C1">
        <w:t>No</w:t>
      </w:r>
    </w:p>
    <w:p w14:paraId="27934491" w14:textId="097B31AD" w:rsidR="000E5439" w:rsidRPr="001E6958" w:rsidRDefault="00530204" w:rsidP="00730C04">
      <w:pPr>
        <w:pStyle w:val="Heading2"/>
      </w:pPr>
      <w:r>
        <w:t xml:space="preserve">(a)  </w:t>
      </w:r>
      <w:r w:rsidR="000E5439" w:rsidRPr="001E6958">
        <w:t xml:space="preserve">If the proposed service has a pharmaceutical component to it, is it already covered under an existing </w:t>
      </w:r>
      <w:r w:rsidR="00457A9F">
        <w:br/>
        <w:t xml:space="preserve">       </w:t>
      </w:r>
      <w:r w:rsidR="000E5439" w:rsidRPr="001E6958">
        <w:t>Pharmaceutical Benefits Scheme (PBS) listing?</w:t>
      </w:r>
    </w:p>
    <w:p w14:paraId="1C9FEE1E" w14:textId="22F0378D" w:rsidR="00FE16C1" w:rsidRPr="00FE16C1" w:rsidRDefault="00457A9F" w:rsidP="00457A9F">
      <w:pPr>
        <w:spacing w:before="0" w:after="0"/>
        <w:ind w:firstLine="720"/>
        <w:rPr>
          <w:szCs w:val="20"/>
        </w:rPr>
      </w:pPr>
      <w:r>
        <w:rPr>
          <w:szCs w:val="20"/>
        </w:rPr>
        <w:t>N/A</w:t>
      </w:r>
    </w:p>
    <w:p w14:paraId="3E7EA620"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BE818C6" w14:textId="77777777" w:rsidR="00457A9F" w:rsidRPr="00457A9F" w:rsidRDefault="00457A9F" w:rsidP="00457A9F">
      <w:pPr>
        <w:spacing w:before="0" w:after="0"/>
        <w:ind w:firstLine="720"/>
        <w:rPr>
          <w:szCs w:val="20"/>
        </w:rPr>
      </w:pPr>
      <w:r w:rsidRPr="00457A9F">
        <w:rPr>
          <w:szCs w:val="20"/>
        </w:rPr>
        <w:t>N/A</w:t>
      </w:r>
    </w:p>
    <w:p w14:paraId="7CF53787"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5F84452D" w14:textId="77777777" w:rsidR="00457A9F" w:rsidRPr="00457A9F" w:rsidRDefault="00457A9F" w:rsidP="00457A9F">
      <w:pPr>
        <w:spacing w:before="0" w:after="0"/>
        <w:ind w:firstLine="720"/>
        <w:rPr>
          <w:szCs w:val="20"/>
        </w:rPr>
      </w:pPr>
      <w:r w:rsidRPr="00457A9F">
        <w:rPr>
          <w:szCs w:val="20"/>
        </w:rPr>
        <w:t>N/A</w:t>
      </w:r>
    </w:p>
    <w:p w14:paraId="18FDC8C5"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75826999" w14:textId="64187E3A" w:rsidR="001E6958" w:rsidRPr="001E6958" w:rsidRDefault="00457A9F" w:rsidP="00457A9F">
      <w:pPr>
        <w:spacing w:before="0" w:after="0"/>
        <w:ind w:left="284" w:firstLine="436"/>
      </w:pPr>
      <w:r>
        <w:t>N/A</w:t>
      </w:r>
    </w:p>
    <w:p w14:paraId="271A1B1A"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2F8E8C7D" w14:textId="77777777" w:rsidR="001E6958" w:rsidRDefault="001E6958" w:rsidP="00457A9F">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sidRPr="000A5B32">
        <w:rPr>
          <w:szCs w:val="20"/>
        </w:rPr>
        <w:t xml:space="preserve"> Yes</w:t>
      </w:r>
    </w:p>
    <w:p w14:paraId="0622862A" w14:textId="03160265" w:rsidR="001E6919" w:rsidRPr="001E6958" w:rsidRDefault="001E6958" w:rsidP="00457A9F">
      <w:pPr>
        <w:spacing w:before="0" w:after="0"/>
        <w:ind w:left="360"/>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No  </w:t>
      </w:r>
    </w:p>
    <w:p w14:paraId="7581A670"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00F820F9" w14:textId="54A7972E" w:rsidR="001E6958" w:rsidRPr="001E6958" w:rsidRDefault="00457A9F" w:rsidP="00457A9F">
      <w:pPr>
        <w:spacing w:before="0" w:after="0"/>
        <w:ind w:left="284" w:firstLine="436"/>
      </w:pPr>
      <w:r>
        <w:t>N/A</w:t>
      </w:r>
    </w:p>
    <w:p w14:paraId="4A159B51" w14:textId="77777777" w:rsidR="009939DC" w:rsidRDefault="009939DC" w:rsidP="009939DC"/>
    <w:p w14:paraId="7960568D" w14:textId="5387F233" w:rsidR="00931BDD" w:rsidRDefault="00931BDD">
      <w:pPr>
        <w:spacing w:before="0" w:after="200" w:line="276" w:lineRule="auto"/>
        <w:rPr>
          <w:b/>
          <w:szCs w:val="20"/>
        </w:rPr>
      </w:pPr>
    </w:p>
    <w:p w14:paraId="39F4485F" w14:textId="405E3692" w:rsidR="00411735" w:rsidRDefault="00411735" w:rsidP="00530204">
      <w:pPr>
        <w:pStyle w:val="Heading2"/>
        <w:numPr>
          <w:ilvl w:val="0"/>
          <w:numId w:val="26"/>
        </w:numPr>
      </w:pPr>
      <w:r w:rsidRPr="001E6958">
        <w:lastRenderedPageBreak/>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6B893090" w14:textId="77777777" w:rsidR="009939DC" w:rsidRDefault="009939DC" w:rsidP="00457A9F">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sidRPr="000A5B32">
        <w:rPr>
          <w:szCs w:val="20"/>
        </w:rPr>
        <w:t xml:space="preserve"> Yes</w:t>
      </w:r>
    </w:p>
    <w:p w14:paraId="0918EC2B" w14:textId="77777777" w:rsidR="001E6958" w:rsidRPr="009939DC" w:rsidRDefault="009939DC" w:rsidP="00457A9F">
      <w:pPr>
        <w:spacing w:before="0" w:after="0"/>
        <w:ind w:left="720"/>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No  </w:t>
      </w:r>
    </w:p>
    <w:p w14:paraId="1C28D7CF"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65EBDDCA" w14:textId="77777777" w:rsidR="009939DC" w:rsidRDefault="009939DC" w:rsidP="00457A9F">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sidRPr="000A5B32">
        <w:rPr>
          <w:szCs w:val="20"/>
        </w:rPr>
        <w:t xml:space="preserve"> Yes</w:t>
      </w:r>
    </w:p>
    <w:p w14:paraId="24A87410" w14:textId="1D2ECEF9" w:rsidR="009939DC" w:rsidRDefault="0072641A" w:rsidP="00457A9F">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9939DC">
        <w:rPr>
          <w:szCs w:val="20"/>
        </w:rPr>
        <w:t xml:space="preserve"> No  </w:t>
      </w:r>
    </w:p>
    <w:p w14:paraId="27C6EE2A" w14:textId="15AB9495" w:rsidR="00822928" w:rsidRDefault="00822928" w:rsidP="00457A9F">
      <w:pPr>
        <w:spacing w:before="0" w:after="0"/>
        <w:ind w:left="644"/>
        <w:rPr>
          <w:szCs w:val="20"/>
        </w:rPr>
      </w:pPr>
    </w:p>
    <w:p w14:paraId="78EAFE11" w14:textId="576B9684" w:rsidR="00822928" w:rsidRPr="001E6958" w:rsidRDefault="00822928" w:rsidP="00457A9F">
      <w:pPr>
        <w:spacing w:before="0" w:after="0"/>
        <w:ind w:left="720"/>
        <w:rPr>
          <w:szCs w:val="20"/>
        </w:rPr>
      </w:pPr>
      <w:r>
        <w:rPr>
          <w:szCs w:val="20"/>
        </w:rPr>
        <w:t>There are ARTG registered “ultrasound system, bone ab</w:t>
      </w:r>
      <w:r w:rsidR="0089363D">
        <w:rPr>
          <w:szCs w:val="20"/>
        </w:rPr>
        <w:t>s</w:t>
      </w:r>
      <w:r>
        <w:rPr>
          <w:szCs w:val="20"/>
        </w:rPr>
        <w:t xml:space="preserve">orptiometer” devices </w:t>
      </w:r>
      <w:proofErr w:type="gramStart"/>
      <w:r>
        <w:rPr>
          <w:szCs w:val="20"/>
        </w:rPr>
        <w:t>registered,</w:t>
      </w:r>
      <w:proofErr w:type="gramEnd"/>
      <w:r>
        <w:rPr>
          <w:szCs w:val="20"/>
        </w:rPr>
        <w:t xml:space="preserve"> however these devices are not</w:t>
      </w:r>
      <w:r w:rsidR="0034322F">
        <w:rPr>
          <w:szCs w:val="20"/>
        </w:rPr>
        <w:t xml:space="preserve"> comparable.  These devices are only qualitative (giving a green / yellow/ red indicator), used at proximal sites (wrist &amp; heel), are rarely used </w:t>
      </w:r>
      <w:r>
        <w:rPr>
          <w:szCs w:val="20"/>
        </w:rPr>
        <w:t xml:space="preserve"> in Australia and are not comparable to Echolight</w:t>
      </w:r>
      <w:r w:rsidR="00C744F6">
        <w:rPr>
          <w:szCs w:val="20"/>
        </w:rPr>
        <w:t xml:space="preserve"> in that they cannot be used to measure </w:t>
      </w:r>
      <w:r w:rsidR="0034322F">
        <w:rPr>
          <w:szCs w:val="20"/>
        </w:rPr>
        <w:t>BMD, T-Score, Z-score at the reference sites (</w:t>
      </w:r>
      <w:r w:rsidR="00C744F6">
        <w:rPr>
          <w:szCs w:val="20"/>
        </w:rPr>
        <w:t>proximal femur and lumbar spine</w:t>
      </w:r>
      <w:r w:rsidR="0034322F">
        <w:rPr>
          <w:szCs w:val="20"/>
        </w:rPr>
        <w:t>)</w:t>
      </w:r>
      <w:r w:rsidR="00C744F6">
        <w:rPr>
          <w:szCs w:val="20"/>
        </w:rPr>
        <w:t>.</w:t>
      </w:r>
    </w:p>
    <w:p w14:paraId="6D794FF1"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61FCD15A" w14:textId="1E9FB1CB" w:rsidR="00016B6E" w:rsidRPr="009939DC" w:rsidRDefault="00457A9F" w:rsidP="00457A9F">
      <w:pPr>
        <w:ind w:left="284" w:firstLine="436"/>
      </w:pPr>
      <w:r>
        <w:t>N/A</w:t>
      </w:r>
    </w:p>
    <w:p w14:paraId="3AF84CD3"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62A82067" w14:textId="1CB27438" w:rsidR="009939DC" w:rsidRDefault="009939DC" w:rsidP="00457A9F">
      <w:pPr>
        <w:spacing w:before="0" w:after="0"/>
        <w:ind w:left="360"/>
      </w:pPr>
      <w:r>
        <w:t xml:space="preserve">Single use consumables: </w:t>
      </w:r>
      <w:r w:rsidR="00457A9F">
        <w:t>N/A</w:t>
      </w:r>
    </w:p>
    <w:p w14:paraId="5057EFF8" w14:textId="77777777" w:rsidR="0065191F" w:rsidRDefault="009939DC" w:rsidP="00457A9F">
      <w:pPr>
        <w:spacing w:before="0" w:after="0"/>
        <w:ind w:left="360"/>
      </w:pPr>
      <w:r>
        <w:t>Multi-use consumables:</w:t>
      </w:r>
      <w:r w:rsidRPr="009939DC">
        <w:t xml:space="preserve"> </w:t>
      </w:r>
      <w:r w:rsidR="0065191F">
        <w:t>Ultrasound gel</w:t>
      </w:r>
    </w:p>
    <w:p w14:paraId="66F002E1" w14:textId="776DF4DE" w:rsidR="00F301F1" w:rsidRPr="00855944" w:rsidRDefault="00F301F1" w:rsidP="00A6491A">
      <w:pPr>
        <w:spacing w:before="0" w:after="0"/>
        <w:ind w:left="284"/>
      </w:pPr>
      <w:r w:rsidRPr="00855944">
        <w:br w:type="page"/>
      </w:r>
    </w:p>
    <w:p w14:paraId="20AB6E6C"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6BB7E24C"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 xml:space="preserve">radioactive </w:t>
      </w:r>
      <w:proofErr w:type="gramStart"/>
      <w:r w:rsidR="001A1ADF" w:rsidRPr="00A6491A">
        <w:t>tracer</w:t>
      </w:r>
      <w:proofErr w:type="gramEnd"/>
      <w:r w:rsidR="001A1ADF" w:rsidRPr="00A6491A">
        <w:t xml:space="preserve">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29CE9874" w14:textId="7D65DFB3" w:rsidR="00C744F6" w:rsidRPr="00457A9F" w:rsidRDefault="00457A9F" w:rsidP="00457A9F">
      <w:pPr>
        <w:spacing w:before="0" w:after="0"/>
        <w:ind w:left="284" w:firstLine="76"/>
      </w:pPr>
      <w:r>
        <w:rPr>
          <w:szCs w:val="20"/>
        </w:rPr>
        <w:t>N/A</w:t>
      </w:r>
    </w:p>
    <w:p w14:paraId="3855F84C"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552351ED" w14:textId="77777777" w:rsidR="00615F42" w:rsidRPr="00615F42" w:rsidRDefault="00615F42" w:rsidP="00931BDD">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sidRPr="000A5B32">
        <w:rPr>
          <w:szCs w:val="20"/>
        </w:rPr>
        <w:t xml:space="preserve"> </w:t>
      </w:r>
      <w:r w:rsidRPr="00615F42">
        <w:rPr>
          <w:szCs w:val="20"/>
        </w:rPr>
        <w:t>Class III</w:t>
      </w:r>
    </w:p>
    <w:p w14:paraId="470AD487" w14:textId="77777777" w:rsidR="00615F42" w:rsidRPr="00615F42" w:rsidRDefault="00615F42" w:rsidP="00931BDD">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sidRPr="000A5B32">
        <w:rPr>
          <w:szCs w:val="20"/>
        </w:rPr>
        <w:t xml:space="preserve"> </w:t>
      </w:r>
      <w:r w:rsidRPr="00615F42">
        <w:rPr>
          <w:szCs w:val="20"/>
        </w:rPr>
        <w:t>AIMD</w:t>
      </w:r>
    </w:p>
    <w:p w14:paraId="05881A4F" w14:textId="0B4974D5" w:rsidR="005E2CE3" w:rsidRPr="00154B00" w:rsidRDefault="004E1B6B" w:rsidP="00931BDD">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615F42" w:rsidRPr="000A5B32">
        <w:rPr>
          <w:szCs w:val="20"/>
        </w:rPr>
        <w:t xml:space="preserve"> </w:t>
      </w:r>
      <w:r w:rsidR="00615F42" w:rsidRPr="00615F42">
        <w:rPr>
          <w:szCs w:val="20"/>
        </w:rPr>
        <w:t>N/A</w:t>
      </w:r>
    </w:p>
    <w:p w14:paraId="51660551"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51E6CC3E" w14:textId="77777777" w:rsidR="00615F42" w:rsidRDefault="00615F42" w:rsidP="00931BDD">
      <w:pPr>
        <w:spacing w:before="0" w:after="0"/>
        <w:ind w:left="720" w:hanging="29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E363BDF" w14:textId="4FFDFAFB" w:rsidR="003421AE" w:rsidRPr="00615F42" w:rsidRDefault="004E1B6B" w:rsidP="00931BDD">
      <w:pPr>
        <w:spacing w:before="0" w:after="0"/>
        <w:ind w:left="720" w:hanging="29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615F42">
        <w:rPr>
          <w:szCs w:val="20"/>
        </w:rPr>
        <w:t xml:space="preserve"> No</w:t>
      </w:r>
    </w:p>
    <w:p w14:paraId="21A38938"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19D3ED75" w14:textId="07CE3972" w:rsidR="0043654D" w:rsidRDefault="004E1B6B" w:rsidP="00931BDD">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43654D">
        <w:rPr>
          <w:szCs w:val="20"/>
        </w:rPr>
        <w:t xml:space="preserve"> Yes (if yes, please provide details below)</w:t>
      </w:r>
    </w:p>
    <w:p w14:paraId="7249593F" w14:textId="77777777" w:rsidR="0043654D" w:rsidRDefault="0043654D" w:rsidP="00931BDD">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No</w:t>
      </w:r>
    </w:p>
    <w:p w14:paraId="02F1CB7D" w14:textId="77777777" w:rsidR="0043654D" w:rsidRPr="00615F42" w:rsidRDefault="0043654D" w:rsidP="00931BDD">
      <w:pPr>
        <w:spacing w:before="0" w:after="0"/>
        <w:ind w:left="426"/>
        <w:rPr>
          <w:b/>
          <w:szCs w:val="20"/>
        </w:rPr>
      </w:pPr>
    </w:p>
    <w:p w14:paraId="111828CB" w14:textId="3A9009FA" w:rsidR="0043654D" w:rsidRPr="0043654D" w:rsidRDefault="0043654D" w:rsidP="00931BDD">
      <w:pPr>
        <w:spacing w:before="0" w:after="0"/>
        <w:ind w:left="426"/>
        <w:rPr>
          <w:szCs w:val="20"/>
        </w:rPr>
      </w:pPr>
      <w:r w:rsidRPr="0043654D">
        <w:rPr>
          <w:szCs w:val="20"/>
        </w:rPr>
        <w:t xml:space="preserve">ARTG listing, </w:t>
      </w:r>
      <w:proofErr w:type="gramStart"/>
      <w:r w:rsidRPr="0043654D">
        <w:rPr>
          <w:szCs w:val="20"/>
        </w:rPr>
        <w:t>registration</w:t>
      </w:r>
      <w:proofErr w:type="gramEnd"/>
      <w:r w:rsidRPr="0043654D">
        <w:rPr>
          <w:szCs w:val="20"/>
        </w:rPr>
        <w:t xml:space="preserve"> or inclusion number:</w:t>
      </w:r>
      <w:r>
        <w:rPr>
          <w:szCs w:val="20"/>
        </w:rPr>
        <w:t xml:space="preserve">  </w:t>
      </w:r>
      <w:r w:rsidR="004E1B6B">
        <w:t>344830</w:t>
      </w:r>
    </w:p>
    <w:p w14:paraId="4D783674" w14:textId="77777777" w:rsidR="00C744F6" w:rsidRDefault="00C744F6" w:rsidP="00931BDD">
      <w:pPr>
        <w:spacing w:before="0" w:after="0"/>
        <w:ind w:left="426"/>
        <w:rPr>
          <w:szCs w:val="20"/>
        </w:rPr>
      </w:pPr>
    </w:p>
    <w:p w14:paraId="66E1B7EE" w14:textId="17CDD88F" w:rsidR="0043654D" w:rsidRDefault="0043654D" w:rsidP="00931BDD">
      <w:pPr>
        <w:spacing w:before="0" w:after="0"/>
        <w:ind w:left="426"/>
      </w:pPr>
      <w:r w:rsidRPr="0043654D">
        <w:rPr>
          <w:szCs w:val="20"/>
        </w:rPr>
        <w:t>TGA approved indication(s), if applicable:</w:t>
      </w:r>
      <w:r>
        <w:rPr>
          <w:szCs w:val="20"/>
        </w:rPr>
        <w:t xml:space="preserve">  </w:t>
      </w:r>
      <w:r w:rsidR="00C744F6">
        <w:t>Not applicable</w:t>
      </w:r>
    </w:p>
    <w:p w14:paraId="4EF9A650" w14:textId="77777777" w:rsidR="00C744F6" w:rsidRPr="0043654D" w:rsidRDefault="00C744F6" w:rsidP="00931BDD">
      <w:pPr>
        <w:spacing w:before="0" w:after="0"/>
        <w:ind w:left="426"/>
        <w:rPr>
          <w:szCs w:val="20"/>
        </w:rPr>
      </w:pPr>
    </w:p>
    <w:p w14:paraId="4EB5A1A6" w14:textId="4ECB8EC1" w:rsidR="00C744F6" w:rsidRPr="004E1B6B" w:rsidRDefault="0043654D" w:rsidP="00CF3802">
      <w:pPr>
        <w:spacing w:before="0" w:after="0"/>
        <w:ind w:left="426"/>
      </w:pPr>
      <w:r w:rsidRPr="0043654D">
        <w:rPr>
          <w:szCs w:val="20"/>
        </w:rPr>
        <w:t>TGA approved purpose(s), if applicable:</w:t>
      </w:r>
      <w:r>
        <w:rPr>
          <w:szCs w:val="20"/>
        </w:rPr>
        <w:t xml:space="preserve">  </w:t>
      </w:r>
      <w:r w:rsidR="00630322">
        <w:t>Echolight devices (EchoStation, EchoS, EchoHybrid) are all designed to accurately measure bone mineral density (BMD). These devices use patented Radiofrequency Echographic Multi Spectrometry (REMS), highly specific ultrasound technology. The intended use is as a screening &amp;/or diagnostic tool to determine BMD and give the clinician a T-Score and Z-score. The generated findings &amp; report will determine whether the patient has normal BMD or has any degree of osteopenia or osteoporosis according to their specific readings vs matched age controls.</w:t>
      </w:r>
    </w:p>
    <w:p w14:paraId="28C5A38B" w14:textId="77777777" w:rsidR="00C0796F" w:rsidRPr="0043654D" w:rsidRDefault="00C0796F" w:rsidP="00530204">
      <w:pPr>
        <w:pStyle w:val="Heading2"/>
      </w:pPr>
      <w:r w:rsidRPr="0043654D">
        <w:t xml:space="preserve">If the therapeutic good has not been listed, </w:t>
      </w:r>
      <w:proofErr w:type="gramStart"/>
      <w:r w:rsidRPr="0043654D">
        <w:t>registered</w:t>
      </w:r>
      <w:proofErr w:type="gramEnd"/>
      <w:r w:rsidRPr="0043654D">
        <w:t xml:space="preserve"> or included in the ARTG, is the therapeutic good in the process of being considered for inclusion by the TGA?</w:t>
      </w:r>
    </w:p>
    <w:p w14:paraId="41C53ED4" w14:textId="2B85B10B" w:rsidR="003433D1" w:rsidRPr="0047581D" w:rsidRDefault="00457A9F" w:rsidP="00457A9F">
      <w:pPr>
        <w:spacing w:before="0" w:after="0"/>
        <w:ind w:firstLine="360"/>
        <w:rPr>
          <w:szCs w:val="20"/>
        </w:rPr>
      </w:pPr>
      <w:r>
        <w:rPr>
          <w:szCs w:val="20"/>
        </w:rPr>
        <w:t>N/A</w:t>
      </w:r>
    </w:p>
    <w:p w14:paraId="470824EE"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proofErr w:type="gramStart"/>
      <w:r w:rsidR="00F83A9D" w:rsidRPr="000A110D">
        <w:t>registration</w:t>
      </w:r>
      <w:proofErr w:type="gramEnd"/>
      <w:r w:rsidR="00F83A9D" w:rsidRPr="000A110D">
        <w:t xml:space="preserve"> </w:t>
      </w:r>
      <w:r w:rsidR="00C0796F" w:rsidRPr="000A110D">
        <w:t xml:space="preserve">or </w:t>
      </w:r>
      <w:r w:rsidR="00F83A9D" w:rsidRPr="000A110D">
        <w:t>inclusion by the TGA, is an application to the TGA being prepared?</w:t>
      </w:r>
    </w:p>
    <w:p w14:paraId="497523E1" w14:textId="47486064" w:rsidR="0065191F" w:rsidRPr="00154B00" w:rsidRDefault="00457A9F" w:rsidP="00457A9F">
      <w:pPr>
        <w:spacing w:before="0" w:after="0"/>
        <w:ind w:firstLine="360"/>
        <w:rPr>
          <w:szCs w:val="20"/>
        </w:rPr>
      </w:pPr>
      <w:r>
        <w:rPr>
          <w:szCs w:val="20"/>
        </w:rPr>
        <w:t>N/A</w:t>
      </w:r>
    </w:p>
    <w:p w14:paraId="550909D8" w14:textId="77777777" w:rsidR="00DD308E" w:rsidRDefault="00DD308E">
      <w:pPr>
        <w:rPr>
          <w:b/>
          <w:sz w:val="32"/>
          <w:szCs w:val="32"/>
        </w:rPr>
        <w:sectPr w:rsidR="00DD308E" w:rsidSect="00991EE4">
          <w:footerReference w:type="default" r:id="rId11"/>
          <w:pgSz w:w="11906" w:h="16838"/>
          <w:pgMar w:top="1440" w:right="1440" w:bottom="1440" w:left="1440" w:header="708" w:footer="708" w:gutter="0"/>
          <w:pgNumType w:start="0"/>
          <w:cols w:space="708"/>
          <w:titlePg/>
          <w:docGrid w:linePitch="360"/>
        </w:sectPr>
      </w:pPr>
    </w:p>
    <w:p w14:paraId="56CB785D" w14:textId="56A1E2CB" w:rsidR="00DD308E" w:rsidRDefault="00B17CBE" w:rsidP="0056015F">
      <w:pPr>
        <w:pStyle w:val="Heading1"/>
      </w:pPr>
      <w:r>
        <w:lastRenderedPageBreak/>
        <w:t>PART 4</w:t>
      </w:r>
      <w:r w:rsidR="00DD308E">
        <w:t xml:space="preserve"> – SUMMARY</w:t>
      </w:r>
      <w:r w:rsidR="00DD308E" w:rsidRPr="00C776B1">
        <w:t xml:space="preserve"> OF EVIDENCE</w:t>
      </w:r>
    </w:p>
    <w:p w14:paraId="242336FA" w14:textId="166F9482" w:rsidR="00497449" w:rsidRDefault="00497449" w:rsidP="00497449">
      <w:r>
        <w:t>An overview of the available evidence is provided</w:t>
      </w:r>
      <w:r w:rsidR="009F0FFC">
        <w:t xml:space="preserve"> (literature search undertaken March 2021)</w:t>
      </w:r>
      <w:r>
        <w:t xml:space="preserve">. This data will be updated, as required, following an extensive literature search in the application submission. There are </w:t>
      </w:r>
      <w:proofErr w:type="gramStart"/>
      <w:r>
        <w:t>a number of</w:t>
      </w:r>
      <w:proofErr w:type="gramEnd"/>
      <w:r>
        <w:t xml:space="preserve"> large comparative studies where patients underwent both DXA and REMS (Echolight) scans, with efficacy results reported. The </w:t>
      </w:r>
      <w:r w:rsidR="00E16DCD">
        <w:t xml:space="preserve">3 </w:t>
      </w:r>
      <w:r>
        <w:t>largest comparative studies were</w:t>
      </w:r>
      <w:r w:rsidR="00E16DCD">
        <w:t xml:space="preserve"> D Paola et al. (2018) in N=1914,</w:t>
      </w:r>
      <w:r>
        <w:t xml:space="preserve"> Adami et al. (2020) with N=1,516 </w:t>
      </w:r>
      <w:r w:rsidR="00E16DCD">
        <w:t xml:space="preserve">(with 5-year follow-up) </w:t>
      </w:r>
      <w:r>
        <w:t>and Cortet et al. (2021) in N=4,307 patients, providing extensive</w:t>
      </w:r>
      <w:r w:rsidR="00FB5197">
        <w:t xml:space="preserve"> directly</w:t>
      </w:r>
      <w:r>
        <w:t xml:space="preserve"> comparative clinical evidence</w:t>
      </w:r>
      <w:r w:rsidR="00394B27">
        <w:t xml:space="preserve"> of the effectiveness of REMS technology in the diagnosis in ‘at risk’ population</w:t>
      </w:r>
      <w:r>
        <w:t>. The studies are listed in alphabetical order (first author) with comparative studies presented first, followed by studies that used Echolight</w:t>
      </w:r>
      <w:r w:rsidR="00EB65C8">
        <w:t>/REMS</w:t>
      </w:r>
      <w:r>
        <w:t xml:space="preserve"> in a relevant population but did not compare with DXA scans.</w:t>
      </w:r>
    </w:p>
    <w:p w14:paraId="48859D7A" w14:textId="2F36C5F2" w:rsidR="009F0FFC" w:rsidRDefault="009F0FFC" w:rsidP="00497449">
      <w:r>
        <w:t xml:space="preserve">Cortet et al. (2021) included reports results for the full population of women </w:t>
      </w:r>
      <w:r w:rsidR="000E2FE5">
        <w:t>at risk of developing osteoporosis, including a</w:t>
      </w:r>
      <w:r>
        <w:t xml:space="preserve"> subgroup of patients </w:t>
      </w:r>
      <w:r>
        <w:rPr>
          <w:rFonts w:cstheme="minorHAnsi"/>
        </w:rPr>
        <w:t>≥</w:t>
      </w:r>
      <w:r>
        <w:t>70 years, one of the proposed populations.</w:t>
      </w:r>
      <w:r w:rsidR="000E2FE5">
        <w:t xml:space="preserve"> </w:t>
      </w:r>
      <w:r w:rsidR="00625418">
        <w:t xml:space="preserve">Both Cortet et al. 2021 and Adami et al. 2021 include patients </w:t>
      </w:r>
      <w:r w:rsidR="000E2FE5">
        <w:t xml:space="preserve">who had experienced a fragility fracture, consistent with the </w:t>
      </w:r>
      <w:r w:rsidR="00625418">
        <w:t xml:space="preserve">proposed </w:t>
      </w:r>
      <w:r w:rsidR="000E2FE5">
        <w:t xml:space="preserve">population </w:t>
      </w:r>
      <w:r w:rsidR="00625418">
        <w:t>requiring review more than 12 months after a fragility fracture.</w:t>
      </w:r>
    </w:p>
    <w:p w14:paraId="6354AC47" w14:textId="3E4F1336" w:rsidR="00625418" w:rsidRDefault="00625418" w:rsidP="00497449">
      <w:r>
        <w:t xml:space="preserve">Tomai et al. (2020) compared REMS with DXA in patients with rheumatologic diseases, including rheumatoid arthritis, with results showing that </w:t>
      </w:r>
      <w:r w:rsidRPr="00625418">
        <w:t>REMS technology can be a diagnostic option especially in patients with rheumatologic diseases that cause alterations in the spine reducing the diagnostic sensitivity of DXA technology.</w:t>
      </w:r>
      <w:r>
        <w:t xml:space="preserve"> Patients with rheumatoid arthritis with risk factors for osteoporosis are a proposed population for listing.</w:t>
      </w:r>
    </w:p>
    <w:p w14:paraId="7AA0E6C4" w14:textId="174CA24D" w:rsidR="005A0588" w:rsidRDefault="005A0588" w:rsidP="00497449">
      <w:r>
        <w:t>Bojinca et al. 2019 compared REMS technology in patients with and without rheumatoid arthritis at risk of osteoporosis, providing additional clinical data in a proposed population.</w:t>
      </w:r>
    </w:p>
    <w:p w14:paraId="18F6A76E" w14:textId="51A0FE9D" w:rsidR="00497449" w:rsidRDefault="00625418" w:rsidP="00497449">
      <w:r>
        <w:t>Overall, the studies provided directly comparative evidence for effectiveness of REMS versus the comparator</w:t>
      </w:r>
      <w:r w:rsidR="00394B27">
        <w:t xml:space="preserve"> in diagnosis at risk groups</w:t>
      </w:r>
      <w:r>
        <w:t xml:space="preserve">, including in proposed populations </w:t>
      </w:r>
      <w:r w:rsidR="00394B27">
        <w:t>such as</w:t>
      </w:r>
      <w:r>
        <w:t xml:space="preserve"> those aged </w:t>
      </w:r>
      <w:r w:rsidR="005A0588">
        <w:rPr>
          <w:rFonts w:cstheme="minorHAnsi"/>
        </w:rPr>
        <w:t>≥</w:t>
      </w:r>
      <w:r w:rsidR="005A0588">
        <w:t>70 years, at risk due to rheumatoid arthritis and in patients who have experienced minimal trauma fractures.</w:t>
      </w:r>
    </w:p>
    <w:p w14:paraId="119DB163" w14:textId="77777777" w:rsidR="00EB65C8" w:rsidRDefault="00EB65C8" w:rsidP="00497449">
      <w:pPr>
        <w:sectPr w:rsidR="00EB65C8" w:rsidSect="00D6573A">
          <w:pgSz w:w="11906" w:h="16838"/>
          <w:pgMar w:top="1440" w:right="1440" w:bottom="1440" w:left="1440" w:header="708" w:footer="708" w:gutter="0"/>
          <w:cols w:space="708"/>
          <w:docGrid w:linePitch="360"/>
        </w:sectPr>
      </w:pPr>
    </w:p>
    <w:p w14:paraId="781969FE" w14:textId="70F8BDFE" w:rsidR="00EB65C8" w:rsidRPr="00497449" w:rsidRDefault="00EB65C8" w:rsidP="00497449"/>
    <w:p w14:paraId="56D559E8"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283" w:type="pct"/>
        <w:tblLayout w:type="fixed"/>
        <w:tblLook w:val="04A0" w:firstRow="1" w:lastRow="0" w:firstColumn="1" w:lastColumn="0" w:noHBand="0" w:noVBand="1"/>
        <w:tblCaption w:val="Summary of Evidence - Published"/>
      </w:tblPr>
      <w:tblGrid>
        <w:gridCol w:w="469"/>
        <w:gridCol w:w="1435"/>
        <w:gridCol w:w="2190"/>
        <w:gridCol w:w="6390"/>
        <w:gridCol w:w="2720"/>
        <w:gridCol w:w="1533"/>
      </w:tblGrid>
      <w:tr w:rsidR="00FB5197" w14:paraId="0F42FC74" w14:textId="77777777" w:rsidTr="00931BDD">
        <w:trPr>
          <w:cantSplit/>
          <w:tblHeader/>
        </w:trPr>
        <w:tc>
          <w:tcPr>
            <w:tcW w:w="159" w:type="pct"/>
          </w:tcPr>
          <w:p w14:paraId="51E6F61E" w14:textId="77777777" w:rsidR="00DD308E" w:rsidRDefault="00DD308E" w:rsidP="00855944">
            <w:pPr>
              <w:pStyle w:val="TableHEADER"/>
            </w:pPr>
          </w:p>
        </w:tc>
        <w:tc>
          <w:tcPr>
            <w:tcW w:w="487" w:type="pct"/>
          </w:tcPr>
          <w:p w14:paraId="247CB8C3" w14:textId="17095F73" w:rsidR="00DD308E" w:rsidRDefault="00DD308E" w:rsidP="00855944">
            <w:pPr>
              <w:pStyle w:val="TableHEADER"/>
            </w:pPr>
            <w:r>
              <w:t>Type of study design</w:t>
            </w:r>
          </w:p>
        </w:tc>
        <w:tc>
          <w:tcPr>
            <w:tcW w:w="743" w:type="pct"/>
          </w:tcPr>
          <w:p w14:paraId="5FC8DED7" w14:textId="01720FC0" w:rsidR="00DD308E" w:rsidRDefault="00DD308E" w:rsidP="00855944">
            <w:pPr>
              <w:pStyle w:val="TableHEADER"/>
            </w:pPr>
            <w:r>
              <w:t xml:space="preserve">Title of journal </w:t>
            </w:r>
            <w:proofErr w:type="gramStart"/>
            <w:r>
              <w:t>article  or</w:t>
            </w:r>
            <w:proofErr w:type="gramEnd"/>
            <w:r>
              <w:t xml:space="preserve"> research project </w:t>
            </w:r>
          </w:p>
        </w:tc>
        <w:tc>
          <w:tcPr>
            <w:tcW w:w="2168" w:type="pct"/>
          </w:tcPr>
          <w:p w14:paraId="3819BB51" w14:textId="42A8A071" w:rsidR="00DD308E" w:rsidRDefault="00DD308E" w:rsidP="00855944">
            <w:pPr>
              <w:pStyle w:val="TableHEADER"/>
            </w:pPr>
            <w:r>
              <w:t>Short description of research</w:t>
            </w:r>
          </w:p>
        </w:tc>
        <w:tc>
          <w:tcPr>
            <w:tcW w:w="923" w:type="pct"/>
          </w:tcPr>
          <w:p w14:paraId="4E33EAC4" w14:textId="232AB59F" w:rsidR="00DD308E" w:rsidRDefault="00DD308E" w:rsidP="00855944">
            <w:pPr>
              <w:pStyle w:val="TableHEADER"/>
            </w:pPr>
            <w:r w:rsidRPr="00E82F54">
              <w:t xml:space="preserve">Website link to </w:t>
            </w:r>
            <w:r>
              <w:t>journal article or research</w:t>
            </w:r>
          </w:p>
        </w:tc>
        <w:tc>
          <w:tcPr>
            <w:tcW w:w="520" w:type="pct"/>
          </w:tcPr>
          <w:p w14:paraId="38C240F6" w14:textId="5A1FF510" w:rsidR="00DD308E" w:rsidRDefault="00DD308E" w:rsidP="00855944">
            <w:pPr>
              <w:pStyle w:val="TableHEADER"/>
            </w:pPr>
            <w:r w:rsidRPr="00E82F54">
              <w:t>Date</w:t>
            </w:r>
            <w:r>
              <w:t xml:space="preserve"> of publication</w:t>
            </w:r>
          </w:p>
        </w:tc>
      </w:tr>
      <w:tr w:rsidR="004922EC" w:rsidRPr="002D0E6E" w14:paraId="2BA33CF5" w14:textId="77777777" w:rsidTr="00931BDD">
        <w:trPr>
          <w:cantSplit/>
        </w:trPr>
        <w:tc>
          <w:tcPr>
            <w:tcW w:w="5000" w:type="pct"/>
            <w:gridSpan w:val="6"/>
            <w:shd w:val="clear" w:color="auto" w:fill="FBD4B4" w:themeFill="accent6" w:themeFillTint="66"/>
          </w:tcPr>
          <w:p w14:paraId="0D91C0EF" w14:textId="5A35BE6A" w:rsidR="004922EC" w:rsidRPr="002D0E6E" w:rsidRDefault="004922EC" w:rsidP="00741F91">
            <w:pPr>
              <w:rPr>
                <w:b/>
                <w:bCs/>
              </w:rPr>
            </w:pPr>
            <w:r w:rsidRPr="002D0E6E">
              <w:rPr>
                <w:b/>
                <w:bCs/>
              </w:rPr>
              <w:t xml:space="preserve">Clinical studies comparing REMS </w:t>
            </w:r>
            <w:r w:rsidR="00F3065D">
              <w:rPr>
                <w:b/>
                <w:bCs/>
              </w:rPr>
              <w:t xml:space="preserve">(Echolight) </w:t>
            </w:r>
            <w:r w:rsidRPr="002D0E6E">
              <w:rPr>
                <w:b/>
                <w:bCs/>
              </w:rPr>
              <w:t>with DXA scanning</w:t>
            </w:r>
          </w:p>
        </w:tc>
      </w:tr>
      <w:tr w:rsidR="00FB5197" w14:paraId="1BAAD9CB" w14:textId="77777777" w:rsidTr="00931BDD">
        <w:trPr>
          <w:cantSplit/>
        </w:trPr>
        <w:tc>
          <w:tcPr>
            <w:tcW w:w="159" w:type="pct"/>
            <w:shd w:val="clear" w:color="auto" w:fill="EAF1DD" w:themeFill="accent3" w:themeFillTint="33"/>
          </w:tcPr>
          <w:p w14:paraId="106006C8" w14:textId="03845B14" w:rsidR="00741F91" w:rsidRDefault="00D31195" w:rsidP="00741F91">
            <w:pPr>
              <w:rPr>
                <w:szCs w:val="20"/>
              </w:rPr>
            </w:pPr>
            <w:r>
              <w:rPr>
                <w:szCs w:val="20"/>
              </w:rPr>
              <w:t>1.</w:t>
            </w:r>
          </w:p>
        </w:tc>
        <w:tc>
          <w:tcPr>
            <w:tcW w:w="487" w:type="pct"/>
            <w:shd w:val="clear" w:color="auto" w:fill="EAF1DD" w:themeFill="accent3" w:themeFillTint="33"/>
          </w:tcPr>
          <w:p w14:paraId="4EF0EFB6" w14:textId="778A32A0" w:rsidR="00741F91" w:rsidRDefault="00E96BC4" w:rsidP="00741F91">
            <w:r>
              <w:t xml:space="preserve">Prospective </w:t>
            </w:r>
            <w:r w:rsidR="00FB5197">
              <w:t xml:space="preserve">observational </w:t>
            </w:r>
            <w:r>
              <w:t>cohort comparison of REMS and DXA scans.</w:t>
            </w:r>
          </w:p>
        </w:tc>
        <w:tc>
          <w:tcPr>
            <w:tcW w:w="743" w:type="pct"/>
            <w:shd w:val="clear" w:color="auto" w:fill="EAF1DD" w:themeFill="accent3" w:themeFillTint="33"/>
          </w:tcPr>
          <w:p w14:paraId="0C28F6C8" w14:textId="07A6C8DD" w:rsidR="00741F91" w:rsidRDefault="00741F91" w:rsidP="00741F91">
            <w:r>
              <w:t>Adami G, Arioli G, Bianchi G et al. (2020) Radiofrequency echographic multi spectrometry for the prediction of incident fragility fractures: A 5-year follow-up study. Bone 134</w:t>
            </w:r>
            <w:r w:rsidR="00D31195">
              <w:t>:</w:t>
            </w:r>
            <w:r>
              <w:t xml:space="preserve"> </w:t>
            </w:r>
            <w:r w:rsidRPr="00CF0FF2">
              <w:t>115297</w:t>
            </w:r>
          </w:p>
        </w:tc>
        <w:tc>
          <w:tcPr>
            <w:tcW w:w="2168" w:type="pct"/>
            <w:shd w:val="clear" w:color="auto" w:fill="EAF1DD" w:themeFill="accent3" w:themeFillTint="33"/>
          </w:tcPr>
          <w:p w14:paraId="55880C41" w14:textId="77777777" w:rsidR="00FB5197" w:rsidRDefault="00741F91" w:rsidP="00FB5197">
            <w:r>
              <w:t>N=1,516</w:t>
            </w:r>
            <w:r w:rsidR="00FB5197">
              <w:t>.</w:t>
            </w:r>
          </w:p>
          <w:p w14:paraId="027B76EA" w14:textId="255F568C" w:rsidR="00FB5197" w:rsidRDefault="00FB5197" w:rsidP="00FB5197">
            <w:r>
              <w:t>REMS T-score (for vertebral site, −2.9 [−3.6 to −1.9] in Group Fracture (F)’, −2.2 [−2.9 to −1.2] in Group No fracture (NF)’) and DXA T-score (−2.8 [−3.3 to −1.9] in Group F’, −2.2 [−2.9 to −1.4] in Group NF’) were statistically significant (p-value&lt;0.001). Analogous results were obtained for femoral neck.</w:t>
            </w:r>
          </w:p>
          <w:p w14:paraId="74EC5CB9" w14:textId="1754D586" w:rsidR="00741F91" w:rsidRDefault="00FB5197" w:rsidP="00741F91">
            <w:r>
              <w:t>Using T-score cut-off of −2.5, REMS identified Group F’ patients with a sensitivity of 65.1% and specificity of 57.7% of (OR = 2.6, 95%CI: 1.77–3.76, p &lt; 0.001), whereas DXA showed a sensitivity of 57.1% and a specificity of 56.3% (OR = 1.7, 95%CI: 1.20–2.51, p-value = 0.0032)</w:t>
            </w:r>
          </w:p>
        </w:tc>
        <w:tc>
          <w:tcPr>
            <w:tcW w:w="923" w:type="pct"/>
            <w:shd w:val="clear" w:color="auto" w:fill="EAF1DD" w:themeFill="accent3" w:themeFillTint="33"/>
          </w:tcPr>
          <w:p w14:paraId="2AAE238A" w14:textId="77777777" w:rsidR="00741F91" w:rsidRDefault="00741F91" w:rsidP="00741F91">
            <w:r w:rsidRPr="00CF0FF2">
              <w:t>https://pubmed.ncbi.nlm.nih.gov/32092480/</w:t>
            </w:r>
          </w:p>
        </w:tc>
        <w:tc>
          <w:tcPr>
            <w:tcW w:w="520" w:type="pct"/>
            <w:shd w:val="clear" w:color="auto" w:fill="EAF1DD" w:themeFill="accent3" w:themeFillTint="33"/>
          </w:tcPr>
          <w:p w14:paraId="75962232" w14:textId="77777777" w:rsidR="00741F91" w:rsidRDefault="00741F91" w:rsidP="00741F91">
            <w:r>
              <w:t>May 2020</w:t>
            </w:r>
          </w:p>
        </w:tc>
      </w:tr>
      <w:tr w:rsidR="00FB5197" w14:paraId="0D6DA978" w14:textId="77777777" w:rsidTr="00931BDD">
        <w:trPr>
          <w:cantSplit/>
        </w:trPr>
        <w:tc>
          <w:tcPr>
            <w:tcW w:w="159" w:type="pct"/>
          </w:tcPr>
          <w:p w14:paraId="7E3107D7" w14:textId="14B73794" w:rsidR="00741F91" w:rsidRPr="00965B6B" w:rsidRDefault="00D31195" w:rsidP="00741F91">
            <w:pPr>
              <w:rPr>
                <w:szCs w:val="20"/>
              </w:rPr>
            </w:pPr>
            <w:r>
              <w:rPr>
                <w:szCs w:val="20"/>
              </w:rPr>
              <w:t>2.</w:t>
            </w:r>
          </w:p>
        </w:tc>
        <w:tc>
          <w:tcPr>
            <w:tcW w:w="487" w:type="pct"/>
          </w:tcPr>
          <w:p w14:paraId="3A06BFA3" w14:textId="636774B4" w:rsidR="00741F91" w:rsidRDefault="0057503E" w:rsidP="00741F91">
            <w:pPr>
              <w:rPr>
                <w:b/>
                <w:szCs w:val="20"/>
              </w:rPr>
            </w:pPr>
            <w:r>
              <w:t>See Adami 2020</w:t>
            </w:r>
          </w:p>
        </w:tc>
        <w:tc>
          <w:tcPr>
            <w:tcW w:w="743" w:type="pct"/>
          </w:tcPr>
          <w:p w14:paraId="2FF2A5DC" w14:textId="77777777" w:rsidR="00741F91" w:rsidRDefault="00741F91" w:rsidP="00741F91">
            <w:pPr>
              <w:rPr>
                <w:b/>
                <w:szCs w:val="20"/>
              </w:rPr>
            </w:pPr>
            <w:r>
              <w:t>Adami G, Arioli G, Bianchi G et al (2019) Prediction of incident fragility fractures through radiofrequency echographic multi spectrometry (REMS). Ann Rheum Dis 78(Suppl 2):933.</w:t>
            </w:r>
          </w:p>
        </w:tc>
        <w:tc>
          <w:tcPr>
            <w:tcW w:w="2168" w:type="pct"/>
          </w:tcPr>
          <w:p w14:paraId="0AD1B401" w14:textId="08D56A08" w:rsidR="00741F91" w:rsidRDefault="0057503E" w:rsidP="00741F91">
            <w:pPr>
              <w:rPr>
                <w:b/>
                <w:szCs w:val="20"/>
              </w:rPr>
            </w:pPr>
            <w:r>
              <w:t xml:space="preserve">Abstract publication of Adami 2020. </w:t>
            </w:r>
          </w:p>
        </w:tc>
        <w:tc>
          <w:tcPr>
            <w:tcW w:w="923" w:type="pct"/>
          </w:tcPr>
          <w:p w14:paraId="29F33DFE" w14:textId="77777777" w:rsidR="00741F91" w:rsidRPr="00E82F54" w:rsidRDefault="00741F91" w:rsidP="00741F91">
            <w:pPr>
              <w:rPr>
                <w:b/>
                <w:szCs w:val="20"/>
              </w:rPr>
            </w:pPr>
            <w:r w:rsidRPr="00AB02C0">
              <w:t>https://ard.bmj.com/content/78/Suppl_2/933.2</w:t>
            </w:r>
          </w:p>
        </w:tc>
        <w:tc>
          <w:tcPr>
            <w:tcW w:w="520" w:type="pct"/>
          </w:tcPr>
          <w:p w14:paraId="54E36E05" w14:textId="6BBE9992" w:rsidR="00741F91" w:rsidRDefault="00741F91" w:rsidP="00741F91">
            <w:r>
              <w:t>2019</w:t>
            </w:r>
            <w:r w:rsidR="00A51821">
              <w:t xml:space="preserve"> Abstract/poster publication</w:t>
            </w:r>
          </w:p>
          <w:p w14:paraId="739DF284" w14:textId="2B118169" w:rsidR="00A51821" w:rsidRPr="00A51821" w:rsidRDefault="00A51821" w:rsidP="00741F91">
            <w:pPr>
              <w:rPr>
                <w:bCs/>
                <w:szCs w:val="20"/>
              </w:rPr>
            </w:pPr>
            <w:r w:rsidRPr="00A51821">
              <w:rPr>
                <w:bCs/>
                <w:szCs w:val="20"/>
              </w:rPr>
              <w:t>See Adami 2020 for full study publication</w:t>
            </w:r>
          </w:p>
        </w:tc>
      </w:tr>
      <w:tr w:rsidR="00FB5197" w14:paraId="104E1E37" w14:textId="77777777" w:rsidTr="00931BDD">
        <w:trPr>
          <w:cantSplit/>
        </w:trPr>
        <w:tc>
          <w:tcPr>
            <w:tcW w:w="159" w:type="pct"/>
          </w:tcPr>
          <w:p w14:paraId="7EADACC1" w14:textId="341BAE04" w:rsidR="00865BD5" w:rsidRDefault="00D31195" w:rsidP="00741F91">
            <w:pPr>
              <w:rPr>
                <w:szCs w:val="20"/>
              </w:rPr>
            </w:pPr>
            <w:r>
              <w:rPr>
                <w:szCs w:val="20"/>
              </w:rPr>
              <w:lastRenderedPageBreak/>
              <w:t>3.</w:t>
            </w:r>
          </w:p>
        </w:tc>
        <w:tc>
          <w:tcPr>
            <w:tcW w:w="487" w:type="pct"/>
          </w:tcPr>
          <w:p w14:paraId="67C96CBC" w14:textId="5A0C769A" w:rsidR="00865BD5" w:rsidRDefault="00865BD5" w:rsidP="00741F91">
            <w:r>
              <w:t xml:space="preserve">Prospective </w:t>
            </w:r>
            <w:r w:rsidR="00FB5197">
              <w:t xml:space="preserve">observational </w:t>
            </w:r>
            <w:r>
              <w:t>cohort comparison of REMS and DXA scans.</w:t>
            </w:r>
          </w:p>
        </w:tc>
        <w:tc>
          <w:tcPr>
            <w:tcW w:w="743" w:type="pct"/>
          </w:tcPr>
          <w:p w14:paraId="355D559E" w14:textId="4ED656BE" w:rsidR="00865BD5" w:rsidRDefault="00865BD5" w:rsidP="00741F91">
            <w:r>
              <w:t xml:space="preserve">Amorim </w:t>
            </w:r>
            <w:r w:rsidR="00C004B8">
              <w:t>D</w:t>
            </w:r>
            <w:r>
              <w:t xml:space="preserve">, Sakane E, Maeda S et al. (2020). P-519 New technology REMS demonstrated good accuracy for the diagnosis of osteoporosis defined by </w:t>
            </w:r>
            <w:proofErr w:type="gramStart"/>
            <w:r>
              <w:t>DXA ,</w:t>
            </w:r>
            <w:proofErr w:type="gramEnd"/>
            <w:r>
              <w:t xml:space="preserve"> in Brazilian adult women.</w:t>
            </w:r>
            <w:r w:rsidR="00354B72">
              <w:t xml:space="preserve"> American Society for Bone and Mineral Research (ASBMR) Annual Meeting 2020</w:t>
            </w:r>
          </w:p>
        </w:tc>
        <w:tc>
          <w:tcPr>
            <w:tcW w:w="2168" w:type="pct"/>
          </w:tcPr>
          <w:p w14:paraId="58AA68C3" w14:textId="3F77AC7C" w:rsidR="00865BD5" w:rsidRPr="00C004B8" w:rsidRDefault="00865BD5" w:rsidP="00A93FC9">
            <w:r>
              <w:t xml:space="preserve">N=343. In 227 spines and 238 femurs in comparison high correlation between both methodologies BMD values (r=0.75, p&lt;0.00) for lumbar spine and r=0.78 p&lt;0.001 for femoral neck). Average difference between REMS and DXA outcomes (expressed as bias </w:t>
            </w:r>
            <w:r>
              <w:rPr>
                <w:rFonts w:cstheme="minorHAnsi"/>
              </w:rPr>
              <w:t>±</w:t>
            </w:r>
            <w:r>
              <w:t xml:space="preserve"> 1.96 SD) was -0.026 </w:t>
            </w:r>
            <w:r>
              <w:rPr>
                <w:rFonts w:cstheme="minorHAnsi"/>
              </w:rPr>
              <w:t>±</w:t>
            </w:r>
            <w:r>
              <w:t xml:space="preserve"> -0.1758 g/cm</w:t>
            </w:r>
            <w:r w:rsidRPr="00865BD5">
              <w:rPr>
                <w:vertAlign w:val="superscript"/>
              </w:rPr>
              <w:t>2</w:t>
            </w:r>
            <w:r>
              <w:t xml:space="preserve"> for spine and -0.02</w:t>
            </w:r>
            <w:r w:rsidR="00C004B8">
              <w:t>7</w:t>
            </w:r>
            <w:r>
              <w:t xml:space="preserve"> </w:t>
            </w:r>
            <w:r>
              <w:rPr>
                <w:rFonts w:cstheme="minorHAnsi"/>
              </w:rPr>
              <w:t>±</w:t>
            </w:r>
            <w:r>
              <w:t xml:space="preserve"> -0.1</w:t>
            </w:r>
            <w:r w:rsidR="00C004B8">
              <w:t>525</w:t>
            </w:r>
            <w:r>
              <w:t xml:space="preserve"> g/cm</w:t>
            </w:r>
            <w:proofErr w:type="gramStart"/>
            <w:r w:rsidRPr="00865BD5">
              <w:rPr>
                <w:vertAlign w:val="superscript"/>
              </w:rPr>
              <w:t>2</w:t>
            </w:r>
            <w:r w:rsidR="00C004B8">
              <w:rPr>
                <w:vertAlign w:val="superscript"/>
              </w:rPr>
              <w:t xml:space="preserve"> </w:t>
            </w:r>
            <w:r w:rsidR="00C004B8">
              <w:t xml:space="preserve"> for</w:t>
            </w:r>
            <w:proofErr w:type="gramEnd"/>
            <w:r w:rsidR="00C004B8">
              <w:t xml:space="preserve"> neck. REMS discriminated between osteoporotic and non-osteoporotic women for both lumbar spine (sensitivity 84%, specificity 94.6%) </w:t>
            </w:r>
            <w:proofErr w:type="gramStart"/>
            <w:r w:rsidR="00C004B8">
              <w:t>an</w:t>
            </w:r>
            <w:proofErr w:type="gramEnd"/>
            <w:r w:rsidR="00C004B8">
              <w:t xml:space="preserve"> femoral neck (sensitivity 92.6%, specificity 93.5%). </w:t>
            </w:r>
          </w:p>
        </w:tc>
        <w:tc>
          <w:tcPr>
            <w:tcW w:w="923" w:type="pct"/>
          </w:tcPr>
          <w:p w14:paraId="1C81DCEE" w14:textId="7BA971E2" w:rsidR="00865BD5" w:rsidRPr="00AB02C0" w:rsidRDefault="00865BD5" w:rsidP="00741F91">
            <w:proofErr w:type="gramStart"/>
            <w:r w:rsidRPr="00865BD5">
              <w:t>https://www.echolightmedical.com/wp-content/uploads/2020/10/ASBMR2020-P-519-New-technology-REMS-demonstrated-good-accuracy-for-the-diagnosis-of-osteoporosis-defined-by-DXA-in-Brazilian-adult-women..</w:t>
            </w:r>
            <w:proofErr w:type="gramEnd"/>
            <w:r w:rsidRPr="00865BD5">
              <w:t>pdf</w:t>
            </w:r>
          </w:p>
        </w:tc>
        <w:tc>
          <w:tcPr>
            <w:tcW w:w="520" w:type="pct"/>
          </w:tcPr>
          <w:p w14:paraId="3D055301" w14:textId="6A4724B2" w:rsidR="00865BD5" w:rsidRDefault="00C004B8" w:rsidP="00741F91">
            <w:r>
              <w:t>September 2020</w:t>
            </w:r>
          </w:p>
        </w:tc>
      </w:tr>
      <w:tr w:rsidR="00FB5197" w14:paraId="0125908A" w14:textId="77777777" w:rsidTr="00931BDD">
        <w:trPr>
          <w:cantSplit/>
        </w:trPr>
        <w:tc>
          <w:tcPr>
            <w:tcW w:w="159" w:type="pct"/>
          </w:tcPr>
          <w:p w14:paraId="7738DB6F" w14:textId="128F8AB1" w:rsidR="00741F91" w:rsidRDefault="00D31195" w:rsidP="00741F91">
            <w:pPr>
              <w:rPr>
                <w:szCs w:val="20"/>
              </w:rPr>
            </w:pPr>
            <w:r>
              <w:rPr>
                <w:szCs w:val="20"/>
              </w:rPr>
              <w:t>4.</w:t>
            </w:r>
          </w:p>
        </w:tc>
        <w:tc>
          <w:tcPr>
            <w:tcW w:w="487" w:type="pct"/>
          </w:tcPr>
          <w:p w14:paraId="5B47265C" w14:textId="03F2485E" w:rsidR="00741F91" w:rsidRDefault="00041826" w:rsidP="00741F91">
            <w:r>
              <w:t xml:space="preserve">Prospective </w:t>
            </w:r>
            <w:r w:rsidR="00FB5197">
              <w:t xml:space="preserve">observational </w:t>
            </w:r>
            <w:r>
              <w:t>cohort</w:t>
            </w:r>
            <w:r w:rsidR="00FB5197">
              <w:t xml:space="preserve"> comparison</w:t>
            </w:r>
            <w:r>
              <w:t xml:space="preserve"> to assess diagnostic accuracy of REMS vs. DXA.</w:t>
            </w:r>
          </w:p>
        </w:tc>
        <w:tc>
          <w:tcPr>
            <w:tcW w:w="743" w:type="pct"/>
          </w:tcPr>
          <w:p w14:paraId="53978D22" w14:textId="77777777" w:rsidR="00741F91" w:rsidRDefault="00741F91" w:rsidP="00741F91">
            <w:r>
              <w:t>Casciaro S, Peccarisi M, Pisani P (2016). An Advanced Quantitative Echosound Methodology for Femoral Neck Densitometry. Ultrasound Med Biol. Jun;42(6):1337-56.</w:t>
            </w:r>
          </w:p>
        </w:tc>
        <w:tc>
          <w:tcPr>
            <w:tcW w:w="2168" w:type="pct"/>
          </w:tcPr>
          <w:p w14:paraId="780E38E6" w14:textId="43CAF7ED" w:rsidR="00741F91" w:rsidRDefault="00A93FC9" w:rsidP="00A93FC9">
            <w:r>
              <w:t>N=377 female</w:t>
            </w:r>
            <w:r w:rsidR="002D295D">
              <w:t xml:space="preserve">, </w:t>
            </w:r>
            <w:r>
              <w:t>proximal femur</w:t>
            </w:r>
            <w:r w:rsidR="002D295D">
              <w:t xml:space="preserve"> scan</w:t>
            </w:r>
            <w:r>
              <w:t xml:space="preserve">. Assuming DXA as reference, the accuracy of </w:t>
            </w:r>
            <w:r w:rsidR="002D295D">
              <w:t xml:space="preserve">REMS </w:t>
            </w:r>
            <w:r>
              <w:t>based diagnoses resulted 94.7%, with k</w:t>
            </w:r>
            <w:r w:rsidR="00D31195">
              <w:t>=</w:t>
            </w:r>
            <w:r>
              <w:t xml:space="preserve">0.898 (p </w:t>
            </w:r>
            <w:r w:rsidR="00D31195">
              <w:t>&lt;</w:t>
            </w:r>
            <w:r>
              <w:t xml:space="preserve">0.0001). Significant correlations were also found between </w:t>
            </w:r>
            <w:r w:rsidR="002D295D">
              <w:t xml:space="preserve">REMS </w:t>
            </w:r>
            <w:r>
              <w:t>estimated bone mineral density and corresponding DXA values, with r</w:t>
            </w:r>
            <w:r w:rsidRPr="002D295D">
              <w:rPr>
                <w:vertAlign w:val="superscript"/>
              </w:rPr>
              <w:t>2</w:t>
            </w:r>
            <w:r>
              <w:t xml:space="preserve"> up to 0.79 and root mean square error 5.9–7.4%. </w:t>
            </w:r>
          </w:p>
        </w:tc>
        <w:tc>
          <w:tcPr>
            <w:tcW w:w="923" w:type="pct"/>
          </w:tcPr>
          <w:p w14:paraId="54A9D0CE" w14:textId="77777777" w:rsidR="00741F91" w:rsidRPr="00AB02C0" w:rsidRDefault="00741F91" w:rsidP="00741F91">
            <w:r w:rsidRPr="00AB02C0">
              <w:t>https://pubmed.ncbi.nlm.nih.gov/27033331/</w:t>
            </w:r>
          </w:p>
        </w:tc>
        <w:tc>
          <w:tcPr>
            <w:tcW w:w="520" w:type="pct"/>
          </w:tcPr>
          <w:p w14:paraId="11BC556A" w14:textId="77777777" w:rsidR="00741F91" w:rsidRDefault="00741F91" w:rsidP="00741F91">
            <w:r>
              <w:t>June 2016</w:t>
            </w:r>
          </w:p>
        </w:tc>
      </w:tr>
      <w:tr w:rsidR="00FB5197" w14:paraId="6BFD4A9C" w14:textId="77777777" w:rsidTr="00931BDD">
        <w:trPr>
          <w:cantSplit/>
        </w:trPr>
        <w:tc>
          <w:tcPr>
            <w:tcW w:w="159" w:type="pct"/>
          </w:tcPr>
          <w:p w14:paraId="4A3C9FEF" w14:textId="4B0B8342" w:rsidR="00741F91" w:rsidRDefault="00D31195" w:rsidP="00741F91">
            <w:pPr>
              <w:rPr>
                <w:szCs w:val="20"/>
              </w:rPr>
            </w:pPr>
            <w:r>
              <w:rPr>
                <w:szCs w:val="20"/>
              </w:rPr>
              <w:lastRenderedPageBreak/>
              <w:t>5.</w:t>
            </w:r>
          </w:p>
        </w:tc>
        <w:tc>
          <w:tcPr>
            <w:tcW w:w="487" w:type="pct"/>
          </w:tcPr>
          <w:p w14:paraId="12D06F17" w14:textId="03C3F76C" w:rsidR="00741F91" w:rsidRDefault="00E96BC4" w:rsidP="00741F91">
            <w:r>
              <w:t xml:space="preserve">Prospective </w:t>
            </w:r>
            <w:r w:rsidR="00FB5197">
              <w:t xml:space="preserve">observational </w:t>
            </w:r>
            <w:r>
              <w:t>cohort comparison of REMS and DXA scans.</w:t>
            </w:r>
          </w:p>
        </w:tc>
        <w:tc>
          <w:tcPr>
            <w:tcW w:w="743" w:type="pct"/>
          </w:tcPr>
          <w:p w14:paraId="614281F9" w14:textId="77777777" w:rsidR="00741F91" w:rsidRDefault="00741F91" w:rsidP="00741F91">
            <w:r>
              <w:t>F. Conversano, R. Franchini, A. Greco, et al. (2015) A novel ultrasound methodology for estimating spine mineral density, Ultrasound Med. Biol. 41 (1) 281–300,</w:t>
            </w:r>
          </w:p>
        </w:tc>
        <w:tc>
          <w:tcPr>
            <w:tcW w:w="2168" w:type="pct"/>
          </w:tcPr>
          <w:p w14:paraId="4F810546" w14:textId="50C4BDB4" w:rsidR="00741F91" w:rsidRDefault="00E96BC4" w:rsidP="00741F91">
            <w:r>
              <w:t>N=</w:t>
            </w:r>
            <w:r w:rsidRPr="00E96BC4">
              <w:t>342 female</w:t>
            </w:r>
            <w:r>
              <w:t>s</w:t>
            </w:r>
            <w:r w:rsidRPr="00E96BC4">
              <w:t xml:space="preserve"> (aged 51-60 y)</w:t>
            </w:r>
            <w:r>
              <w:t>. Versus DXA</w:t>
            </w:r>
            <w:r w:rsidRPr="00E96BC4">
              <w:t xml:space="preserve">, the accuracy of </w:t>
            </w:r>
            <w:r>
              <w:t xml:space="preserve">REMS </w:t>
            </w:r>
            <w:r w:rsidRPr="00E96BC4">
              <w:t>based diagnoses was 91.1%, with k= 0.859 (p &lt; 0.0001). Significant correlations were also found with r</w:t>
            </w:r>
            <w:r w:rsidRPr="00E96BC4">
              <w:rPr>
                <w:vertAlign w:val="superscript"/>
              </w:rPr>
              <w:t>2</w:t>
            </w:r>
            <w:r w:rsidRPr="00E96BC4">
              <w:t xml:space="preserve"> values up to 0.73 and a root mean square error of 6.3%-9.3%. The proposed method has the potential for future routine application in US-based diagnosis of osteoporosis.</w:t>
            </w:r>
          </w:p>
        </w:tc>
        <w:tc>
          <w:tcPr>
            <w:tcW w:w="923" w:type="pct"/>
          </w:tcPr>
          <w:p w14:paraId="23B423C6" w14:textId="77777777" w:rsidR="00741F91" w:rsidRPr="00AB02C0" w:rsidRDefault="00741F91" w:rsidP="00741F91">
            <w:r w:rsidRPr="00F040F4">
              <w:t>https://www.umbjournal.org/article/S0301-5629(14)00569-9/fulltext</w:t>
            </w:r>
          </w:p>
        </w:tc>
        <w:tc>
          <w:tcPr>
            <w:tcW w:w="520" w:type="pct"/>
          </w:tcPr>
          <w:p w14:paraId="50CD387F" w14:textId="0472E1E1" w:rsidR="00741F91" w:rsidRDefault="00E96BC4" w:rsidP="00741F91">
            <w:r>
              <w:t>January 2015</w:t>
            </w:r>
          </w:p>
        </w:tc>
      </w:tr>
      <w:tr w:rsidR="00FB5197" w14:paraId="793296ED" w14:textId="77777777" w:rsidTr="00931BDD">
        <w:trPr>
          <w:cantSplit/>
        </w:trPr>
        <w:tc>
          <w:tcPr>
            <w:tcW w:w="159" w:type="pct"/>
            <w:shd w:val="clear" w:color="auto" w:fill="EAF1DD" w:themeFill="accent3" w:themeFillTint="33"/>
          </w:tcPr>
          <w:p w14:paraId="70C8AF73" w14:textId="7E4004EF" w:rsidR="00041826" w:rsidRDefault="00D31195" w:rsidP="00AD3A37">
            <w:pPr>
              <w:rPr>
                <w:szCs w:val="20"/>
              </w:rPr>
            </w:pPr>
            <w:r>
              <w:rPr>
                <w:szCs w:val="20"/>
              </w:rPr>
              <w:t>6.</w:t>
            </w:r>
          </w:p>
        </w:tc>
        <w:tc>
          <w:tcPr>
            <w:tcW w:w="487" w:type="pct"/>
            <w:shd w:val="clear" w:color="auto" w:fill="EAF1DD" w:themeFill="accent3" w:themeFillTint="33"/>
          </w:tcPr>
          <w:p w14:paraId="5DFFC803" w14:textId="2A258153" w:rsidR="00041826" w:rsidRDefault="00E96BC4" w:rsidP="00AD3A37">
            <w:r>
              <w:t>Prospective, multicentre</w:t>
            </w:r>
            <w:r w:rsidR="00FB5197">
              <w:t xml:space="preserve"> observational</w:t>
            </w:r>
            <w:r>
              <w:t xml:space="preserve"> cohort comparison to assess diagnostic efficacy of REMS and DXA scans, </w:t>
            </w:r>
            <w:r w:rsidR="00041826">
              <w:t>plus the ability to identify patients with previous osteoporotic fractures.</w:t>
            </w:r>
          </w:p>
        </w:tc>
        <w:tc>
          <w:tcPr>
            <w:tcW w:w="743" w:type="pct"/>
            <w:shd w:val="clear" w:color="auto" w:fill="EAF1DD" w:themeFill="accent3" w:themeFillTint="33"/>
          </w:tcPr>
          <w:p w14:paraId="38A8F109" w14:textId="3A3CA4B6" w:rsidR="00041826" w:rsidRDefault="00041826" w:rsidP="00AD3A37">
            <w:r>
              <w:t xml:space="preserve">Cortet B, Dennison E, Diez-Perex A et al. (in press) Radiofrequency Echographic Multi Spectrometry (REMS) for the diagnosis of osteoporosis in a European multicenter clinical context. </w:t>
            </w:r>
            <w:r>
              <w:cr/>
              <w:t xml:space="preserve">Bone </w:t>
            </w:r>
            <w:r w:rsidR="00A32324">
              <w:t>143: 115786</w:t>
            </w:r>
          </w:p>
        </w:tc>
        <w:tc>
          <w:tcPr>
            <w:tcW w:w="2168" w:type="pct"/>
            <w:shd w:val="clear" w:color="auto" w:fill="EAF1DD" w:themeFill="accent3" w:themeFillTint="33"/>
          </w:tcPr>
          <w:p w14:paraId="17C3321A" w14:textId="31CD948C" w:rsidR="009F0FFC" w:rsidRDefault="00041826" w:rsidP="00AD3A37">
            <w:r>
              <w:t>N=4307 women</w:t>
            </w:r>
            <w:r w:rsidR="009F0FFC">
              <w:t xml:space="preserve">; 30-90 </w:t>
            </w:r>
            <w:proofErr w:type="gramStart"/>
            <w:r w:rsidR="009F0FFC">
              <w:t>yr,</w:t>
            </w:r>
            <w:r>
              <w:t>.</w:t>
            </w:r>
            <w:proofErr w:type="gramEnd"/>
            <w:r>
              <w:t xml:space="preserve"> </w:t>
            </w:r>
            <w:r w:rsidR="009F0FFC">
              <w:t xml:space="preserve">Subgroup </w:t>
            </w:r>
            <w:r w:rsidR="009F0FFC">
              <w:rPr>
                <w:rFonts w:cstheme="minorHAnsi"/>
              </w:rPr>
              <w:t>≥</w:t>
            </w:r>
            <w:r w:rsidR="009F0FFC">
              <w:t>70 years reported.</w:t>
            </w:r>
          </w:p>
          <w:p w14:paraId="0C950F6E" w14:textId="7DD2FD82" w:rsidR="00041826" w:rsidRDefault="00B25A4F" w:rsidP="00B25A4F">
            <w:r>
              <w:t>F</w:t>
            </w:r>
            <w:r w:rsidR="00041826">
              <w:t>emoral neck scans</w:t>
            </w:r>
            <w:r>
              <w:t xml:space="preserve">: </w:t>
            </w:r>
            <w:r w:rsidR="00041826">
              <w:t>linear correlation between the BMD values measured by DXA and REMS was very high</w:t>
            </w:r>
            <w:r>
              <w:t xml:space="preserve"> - </w:t>
            </w:r>
            <w:r w:rsidR="00041826">
              <w:t>Pearson correlation coefficient r = 0.93 and corresponding coefficient of determination r</w:t>
            </w:r>
            <w:r w:rsidR="00041826" w:rsidRPr="00B25A4F">
              <w:rPr>
                <w:vertAlign w:val="superscript"/>
              </w:rPr>
              <w:t>2</w:t>
            </w:r>
            <w:r w:rsidR="00041826">
              <w:t xml:space="preserve"> = 0.86. </w:t>
            </w:r>
          </w:p>
          <w:p w14:paraId="4D7DA9B4" w14:textId="419011FE" w:rsidR="00041826" w:rsidRDefault="00041826" w:rsidP="00AD3A37">
            <w:r>
              <w:t>For the lumbar spine cases</w:t>
            </w:r>
            <w:r w:rsidR="00B25A4F">
              <w:t>:</w:t>
            </w:r>
            <w:r>
              <w:t xml:space="preserve"> Pearson correlation coefficient of 0.94 (r</w:t>
            </w:r>
            <w:r w:rsidRPr="006D0E78">
              <w:rPr>
                <w:vertAlign w:val="superscript"/>
              </w:rPr>
              <w:t>2</w:t>
            </w:r>
            <w:r>
              <w:t xml:space="preserve"> = 0.88).</w:t>
            </w:r>
          </w:p>
          <w:p w14:paraId="68E447D0" w14:textId="44D4E0B4" w:rsidR="00041826" w:rsidRDefault="00B25A4F" w:rsidP="00AD3A37">
            <w:r>
              <w:t xml:space="preserve">Both </w:t>
            </w:r>
            <w:r w:rsidR="00041826">
              <w:t>DXA and REMS discriminated significantly between fractured and non-fractured patients</w:t>
            </w:r>
            <w:r w:rsidR="00CE606C">
              <w:t xml:space="preserve"> based on</w:t>
            </w:r>
            <w:r>
              <w:t xml:space="preserve"> T-score values. </w:t>
            </w:r>
          </w:p>
        </w:tc>
        <w:tc>
          <w:tcPr>
            <w:tcW w:w="923" w:type="pct"/>
            <w:shd w:val="clear" w:color="auto" w:fill="EAF1DD" w:themeFill="accent3" w:themeFillTint="33"/>
          </w:tcPr>
          <w:p w14:paraId="18A3E635" w14:textId="41104739" w:rsidR="00041826" w:rsidRPr="00AB02C0" w:rsidRDefault="00A32324" w:rsidP="00AD3A37">
            <w:r w:rsidRPr="00A32324">
              <w:t>https://www.sciencedirect.com/science/article/pii/S8756328220305743</w:t>
            </w:r>
          </w:p>
        </w:tc>
        <w:tc>
          <w:tcPr>
            <w:tcW w:w="520" w:type="pct"/>
            <w:shd w:val="clear" w:color="auto" w:fill="EAF1DD" w:themeFill="accent3" w:themeFillTint="33"/>
          </w:tcPr>
          <w:p w14:paraId="62C34B74" w14:textId="1CC2522C" w:rsidR="00041826" w:rsidRDefault="00A32324" w:rsidP="00AD3A37">
            <w:r>
              <w:t>2021</w:t>
            </w:r>
          </w:p>
        </w:tc>
      </w:tr>
      <w:tr w:rsidR="00FB5197" w14:paraId="5464743C" w14:textId="77777777" w:rsidTr="00931BDD">
        <w:trPr>
          <w:cantSplit/>
        </w:trPr>
        <w:tc>
          <w:tcPr>
            <w:tcW w:w="159" w:type="pct"/>
            <w:shd w:val="clear" w:color="auto" w:fill="EAF1DD" w:themeFill="accent3" w:themeFillTint="33"/>
          </w:tcPr>
          <w:p w14:paraId="0D93AA7A" w14:textId="0724FB2B" w:rsidR="00DD308E" w:rsidRPr="00965B6B" w:rsidRDefault="00D31195" w:rsidP="00DD308E">
            <w:pPr>
              <w:rPr>
                <w:szCs w:val="20"/>
              </w:rPr>
            </w:pPr>
            <w:r>
              <w:rPr>
                <w:szCs w:val="20"/>
              </w:rPr>
              <w:lastRenderedPageBreak/>
              <w:t>7.</w:t>
            </w:r>
          </w:p>
        </w:tc>
        <w:tc>
          <w:tcPr>
            <w:tcW w:w="487" w:type="pct"/>
            <w:shd w:val="clear" w:color="auto" w:fill="EAF1DD" w:themeFill="accent3" w:themeFillTint="33"/>
          </w:tcPr>
          <w:p w14:paraId="74FFD4B9" w14:textId="07C15583" w:rsidR="00DD308E" w:rsidRDefault="006650EC" w:rsidP="00DD308E">
            <w:pPr>
              <w:rPr>
                <w:b/>
                <w:szCs w:val="20"/>
              </w:rPr>
            </w:pPr>
            <w:r>
              <w:t>M</w:t>
            </w:r>
            <w:r w:rsidRPr="006650EC">
              <w:t>ulticent</w:t>
            </w:r>
            <w:r w:rsidR="004922EC">
              <w:t>re,</w:t>
            </w:r>
            <w:r w:rsidRPr="006650EC">
              <w:t xml:space="preserve"> cross-sectional observational </w:t>
            </w:r>
            <w:r w:rsidR="004922EC">
              <w:t>cohort study</w:t>
            </w:r>
            <w:r>
              <w:t xml:space="preserve"> to assess precision and diagnostic accuracy</w:t>
            </w:r>
            <w:r w:rsidR="00AF2DAD">
              <w:t xml:space="preserve"> for REMS vs. DXA.</w:t>
            </w:r>
          </w:p>
        </w:tc>
        <w:tc>
          <w:tcPr>
            <w:tcW w:w="743" w:type="pct"/>
            <w:shd w:val="clear" w:color="auto" w:fill="EAF1DD" w:themeFill="accent3" w:themeFillTint="33"/>
          </w:tcPr>
          <w:p w14:paraId="1590A536" w14:textId="61BC4EB4" w:rsidR="00DD308E" w:rsidRDefault="00630322" w:rsidP="00630322">
            <w:pPr>
              <w:rPr>
                <w:b/>
                <w:szCs w:val="20"/>
              </w:rPr>
            </w:pPr>
            <w:r>
              <w:t>Di Paola M, Gatti D, Viapiana O et al (2018) Radiofrequency echographic multispectrometry compared with dual X-ray absorptiometry for osteoporosis diagnosis on lumbar spine and femoral neck. Osteoporos Int 30:391–402.</w:t>
            </w:r>
          </w:p>
        </w:tc>
        <w:tc>
          <w:tcPr>
            <w:tcW w:w="2168" w:type="pct"/>
            <w:shd w:val="clear" w:color="auto" w:fill="EAF1DD" w:themeFill="accent3" w:themeFillTint="33"/>
          </w:tcPr>
          <w:p w14:paraId="691EC096" w14:textId="40D0C9EC" w:rsidR="006650EC" w:rsidRDefault="006650EC" w:rsidP="00AF2DAD">
            <w:pPr>
              <w:rPr>
                <w:b/>
                <w:szCs w:val="20"/>
              </w:rPr>
            </w:pPr>
            <w:r>
              <w:t xml:space="preserve">N=1914 postmenopausal women </w:t>
            </w:r>
            <w:r w:rsidR="00AF2DAD">
              <w:t>(s</w:t>
            </w:r>
            <w:r>
              <w:t xml:space="preserve">ome patients </w:t>
            </w:r>
            <w:r w:rsidR="00DF0149">
              <w:t>not included in analyses</w:t>
            </w:r>
            <w:r>
              <w:t xml:space="preserve"> </w:t>
            </w:r>
            <w:r w:rsidR="00AF2DAD">
              <w:t xml:space="preserve">due to </w:t>
            </w:r>
            <w:r>
              <w:t>errors during REMS or DXA scanning process</w:t>
            </w:r>
            <w:r w:rsidR="00AF2DAD">
              <w:t>)</w:t>
            </w:r>
            <w:r>
              <w:t xml:space="preserve">. </w:t>
            </w:r>
            <w:r w:rsidR="00AF2DAD">
              <w:rPr>
                <w:bCs/>
                <w:szCs w:val="20"/>
              </w:rPr>
              <w:t>There was</w:t>
            </w:r>
            <w:r w:rsidRPr="006650EC">
              <w:rPr>
                <w:bCs/>
                <w:szCs w:val="20"/>
              </w:rPr>
              <w:t xml:space="preserve"> good agreement </w:t>
            </w:r>
            <w:r w:rsidR="00AF2DAD">
              <w:rPr>
                <w:bCs/>
                <w:szCs w:val="20"/>
              </w:rPr>
              <w:t>between REMS and</w:t>
            </w:r>
            <w:r w:rsidRPr="006650EC">
              <w:rPr>
                <w:bCs/>
                <w:szCs w:val="20"/>
              </w:rPr>
              <w:t xml:space="preserve"> DXA: the average</w:t>
            </w:r>
            <w:r>
              <w:rPr>
                <w:bCs/>
                <w:szCs w:val="20"/>
              </w:rPr>
              <w:t xml:space="preserve"> </w:t>
            </w:r>
            <w:r w:rsidRPr="006650EC">
              <w:rPr>
                <w:bCs/>
                <w:szCs w:val="20"/>
              </w:rPr>
              <w:t>difference in BMD</w:t>
            </w:r>
            <w:r w:rsidR="00AF2DAD">
              <w:rPr>
                <w:bCs/>
                <w:szCs w:val="20"/>
              </w:rPr>
              <w:t xml:space="preserve"> (</w:t>
            </w:r>
            <w:r w:rsidRPr="006650EC">
              <w:rPr>
                <w:bCs/>
                <w:szCs w:val="20"/>
              </w:rPr>
              <w:t>bias ± 2SD) was −0.004 ± 0.088 g/cm</w:t>
            </w:r>
            <w:r w:rsidRPr="00AF2DAD">
              <w:rPr>
                <w:bCs/>
                <w:szCs w:val="20"/>
                <w:vertAlign w:val="superscript"/>
              </w:rPr>
              <w:t>2</w:t>
            </w:r>
            <w:r w:rsidRPr="006650EC">
              <w:rPr>
                <w:bCs/>
                <w:szCs w:val="20"/>
              </w:rPr>
              <w:t xml:space="preserve"> for spine and − 0.006 ± 0.076 g/cm</w:t>
            </w:r>
            <w:r w:rsidRPr="00AF2DAD">
              <w:rPr>
                <w:bCs/>
                <w:szCs w:val="20"/>
                <w:vertAlign w:val="superscript"/>
              </w:rPr>
              <w:t>2</w:t>
            </w:r>
            <w:r w:rsidRPr="006650EC">
              <w:rPr>
                <w:bCs/>
                <w:szCs w:val="20"/>
              </w:rPr>
              <w:t xml:space="preserve"> for femur</w:t>
            </w:r>
            <w:r w:rsidR="00AF2DAD">
              <w:rPr>
                <w:bCs/>
                <w:szCs w:val="20"/>
              </w:rPr>
              <w:t>; demonstrating</w:t>
            </w:r>
            <w:r w:rsidRPr="006650EC">
              <w:rPr>
                <w:bCs/>
                <w:szCs w:val="20"/>
              </w:rPr>
              <w:t>.</w:t>
            </w:r>
            <w:r>
              <w:rPr>
                <w:bCs/>
                <w:szCs w:val="20"/>
              </w:rPr>
              <w:t xml:space="preserve"> </w:t>
            </w:r>
            <w:r w:rsidRPr="006650EC">
              <w:rPr>
                <w:bCs/>
                <w:szCs w:val="20"/>
              </w:rPr>
              <w:t>accuracy and precision</w:t>
            </w:r>
            <w:r w:rsidR="00AF2DAD">
              <w:rPr>
                <w:bCs/>
                <w:szCs w:val="20"/>
              </w:rPr>
              <w:t xml:space="preserve"> for REMS in assessing fracture risk</w:t>
            </w:r>
            <w:r w:rsidRPr="006650EC">
              <w:rPr>
                <w:bCs/>
                <w:szCs w:val="20"/>
              </w:rPr>
              <w:t>.</w:t>
            </w:r>
          </w:p>
        </w:tc>
        <w:tc>
          <w:tcPr>
            <w:tcW w:w="923" w:type="pct"/>
            <w:shd w:val="clear" w:color="auto" w:fill="EAF1DD" w:themeFill="accent3" w:themeFillTint="33"/>
          </w:tcPr>
          <w:p w14:paraId="5BCF2EA1" w14:textId="0666989C" w:rsidR="00DD308E" w:rsidRPr="00E82F54" w:rsidRDefault="00630322" w:rsidP="00DD308E">
            <w:pPr>
              <w:rPr>
                <w:b/>
                <w:szCs w:val="20"/>
              </w:rPr>
            </w:pPr>
            <w:r w:rsidRPr="00630322">
              <w:t>https://link.springer.com/article/10.1007/s00198-018-4686-3</w:t>
            </w:r>
          </w:p>
        </w:tc>
        <w:tc>
          <w:tcPr>
            <w:tcW w:w="520" w:type="pct"/>
            <w:shd w:val="clear" w:color="auto" w:fill="EAF1DD" w:themeFill="accent3" w:themeFillTint="33"/>
          </w:tcPr>
          <w:p w14:paraId="363CC529" w14:textId="3E651A33" w:rsidR="00DD308E" w:rsidRPr="00E82F54" w:rsidRDefault="00630322" w:rsidP="00DD308E">
            <w:pPr>
              <w:rPr>
                <w:b/>
                <w:szCs w:val="20"/>
              </w:rPr>
            </w:pPr>
            <w:r>
              <w:t>2019</w:t>
            </w:r>
          </w:p>
        </w:tc>
      </w:tr>
      <w:tr w:rsidR="00FB5197" w14:paraId="3182D5D3" w14:textId="77777777" w:rsidTr="00931BDD">
        <w:trPr>
          <w:cantSplit/>
        </w:trPr>
        <w:tc>
          <w:tcPr>
            <w:tcW w:w="159" w:type="pct"/>
          </w:tcPr>
          <w:p w14:paraId="2385232E" w14:textId="3053E0E1" w:rsidR="001960CD" w:rsidRDefault="00D31195" w:rsidP="00DD308E">
            <w:pPr>
              <w:rPr>
                <w:szCs w:val="20"/>
              </w:rPr>
            </w:pPr>
            <w:r>
              <w:rPr>
                <w:szCs w:val="20"/>
              </w:rPr>
              <w:t>8.</w:t>
            </w:r>
          </w:p>
        </w:tc>
        <w:tc>
          <w:tcPr>
            <w:tcW w:w="487" w:type="pct"/>
          </w:tcPr>
          <w:p w14:paraId="45A35149" w14:textId="087A5469" w:rsidR="001960CD" w:rsidRDefault="00902D39" w:rsidP="00DD308E">
            <w:r>
              <w:t xml:space="preserve">Prospective </w:t>
            </w:r>
            <w:r w:rsidR="00FB5197">
              <w:t xml:space="preserve">observational </w:t>
            </w:r>
            <w:r>
              <w:t>cohort comparison of REMS and DXA scans.</w:t>
            </w:r>
          </w:p>
        </w:tc>
        <w:tc>
          <w:tcPr>
            <w:tcW w:w="743" w:type="pct"/>
          </w:tcPr>
          <w:p w14:paraId="2572327D" w14:textId="5227E905" w:rsidR="001960CD" w:rsidRDefault="00902D39" w:rsidP="001960CD">
            <w:r>
              <w:t xml:space="preserve">M.D. Tomai Pitinca, C. Caffarelli, S. Gonnelli (2020). </w:t>
            </w:r>
            <w:r w:rsidR="001960CD">
              <w:t>Use of REMS technology in patients with spine artifacts.: A new diagnostic opportunity</w:t>
            </w:r>
            <w:r>
              <w:t>. Presented at The International Society for Clinical Densitometry (ISCD) 2020.</w:t>
            </w:r>
          </w:p>
        </w:tc>
        <w:tc>
          <w:tcPr>
            <w:tcW w:w="2168" w:type="pct"/>
          </w:tcPr>
          <w:p w14:paraId="2907BE80" w14:textId="1BA69AC6" w:rsidR="001960CD" w:rsidRDefault="00902D39" w:rsidP="00902D39">
            <w:r>
              <w:t xml:space="preserve">N=86 females. BMD assessed by REMS showed lower values in the spine compared to DXA: BMD 0.772 ± 0.065 vs 1.067 ± 0.210; T-score -2.5 ± 0.6 vs 0.2 ± 1.8. The BMD and T-score values measured with REMS and DEXA at the femoral site were highly correlated (p &lt;0.01). </w:t>
            </w:r>
          </w:p>
        </w:tc>
        <w:tc>
          <w:tcPr>
            <w:tcW w:w="923" w:type="pct"/>
          </w:tcPr>
          <w:p w14:paraId="0998477E" w14:textId="5D9166C9" w:rsidR="001960CD" w:rsidRDefault="00D63788" w:rsidP="00DD308E">
            <w:hyperlink r:id="rId12" w:history="1">
              <w:r w:rsidR="00D95635" w:rsidRPr="00AB3750">
                <w:rPr>
                  <w:rStyle w:val="Hyperlink"/>
                </w:rPr>
                <w:t>https://www.echolightmedical.com/iscd-2020/</w:t>
              </w:r>
            </w:hyperlink>
          </w:p>
          <w:p w14:paraId="4481128D" w14:textId="77777777" w:rsidR="00D95635" w:rsidRDefault="00D95635" w:rsidP="00DD308E"/>
          <w:p w14:paraId="29240D38" w14:textId="26931019" w:rsidR="00D95635" w:rsidRPr="00630322" w:rsidRDefault="00D95635" w:rsidP="00D95635"/>
        </w:tc>
        <w:tc>
          <w:tcPr>
            <w:tcW w:w="520" w:type="pct"/>
          </w:tcPr>
          <w:p w14:paraId="5ACDA873" w14:textId="77777777" w:rsidR="00902D39" w:rsidRDefault="001960CD" w:rsidP="00DD308E">
            <w:r>
              <w:t>2020</w:t>
            </w:r>
          </w:p>
          <w:p w14:paraId="653B01DC" w14:textId="77777777" w:rsidR="00902D39" w:rsidRDefault="00902D39" w:rsidP="00DD308E"/>
          <w:p w14:paraId="671BD337" w14:textId="1017E101" w:rsidR="00902D39" w:rsidRDefault="00902D39" w:rsidP="00DD308E">
            <w:r>
              <w:t>Conference presentation</w:t>
            </w:r>
            <w:r w:rsidR="00D31195">
              <w:t>/ abstract</w:t>
            </w:r>
          </w:p>
        </w:tc>
      </w:tr>
      <w:tr w:rsidR="00FB5197" w14:paraId="430334B3" w14:textId="77777777" w:rsidTr="00931BDD">
        <w:trPr>
          <w:cantSplit/>
        </w:trPr>
        <w:tc>
          <w:tcPr>
            <w:tcW w:w="159" w:type="pct"/>
          </w:tcPr>
          <w:p w14:paraId="0E5A594B" w14:textId="4601A3DB" w:rsidR="00D95635" w:rsidRDefault="002736E6" w:rsidP="00DD308E">
            <w:pPr>
              <w:rPr>
                <w:szCs w:val="20"/>
              </w:rPr>
            </w:pPr>
            <w:r>
              <w:rPr>
                <w:szCs w:val="20"/>
              </w:rPr>
              <w:lastRenderedPageBreak/>
              <w:t>9.</w:t>
            </w:r>
          </w:p>
        </w:tc>
        <w:tc>
          <w:tcPr>
            <w:tcW w:w="487" w:type="pct"/>
          </w:tcPr>
          <w:p w14:paraId="3B204160" w14:textId="20A86A59" w:rsidR="00D95635" w:rsidRDefault="00D95635" w:rsidP="00DD308E">
            <w:r>
              <w:t xml:space="preserve">Prospective </w:t>
            </w:r>
            <w:r w:rsidR="00FB5197">
              <w:t xml:space="preserve">observational </w:t>
            </w:r>
            <w:r>
              <w:t>cohort</w:t>
            </w:r>
          </w:p>
        </w:tc>
        <w:tc>
          <w:tcPr>
            <w:tcW w:w="743" w:type="pct"/>
          </w:tcPr>
          <w:p w14:paraId="5F78E361" w14:textId="1C0FE7AE" w:rsidR="00D95635" w:rsidRDefault="00D95635" w:rsidP="00D95635">
            <w:r>
              <w:t xml:space="preserve">M.D. Tomai Pitinca, C. Caffarelli, S. Gonnelli (2020). P-529 REMS technology a new diagnostic approach in patients with spine artifacts. </w:t>
            </w:r>
            <w:r w:rsidR="00354B72">
              <w:t>American Society for Bone and Mineral Research (ASBMR) Annual Meeting 2020</w:t>
            </w:r>
          </w:p>
        </w:tc>
        <w:tc>
          <w:tcPr>
            <w:tcW w:w="2168" w:type="pct"/>
          </w:tcPr>
          <w:p w14:paraId="776993E9" w14:textId="77777777" w:rsidR="00D95635" w:rsidRDefault="00354B72" w:rsidP="00902D39">
            <w:r>
              <w:t>N=86 females</w:t>
            </w:r>
          </w:p>
          <w:p w14:paraId="3BB7E278" w14:textId="3D370891" w:rsidR="00354B72" w:rsidRDefault="0019179A" w:rsidP="00902D39">
            <w:r>
              <w:t>Methodology and results a</w:t>
            </w:r>
            <w:r w:rsidR="00354B72">
              <w:t>s above in Tomai Pitinca et al. 2020 presented at ISCD.</w:t>
            </w:r>
          </w:p>
        </w:tc>
        <w:tc>
          <w:tcPr>
            <w:tcW w:w="923" w:type="pct"/>
          </w:tcPr>
          <w:p w14:paraId="4D75E478" w14:textId="77777777" w:rsidR="00D95635" w:rsidRDefault="00D63788" w:rsidP="00D95635">
            <w:hyperlink r:id="rId13" w:history="1">
              <w:r w:rsidR="00D95635" w:rsidRPr="00AB3750">
                <w:rPr>
                  <w:rStyle w:val="Hyperlink"/>
                </w:rPr>
                <w:t>https://www.echolightmedical.com/wp-content/uploads/2020/10/ASBMR2020-P-529-REMS-technology-a-new-diagnostic-approach-in-patients-with-spine-artifacts.pdf</w:t>
              </w:r>
            </w:hyperlink>
          </w:p>
          <w:p w14:paraId="1877F475" w14:textId="77777777" w:rsidR="00D95635" w:rsidRDefault="00D95635" w:rsidP="00DD308E"/>
        </w:tc>
        <w:tc>
          <w:tcPr>
            <w:tcW w:w="520" w:type="pct"/>
          </w:tcPr>
          <w:p w14:paraId="6DC74E0C" w14:textId="77777777" w:rsidR="00D95635" w:rsidRDefault="00D95635" w:rsidP="00DD308E">
            <w:r>
              <w:t>2020</w:t>
            </w:r>
            <w:r w:rsidR="00354B72">
              <w:t xml:space="preserve"> Conference Abstract.</w:t>
            </w:r>
          </w:p>
          <w:p w14:paraId="4CE9DE55" w14:textId="4E23FC99" w:rsidR="00354B72" w:rsidRDefault="00354B72" w:rsidP="00DD308E">
            <w:r>
              <w:t>Same data as Tomai Pitinca ISCD 2020 presentation.</w:t>
            </w:r>
          </w:p>
        </w:tc>
      </w:tr>
      <w:tr w:rsidR="00FB5197" w14:paraId="5F291DCE" w14:textId="77777777" w:rsidTr="00931BDD">
        <w:trPr>
          <w:cantSplit/>
        </w:trPr>
        <w:tc>
          <w:tcPr>
            <w:tcW w:w="159" w:type="pct"/>
            <w:shd w:val="clear" w:color="auto" w:fill="EAF1DD" w:themeFill="accent3" w:themeFillTint="33"/>
          </w:tcPr>
          <w:p w14:paraId="23EEF4F6" w14:textId="0D86AF34" w:rsidR="00E90873" w:rsidRDefault="002736E6" w:rsidP="00DD308E">
            <w:pPr>
              <w:rPr>
                <w:szCs w:val="20"/>
              </w:rPr>
            </w:pPr>
            <w:r>
              <w:rPr>
                <w:szCs w:val="20"/>
              </w:rPr>
              <w:t>10</w:t>
            </w:r>
          </w:p>
        </w:tc>
        <w:tc>
          <w:tcPr>
            <w:tcW w:w="487" w:type="pct"/>
            <w:shd w:val="clear" w:color="auto" w:fill="EAF1DD" w:themeFill="accent3" w:themeFillTint="33"/>
          </w:tcPr>
          <w:p w14:paraId="21383C30" w14:textId="174B1C22" w:rsidR="00E90873" w:rsidRDefault="0019179A" w:rsidP="00DD308E">
            <w:r>
              <w:t>C</w:t>
            </w:r>
            <w:r w:rsidR="00833AD9">
              <w:t xml:space="preserve">ohort </w:t>
            </w:r>
            <w:r w:rsidR="00FB5197">
              <w:t xml:space="preserve">observational </w:t>
            </w:r>
            <w:r w:rsidR="00833AD9">
              <w:t>comparison of REMS vs. DXA.</w:t>
            </w:r>
          </w:p>
        </w:tc>
        <w:tc>
          <w:tcPr>
            <w:tcW w:w="743" w:type="pct"/>
            <w:shd w:val="clear" w:color="auto" w:fill="EAF1DD" w:themeFill="accent3" w:themeFillTint="33"/>
          </w:tcPr>
          <w:p w14:paraId="6B7DB478" w14:textId="291AF829" w:rsidR="00E90873" w:rsidRDefault="00E90873" w:rsidP="00D95635">
            <w:r>
              <w:t>M.D. Tomai Pitinca, C. Caffarelli, S. Gonnelli (2020).</w:t>
            </w:r>
            <w:r w:rsidR="0019179A">
              <w:t xml:space="preserve"> REMS technology applied to rheumatic diseases</w:t>
            </w:r>
          </w:p>
          <w:p w14:paraId="0569C778" w14:textId="50814AD1" w:rsidR="0019179A" w:rsidRDefault="0019179A" w:rsidP="00D95635">
            <w:r>
              <w:t>European Congress of Rheumatology (EULAR) 2020</w:t>
            </w:r>
          </w:p>
        </w:tc>
        <w:tc>
          <w:tcPr>
            <w:tcW w:w="2168" w:type="pct"/>
            <w:shd w:val="clear" w:color="auto" w:fill="EAF1DD" w:themeFill="accent3" w:themeFillTint="33"/>
          </w:tcPr>
          <w:p w14:paraId="46160BC1" w14:textId="1E044D2A" w:rsidR="0019179A" w:rsidRDefault="0019179A" w:rsidP="00833AD9">
            <w:r>
              <w:t xml:space="preserve">N=20 </w:t>
            </w:r>
            <w:proofErr w:type="gramStart"/>
            <w:r>
              <w:t>females</w:t>
            </w:r>
            <w:proofErr w:type="gramEnd"/>
            <w:r>
              <w:t xml:space="preserve"> patients. 18 lumbar and 20 femoral exams (DEXA vs REMS) were compared.</w:t>
            </w:r>
            <w:r w:rsidR="00833AD9">
              <w:t xml:space="preserve"> E</w:t>
            </w:r>
            <w:r>
              <w:t>xams performed show a good diagnostic match (&gt;60%LS and &gt;85% FEMORE). The</w:t>
            </w:r>
            <w:r w:rsidR="00833AD9">
              <w:t xml:space="preserve"> </w:t>
            </w:r>
            <w:r>
              <w:t>tests that didn’t show diagnostic concordance were those affected by arthrosis processes (greater</w:t>
            </w:r>
            <w:r w:rsidR="00833AD9">
              <w:t xml:space="preserve"> </w:t>
            </w:r>
            <w:r>
              <w:t>on the Spine). The REMS T-score values were lower than those obtained with the DXA method.</w:t>
            </w:r>
          </w:p>
        </w:tc>
        <w:tc>
          <w:tcPr>
            <w:tcW w:w="923" w:type="pct"/>
            <w:shd w:val="clear" w:color="auto" w:fill="EAF1DD" w:themeFill="accent3" w:themeFillTint="33"/>
          </w:tcPr>
          <w:p w14:paraId="56CDB7B0" w14:textId="374D27E8" w:rsidR="00E90873" w:rsidRDefault="00833AD9" w:rsidP="00D95635">
            <w:r w:rsidRPr="00833AD9">
              <w:t>https://www.echolight.it/wp-content/uploads/2020/10/REMS-Technology-applied-to-rheumatic-diseases-EULAR2020.pdf</w:t>
            </w:r>
          </w:p>
        </w:tc>
        <w:tc>
          <w:tcPr>
            <w:tcW w:w="520" w:type="pct"/>
            <w:shd w:val="clear" w:color="auto" w:fill="EAF1DD" w:themeFill="accent3" w:themeFillTint="33"/>
          </w:tcPr>
          <w:p w14:paraId="2D0CCD34" w14:textId="2F9B92BC" w:rsidR="00E90873" w:rsidRDefault="00833AD9" w:rsidP="00DD308E">
            <w:r>
              <w:t>2020</w:t>
            </w:r>
          </w:p>
        </w:tc>
      </w:tr>
      <w:tr w:rsidR="004922EC" w:rsidRPr="002D0E6E" w14:paraId="4D09117B" w14:textId="77777777" w:rsidTr="00931BDD">
        <w:trPr>
          <w:cantSplit/>
        </w:trPr>
        <w:tc>
          <w:tcPr>
            <w:tcW w:w="5000" w:type="pct"/>
            <w:gridSpan w:val="6"/>
            <w:shd w:val="clear" w:color="auto" w:fill="FBD4B4" w:themeFill="accent6" w:themeFillTint="66"/>
          </w:tcPr>
          <w:p w14:paraId="6E8059FC" w14:textId="7C0FF6CA" w:rsidR="004922EC" w:rsidRPr="002D0E6E" w:rsidRDefault="004922EC" w:rsidP="00931BDD">
            <w:pPr>
              <w:pageBreakBefore/>
              <w:rPr>
                <w:b/>
                <w:bCs/>
              </w:rPr>
            </w:pPr>
            <w:r w:rsidRPr="002D0E6E">
              <w:rPr>
                <w:b/>
                <w:bCs/>
              </w:rPr>
              <w:lastRenderedPageBreak/>
              <w:t xml:space="preserve">Non-comparative </w:t>
            </w:r>
            <w:r w:rsidR="00F3065D">
              <w:rPr>
                <w:b/>
                <w:bCs/>
              </w:rPr>
              <w:t xml:space="preserve">Echolight </w:t>
            </w:r>
            <w:r w:rsidRPr="002D0E6E">
              <w:rPr>
                <w:b/>
                <w:bCs/>
              </w:rPr>
              <w:t xml:space="preserve">studies (i.e. </w:t>
            </w:r>
            <w:r w:rsidRPr="00F3065D">
              <w:rPr>
                <w:b/>
                <w:bCs/>
                <w:u w:val="single"/>
              </w:rPr>
              <w:t>no</w:t>
            </w:r>
            <w:r w:rsidRPr="002D0E6E">
              <w:rPr>
                <w:b/>
                <w:bCs/>
              </w:rPr>
              <w:t xml:space="preserve"> comparison of REMS vs. DXA scanning</w:t>
            </w:r>
            <w:r w:rsidR="00F3065D">
              <w:rPr>
                <w:b/>
                <w:bCs/>
              </w:rPr>
              <w:t>; other clinical comparisons are reported)</w:t>
            </w:r>
          </w:p>
        </w:tc>
      </w:tr>
      <w:tr w:rsidR="00FB5197" w14:paraId="7FB6ADEB" w14:textId="77777777" w:rsidTr="00931BDD">
        <w:trPr>
          <w:cantSplit/>
        </w:trPr>
        <w:tc>
          <w:tcPr>
            <w:tcW w:w="159" w:type="pct"/>
            <w:shd w:val="clear" w:color="auto" w:fill="DBE5F1" w:themeFill="accent1" w:themeFillTint="33"/>
          </w:tcPr>
          <w:p w14:paraId="67330A35" w14:textId="672EE7FC" w:rsidR="002D0E6E" w:rsidRDefault="002736E6" w:rsidP="00AD3A37">
            <w:pPr>
              <w:rPr>
                <w:szCs w:val="20"/>
              </w:rPr>
            </w:pPr>
            <w:r>
              <w:rPr>
                <w:szCs w:val="20"/>
              </w:rPr>
              <w:t>11</w:t>
            </w:r>
          </w:p>
        </w:tc>
        <w:tc>
          <w:tcPr>
            <w:tcW w:w="487" w:type="pct"/>
            <w:shd w:val="clear" w:color="auto" w:fill="DBE5F1" w:themeFill="accent1" w:themeFillTint="33"/>
          </w:tcPr>
          <w:p w14:paraId="2C1B87D8" w14:textId="77777777" w:rsidR="002D0E6E" w:rsidRDefault="002D0E6E" w:rsidP="00AD3A37">
            <w:r>
              <w:t>Prospective cohort study using REMS to measure BMD in rheumatoid arthritis (RA) and non-RA controls.</w:t>
            </w:r>
          </w:p>
          <w:p w14:paraId="5C0197AF" w14:textId="30D43718" w:rsidR="002D0E6E" w:rsidRDefault="002D0E6E" w:rsidP="00AD3A37"/>
        </w:tc>
        <w:tc>
          <w:tcPr>
            <w:tcW w:w="743" w:type="pct"/>
            <w:shd w:val="clear" w:color="auto" w:fill="DBE5F1" w:themeFill="accent1" w:themeFillTint="33"/>
          </w:tcPr>
          <w:p w14:paraId="4424F575" w14:textId="77777777" w:rsidR="002D0E6E" w:rsidRDefault="002D0E6E" w:rsidP="00AD3A37">
            <w:r>
              <w:t xml:space="preserve">Bojinca V, Popescu C, Decianu R et al. (2019). </w:t>
            </w:r>
            <w:r w:rsidRPr="00952EDA">
              <w:t>A novel quantitative method for estimating bone mineral density using B</w:t>
            </w:r>
            <w:r w:rsidRPr="00952EDA">
              <w:rPr>
                <w:rFonts w:ascii="Cambria Math" w:hAnsi="Cambria Math" w:cs="Cambria Math"/>
              </w:rPr>
              <w:t>‑</w:t>
            </w:r>
            <w:r w:rsidRPr="00952EDA">
              <w:t>mode ultrasound and radiofrequency signals</w:t>
            </w:r>
            <w:r w:rsidRPr="00952EDA">
              <w:rPr>
                <w:rFonts w:ascii="Cambria Math" w:hAnsi="Cambria Math" w:cs="Cambria Math"/>
              </w:rPr>
              <w:t>‑</w:t>
            </w:r>
            <w:r w:rsidRPr="00952EDA">
              <w:t>a pilot study on patients with rheumatoid arthritis</w:t>
            </w:r>
            <w:r>
              <w:t xml:space="preserve">. Experimental and Therapeutic Medicine. 18(3)P:1661-1668. </w:t>
            </w:r>
            <w:r w:rsidRPr="0045541A">
              <w:t>DOI: 10.3892/etm.2019.7746</w:t>
            </w:r>
          </w:p>
        </w:tc>
        <w:tc>
          <w:tcPr>
            <w:tcW w:w="2168" w:type="pct"/>
            <w:shd w:val="clear" w:color="auto" w:fill="DBE5F1" w:themeFill="accent1" w:themeFillTint="33"/>
          </w:tcPr>
          <w:p w14:paraId="58E95E06" w14:textId="0CD45E1C" w:rsidR="002D0E6E" w:rsidRDefault="002D0E6E" w:rsidP="00AD3A37">
            <w:r>
              <w:t>N=106 with RA, N=119 controls</w:t>
            </w:r>
            <w:r w:rsidRPr="00522166">
              <w:t xml:space="preserve">. RA patients had a significantly lower spine and hip BMD, higher fracture risk and higher prevalence of osteoporosis. Compared to RA patients without osteoporosis, those with osteoporosis were significantly older and had a longer menopause duration, but they had a significantly lower BMI, body fat, BMR and prevalence of obesity. </w:t>
            </w:r>
          </w:p>
        </w:tc>
        <w:tc>
          <w:tcPr>
            <w:tcW w:w="923" w:type="pct"/>
            <w:shd w:val="clear" w:color="auto" w:fill="DBE5F1" w:themeFill="accent1" w:themeFillTint="33"/>
          </w:tcPr>
          <w:p w14:paraId="2B740B2D" w14:textId="39620BF9" w:rsidR="002D0E6E" w:rsidRDefault="00D63788" w:rsidP="00AD3A37">
            <w:hyperlink r:id="rId14" w:history="1">
              <w:r w:rsidR="00457A9F" w:rsidRPr="00F72769">
                <w:rPr>
                  <w:rStyle w:val="Hyperlink"/>
                </w:rPr>
                <w:t>https://www.ncbi.nlm.nih.gov/pmc/articles/PMC6676208/</w:t>
              </w:r>
            </w:hyperlink>
          </w:p>
          <w:p w14:paraId="0BC8E1D4" w14:textId="55AB65FA" w:rsidR="00457A9F" w:rsidRPr="00952EDA" w:rsidRDefault="00457A9F" w:rsidP="00AD3A37"/>
        </w:tc>
        <w:tc>
          <w:tcPr>
            <w:tcW w:w="520" w:type="pct"/>
            <w:shd w:val="clear" w:color="auto" w:fill="DBE5F1" w:themeFill="accent1" w:themeFillTint="33"/>
          </w:tcPr>
          <w:p w14:paraId="348C26BB" w14:textId="77777777" w:rsidR="002D0E6E" w:rsidRDefault="002D0E6E" w:rsidP="00AD3A37">
            <w:r>
              <w:t>September 2019</w:t>
            </w:r>
          </w:p>
        </w:tc>
      </w:tr>
      <w:tr w:rsidR="00FB5197" w14:paraId="7C748416" w14:textId="77777777" w:rsidTr="00931BDD">
        <w:trPr>
          <w:cantSplit/>
        </w:trPr>
        <w:tc>
          <w:tcPr>
            <w:tcW w:w="159" w:type="pct"/>
          </w:tcPr>
          <w:p w14:paraId="31080FF5" w14:textId="500B93B8" w:rsidR="00F3065D" w:rsidRPr="00965B6B" w:rsidRDefault="002736E6" w:rsidP="0065191F">
            <w:pPr>
              <w:rPr>
                <w:szCs w:val="20"/>
              </w:rPr>
            </w:pPr>
            <w:r>
              <w:rPr>
                <w:szCs w:val="20"/>
              </w:rPr>
              <w:lastRenderedPageBreak/>
              <w:t>12</w:t>
            </w:r>
          </w:p>
        </w:tc>
        <w:tc>
          <w:tcPr>
            <w:tcW w:w="487" w:type="pct"/>
          </w:tcPr>
          <w:p w14:paraId="1D58E6B3" w14:textId="77777777" w:rsidR="00F3065D" w:rsidRDefault="00F3065D" w:rsidP="0065191F">
            <w:pPr>
              <w:rPr>
                <w:b/>
                <w:szCs w:val="20"/>
              </w:rPr>
            </w:pPr>
            <w:r>
              <w:t xml:space="preserve">Observational </w:t>
            </w:r>
            <w:r w:rsidRPr="002D0E6E">
              <w:t xml:space="preserve">cohorts </w:t>
            </w:r>
            <w:r w:rsidRPr="002D0E6E">
              <w:rPr>
                <w:szCs w:val="20"/>
              </w:rPr>
              <w:t>to assess the influence of the variation 1) in patient position, 2) operator (both intra- and inter-) and 3) device on the REMS performance at lumbar spine and femoral neck.</w:t>
            </w:r>
          </w:p>
        </w:tc>
        <w:tc>
          <w:tcPr>
            <w:tcW w:w="743" w:type="pct"/>
          </w:tcPr>
          <w:p w14:paraId="76971972" w14:textId="77777777" w:rsidR="00F3065D" w:rsidRDefault="00F3065D" w:rsidP="0065191F">
            <w:pPr>
              <w:rPr>
                <w:b/>
                <w:szCs w:val="20"/>
              </w:rPr>
            </w:pPr>
            <w:r>
              <w:t xml:space="preserve">Caffarelli C, Adami G, Arioli G. Influence of the variation of the operator, patient position and device on the measurement performance of radiofrequency echographic multi spectrometry (REMS) (2020). Ann Rheum Dis 1830 AB1082. </w:t>
            </w:r>
          </w:p>
        </w:tc>
        <w:tc>
          <w:tcPr>
            <w:tcW w:w="2168" w:type="pct"/>
          </w:tcPr>
          <w:p w14:paraId="1DB82201" w14:textId="77777777" w:rsidR="00F3065D" w:rsidRDefault="00F3065D" w:rsidP="00931BDD">
            <w:pPr>
              <w:spacing w:before="0" w:after="60"/>
              <w:rPr>
                <w:bCs/>
                <w:szCs w:val="20"/>
              </w:rPr>
            </w:pPr>
            <w:r>
              <w:t xml:space="preserve">N=210, divided in to 7 groups of 30. </w:t>
            </w:r>
          </w:p>
          <w:p w14:paraId="3BFD2FF1" w14:textId="77777777" w:rsidR="00F3065D" w:rsidRDefault="00F3065D" w:rsidP="00931BDD">
            <w:pPr>
              <w:spacing w:before="0" w:after="60"/>
              <w:rPr>
                <w:bCs/>
                <w:szCs w:val="20"/>
              </w:rPr>
            </w:pPr>
            <w:r w:rsidRPr="002D0E6E">
              <w:rPr>
                <w:bCs/>
                <w:szCs w:val="20"/>
              </w:rPr>
              <w:t>The percentage coefficient</w:t>
            </w:r>
            <w:r>
              <w:rPr>
                <w:bCs/>
                <w:szCs w:val="20"/>
              </w:rPr>
              <w:t xml:space="preserve"> </w:t>
            </w:r>
            <w:r w:rsidRPr="002D0E6E">
              <w:rPr>
                <w:bCs/>
                <w:szCs w:val="20"/>
              </w:rPr>
              <w:t xml:space="preserve">of variation (CV%) with 95% </w:t>
            </w:r>
            <w:r>
              <w:rPr>
                <w:bCs/>
                <w:szCs w:val="20"/>
              </w:rPr>
              <w:t>CI</w:t>
            </w:r>
            <w:r w:rsidRPr="002D0E6E">
              <w:rPr>
                <w:bCs/>
                <w:szCs w:val="20"/>
              </w:rPr>
              <w:t xml:space="preserve"> and least significant change for</w:t>
            </w:r>
            <w:r>
              <w:rPr>
                <w:bCs/>
                <w:szCs w:val="20"/>
              </w:rPr>
              <w:t xml:space="preserve"> </w:t>
            </w:r>
            <w:r w:rsidRPr="002D0E6E">
              <w:rPr>
                <w:bCs/>
                <w:szCs w:val="20"/>
              </w:rPr>
              <w:t>a 95% confidence level (LSC).</w:t>
            </w:r>
          </w:p>
          <w:p w14:paraId="7B251780" w14:textId="77777777" w:rsidR="00F3065D" w:rsidRDefault="00F3065D" w:rsidP="00931BDD">
            <w:pPr>
              <w:spacing w:before="0" w:after="60"/>
              <w:rPr>
                <w:bCs/>
                <w:szCs w:val="20"/>
              </w:rPr>
            </w:pPr>
            <w:r>
              <w:rPr>
                <w:bCs/>
                <w:szCs w:val="20"/>
              </w:rPr>
              <w:t>For lumbar spine</w:t>
            </w:r>
          </w:p>
          <w:p w14:paraId="5903795E" w14:textId="77777777" w:rsidR="00F3065D" w:rsidRDefault="00F3065D" w:rsidP="00931BDD">
            <w:pPr>
              <w:pStyle w:val="ListParagraph"/>
              <w:numPr>
                <w:ilvl w:val="0"/>
                <w:numId w:val="39"/>
              </w:numPr>
              <w:spacing w:before="0" w:after="60"/>
              <w:ind w:left="714" w:hanging="357"/>
              <w:contextualSpacing w:val="0"/>
              <w:rPr>
                <w:szCs w:val="20"/>
              </w:rPr>
            </w:pPr>
            <w:r w:rsidRPr="00624125">
              <w:rPr>
                <w:szCs w:val="20"/>
              </w:rPr>
              <w:t xml:space="preserve">intra-operator repeatability CV%=0.37% (95%CI: 0.26%-0.48%), LSC=1.02%, </w:t>
            </w:r>
          </w:p>
          <w:p w14:paraId="7553EC54" w14:textId="77777777" w:rsidR="00F3065D" w:rsidRDefault="00F3065D" w:rsidP="00931BDD">
            <w:pPr>
              <w:pStyle w:val="ListParagraph"/>
              <w:numPr>
                <w:ilvl w:val="0"/>
                <w:numId w:val="39"/>
              </w:numPr>
              <w:spacing w:before="0" w:after="60"/>
              <w:contextualSpacing w:val="0"/>
              <w:rPr>
                <w:szCs w:val="20"/>
              </w:rPr>
            </w:pPr>
            <w:r w:rsidRPr="00624125">
              <w:rPr>
                <w:szCs w:val="20"/>
              </w:rPr>
              <w:t>inter-operator repeatability CV%=0.55% (95% CI: 0.42%-0.68%), LSC=1.52%</w:t>
            </w:r>
          </w:p>
          <w:p w14:paraId="2F9E42E9" w14:textId="77777777" w:rsidR="00F3065D" w:rsidRPr="00624125" w:rsidRDefault="00F3065D" w:rsidP="00931BDD">
            <w:pPr>
              <w:pStyle w:val="ListParagraph"/>
              <w:numPr>
                <w:ilvl w:val="0"/>
                <w:numId w:val="39"/>
              </w:numPr>
              <w:spacing w:before="0" w:after="60"/>
              <w:contextualSpacing w:val="0"/>
              <w:rPr>
                <w:szCs w:val="20"/>
              </w:rPr>
            </w:pPr>
            <w:r w:rsidRPr="00624125">
              <w:rPr>
                <w:szCs w:val="20"/>
              </w:rPr>
              <w:t>inter-device repeatability CV%=0.53% (95% CI: 0.40%-0.66%), LSC=1.47%.</w:t>
            </w:r>
          </w:p>
          <w:p w14:paraId="6579A9CD" w14:textId="77777777" w:rsidR="00F3065D" w:rsidRDefault="00F3065D" w:rsidP="00931BDD">
            <w:pPr>
              <w:spacing w:before="0" w:after="60"/>
              <w:rPr>
                <w:szCs w:val="20"/>
              </w:rPr>
            </w:pPr>
            <w:proofErr w:type="gramStart"/>
            <w:r>
              <w:rPr>
                <w:szCs w:val="20"/>
              </w:rPr>
              <w:t>Similarly</w:t>
            </w:r>
            <w:proofErr w:type="gramEnd"/>
            <w:r>
              <w:rPr>
                <w:szCs w:val="20"/>
              </w:rPr>
              <w:t xml:space="preserve"> low CV% and LSC values reported for </w:t>
            </w:r>
            <w:r w:rsidRPr="00624125">
              <w:rPr>
                <w:szCs w:val="20"/>
              </w:rPr>
              <w:t>femoral neck</w:t>
            </w:r>
            <w:r>
              <w:rPr>
                <w:szCs w:val="20"/>
              </w:rPr>
              <w:t xml:space="preserve"> outcomes with all comparison sets.</w:t>
            </w:r>
          </w:p>
          <w:p w14:paraId="0774106B" w14:textId="77777777" w:rsidR="00F3065D" w:rsidRPr="00B14748" w:rsidRDefault="00F3065D" w:rsidP="00931BDD">
            <w:pPr>
              <w:spacing w:before="0" w:after="60"/>
              <w:rPr>
                <w:szCs w:val="20"/>
              </w:rPr>
            </w:pPr>
            <w:r w:rsidRPr="00624125">
              <w:rPr>
                <w:szCs w:val="20"/>
              </w:rPr>
              <w:t>REMS densitometry is highly precise for both anatomical sites,</w:t>
            </w:r>
            <w:r>
              <w:rPr>
                <w:szCs w:val="20"/>
              </w:rPr>
              <w:t xml:space="preserve"> </w:t>
            </w:r>
            <w:r w:rsidRPr="00624125">
              <w:rPr>
                <w:szCs w:val="20"/>
              </w:rPr>
              <w:t>showing high performance in repeatability.</w:t>
            </w:r>
          </w:p>
        </w:tc>
        <w:tc>
          <w:tcPr>
            <w:tcW w:w="923" w:type="pct"/>
          </w:tcPr>
          <w:p w14:paraId="608C0E27" w14:textId="672370CD" w:rsidR="00F3065D" w:rsidRDefault="00D63788" w:rsidP="0065191F">
            <w:hyperlink r:id="rId15" w:history="1">
              <w:r w:rsidR="00457A9F" w:rsidRPr="00F72769">
                <w:rPr>
                  <w:rStyle w:val="Hyperlink"/>
                </w:rPr>
                <w:t>https://ard.bmj.com/content/annrheumdis/79/Suppl_1/1830.1.full.pdf</w:t>
              </w:r>
            </w:hyperlink>
          </w:p>
          <w:p w14:paraId="0AA67E6A" w14:textId="12D06A56" w:rsidR="00457A9F" w:rsidRPr="00E82F54" w:rsidRDefault="00457A9F" w:rsidP="0065191F">
            <w:pPr>
              <w:rPr>
                <w:b/>
                <w:szCs w:val="20"/>
              </w:rPr>
            </w:pPr>
          </w:p>
        </w:tc>
        <w:tc>
          <w:tcPr>
            <w:tcW w:w="520" w:type="pct"/>
          </w:tcPr>
          <w:p w14:paraId="304C5C0F" w14:textId="77777777" w:rsidR="00F3065D" w:rsidRPr="00E82F54" w:rsidRDefault="00F3065D" w:rsidP="0065191F">
            <w:pPr>
              <w:rPr>
                <w:b/>
                <w:szCs w:val="20"/>
              </w:rPr>
            </w:pPr>
            <w:r>
              <w:t>2020</w:t>
            </w:r>
          </w:p>
        </w:tc>
      </w:tr>
      <w:tr w:rsidR="00FB5197" w14:paraId="71C86AAE" w14:textId="77777777" w:rsidTr="00931BDD">
        <w:trPr>
          <w:cantSplit/>
        </w:trPr>
        <w:tc>
          <w:tcPr>
            <w:tcW w:w="159" w:type="pct"/>
          </w:tcPr>
          <w:p w14:paraId="5387B074" w14:textId="2241C411" w:rsidR="00AD3A37" w:rsidRDefault="002736E6" w:rsidP="00AD3A37">
            <w:pPr>
              <w:rPr>
                <w:szCs w:val="20"/>
              </w:rPr>
            </w:pPr>
            <w:r>
              <w:rPr>
                <w:szCs w:val="20"/>
              </w:rPr>
              <w:t>13</w:t>
            </w:r>
          </w:p>
        </w:tc>
        <w:tc>
          <w:tcPr>
            <w:tcW w:w="487" w:type="pct"/>
          </w:tcPr>
          <w:p w14:paraId="17893EDD" w14:textId="77777777" w:rsidR="00AD3A37" w:rsidRDefault="00AD3A37" w:rsidP="00AD3A37">
            <w:r>
              <w:t>Non-comparative cohort study using REMS to demonstrate relationship between BMI and osteoporosis</w:t>
            </w:r>
          </w:p>
        </w:tc>
        <w:tc>
          <w:tcPr>
            <w:tcW w:w="743" w:type="pct"/>
          </w:tcPr>
          <w:p w14:paraId="073D6D45" w14:textId="067C43E6" w:rsidR="00AD3A37" w:rsidRDefault="00AD3A37" w:rsidP="00AD3A37">
            <w:r>
              <w:t>Khu A, Sumardi M (20</w:t>
            </w:r>
            <w:r w:rsidR="002736E6">
              <w:t>20</w:t>
            </w:r>
            <w:r>
              <w:t>) REMS Scan-Based Report on Relation Between Body Mass Index and Osteoporosis in Urban Population of Medan at Royal Prima Hospital</w:t>
            </w:r>
            <w:r w:rsidR="002736E6">
              <w:t>. Majalah Kedokteran Bandung 52(1):22- 7</w:t>
            </w:r>
          </w:p>
        </w:tc>
        <w:tc>
          <w:tcPr>
            <w:tcW w:w="2168" w:type="pct"/>
          </w:tcPr>
          <w:p w14:paraId="5A95A065" w14:textId="77777777" w:rsidR="00AD3A37" w:rsidRDefault="00AD3A37" w:rsidP="00AD3A37">
            <w:r>
              <w:t>N-=300. Subjects were divided into normal, osteopenia, and osteoporosis based on the densitometry parameters.</w:t>
            </w:r>
          </w:p>
          <w:p w14:paraId="3937229A" w14:textId="77777777" w:rsidR="00AD3A37" w:rsidRDefault="00AD3A37" w:rsidP="00AD3A37">
            <w:r>
              <w:t>The median BMIs for Spine osteoporosis and Neck of Femur osteoporosis groups were 23.24 and 22.51, respectively. Meanwhile, the central tendency of the bone mass density (gr/cm2) of the spine and neck of femur osteoporosis were 0.70 and 0.53, respectively. There was a significant correlation between BMI and the incidence of the neck of femur (R coefficient =-0.690) and spine (R=-0.390) osteoporosis. Hence, lower BMI increases the potential of the neck of femur and spine osteoporosis.</w:t>
            </w:r>
          </w:p>
        </w:tc>
        <w:tc>
          <w:tcPr>
            <w:tcW w:w="923" w:type="pct"/>
          </w:tcPr>
          <w:p w14:paraId="260EDD1E" w14:textId="7BC9A150" w:rsidR="00AD3A37" w:rsidRDefault="00D63788" w:rsidP="00AD3A37">
            <w:hyperlink r:id="rId16" w:history="1">
              <w:r w:rsidR="002736E6" w:rsidRPr="00564FDF">
                <w:rPr>
                  <w:rStyle w:val="Hyperlink"/>
                </w:rPr>
                <w:t>https://www.echolight.it/wp-content/uploads/2020/07/Khu2020_indonesia.pdf</w:t>
              </w:r>
            </w:hyperlink>
          </w:p>
          <w:p w14:paraId="1337349B" w14:textId="013E825C" w:rsidR="002736E6" w:rsidRDefault="002736E6" w:rsidP="00AD3A37"/>
        </w:tc>
        <w:tc>
          <w:tcPr>
            <w:tcW w:w="520" w:type="pct"/>
          </w:tcPr>
          <w:p w14:paraId="47E9DCCC" w14:textId="6F477992" w:rsidR="00AD3A37" w:rsidRDefault="002736E6" w:rsidP="00AD3A37">
            <w:r>
              <w:t>2020</w:t>
            </w:r>
          </w:p>
        </w:tc>
      </w:tr>
      <w:tr w:rsidR="00FB5197" w14:paraId="7F4F069D" w14:textId="77777777" w:rsidTr="00931BDD">
        <w:trPr>
          <w:cantSplit/>
        </w:trPr>
        <w:tc>
          <w:tcPr>
            <w:tcW w:w="159" w:type="pct"/>
          </w:tcPr>
          <w:p w14:paraId="3AF5259B" w14:textId="2DEAC2D9" w:rsidR="00AD3A37" w:rsidRDefault="002736E6" w:rsidP="00AD3A37">
            <w:pPr>
              <w:rPr>
                <w:szCs w:val="20"/>
              </w:rPr>
            </w:pPr>
            <w:r>
              <w:rPr>
                <w:szCs w:val="20"/>
              </w:rPr>
              <w:lastRenderedPageBreak/>
              <w:t>14</w:t>
            </w:r>
          </w:p>
        </w:tc>
        <w:tc>
          <w:tcPr>
            <w:tcW w:w="487" w:type="pct"/>
          </w:tcPr>
          <w:p w14:paraId="741C6D55" w14:textId="4867D71A" w:rsidR="00AD3A37" w:rsidRDefault="00AD3A37" w:rsidP="00AD3A37">
            <w:r>
              <w:t>Prospective cohort.</w:t>
            </w:r>
          </w:p>
          <w:p w14:paraId="69B09003" w14:textId="14F42458" w:rsidR="00AD3A37" w:rsidRDefault="00AD3A37" w:rsidP="00AD3A37">
            <w:r>
              <w:t>Compare</w:t>
            </w:r>
            <w:r w:rsidR="00F3065D">
              <w:t>s</w:t>
            </w:r>
            <w:r>
              <w:t xml:space="preserve"> BMD measurements in pre- and post-menopausal women.</w:t>
            </w:r>
          </w:p>
        </w:tc>
        <w:tc>
          <w:tcPr>
            <w:tcW w:w="743" w:type="pct"/>
          </w:tcPr>
          <w:p w14:paraId="3591A1BA" w14:textId="77777777" w:rsidR="00AD3A37" w:rsidRDefault="00AD3A37" w:rsidP="00AD3A37">
            <w:r>
              <w:t>Kirilova E, Kirilov N, Popov I et al. (2019) Bone mineral density of lumbar spine and femoral neck assessed by novel echographic approach-Radiofrequency Echographic Multi Spectrometry (REMS). Clinical Cases in Mineral and Bone Metabolism 16(1)P14-17.</w:t>
            </w:r>
          </w:p>
        </w:tc>
        <w:tc>
          <w:tcPr>
            <w:tcW w:w="2168" w:type="pct"/>
          </w:tcPr>
          <w:p w14:paraId="2EF61FDB" w14:textId="1724222A" w:rsidR="00AD3A37" w:rsidRDefault="00AD3A37" w:rsidP="00AD3A37">
            <w:r>
              <w:t>N=165. The mean REMS-based BMD measurements of postmenopausal group of L1-L4 and total lumbar spine were significantly lower than those of the premenopausal group (p=0.000). Femoral neck REMS based BMD (p=0.011), trochanteric REMS-based BMD (p=0.007) and total hip REMS-based BMD (p=0.009) also differed significantly between the premenopausal and postmenopausal group.</w:t>
            </w:r>
          </w:p>
        </w:tc>
        <w:tc>
          <w:tcPr>
            <w:tcW w:w="923" w:type="pct"/>
          </w:tcPr>
          <w:p w14:paraId="10225A81" w14:textId="6565F0B6" w:rsidR="00AD3A37" w:rsidRDefault="00D63788" w:rsidP="00AD3A37">
            <w:hyperlink r:id="rId17" w:history="1">
              <w:r w:rsidR="00457A9F" w:rsidRPr="00F72769">
                <w:rPr>
                  <w:rStyle w:val="Hyperlink"/>
                </w:rPr>
                <w:t>https://www.echolight.it/wp-content/uploads/2020/05/2019_CCMBM_Kirilova-et-al-REMS-in-Pre-e-Post-Menopausal-Women.pdf</w:t>
              </w:r>
            </w:hyperlink>
          </w:p>
          <w:p w14:paraId="3330F2BF" w14:textId="774E410C" w:rsidR="00457A9F" w:rsidRDefault="00457A9F" w:rsidP="00AD3A37"/>
        </w:tc>
        <w:tc>
          <w:tcPr>
            <w:tcW w:w="520" w:type="pct"/>
          </w:tcPr>
          <w:p w14:paraId="77DD4939" w14:textId="3EE74941" w:rsidR="00AD3A37" w:rsidRDefault="004922EC" w:rsidP="00AD3A37">
            <w:r>
              <w:t>2019</w:t>
            </w:r>
          </w:p>
        </w:tc>
      </w:tr>
      <w:tr w:rsidR="00FB5197" w14:paraId="1FDAEF58" w14:textId="77777777" w:rsidTr="005D3B5C">
        <w:trPr>
          <w:cantSplit/>
        </w:trPr>
        <w:tc>
          <w:tcPr>
            <w:tcW w:w="159" w:type="pct"/>
            <w:tcBorders>
              <w:bottom w:val="single" w:sz="4" w:space="0" w:color="auto"/>
            </w:tcBorders>
          </w:tcPr>
          <w:p w14:paraId="71F739F0" w14:textId="44167DF4" w:rsidR="001340F0" w:rsidRDefault="002736E6" w:rsidP="00AD3A37">
            <w:pPr>
              <w:rPr>
                <w:szCs w:val="20"/>
              </w:rPr>
            </w:pPr>
            <w:r>
              <w:rPr>
                <w:szCs w:val="20"/>
              </w:rPr>
              <w:t>15</w:t>
            </w:r>
          </w:p>
        </w:tc>
        <w:tc>
          <w:tcPr>
            <w:tcW w:w="487" w:type="pct"/>
            <w:tcBorders>
              <w:bottom w:val="single" w:sz="4" w:space="0" w:color="auto"/>
            </w:tcBorders>
          </w:tcPr>
          <w:p w14:paraId="6FC92095" w14:textId="77777777" w:rsidR="001340F0" w:rsidRDefault="00D95635" w:rsidP="00AD3A37">
            <w:r>
              <w:t>Prospective cohort study.</w:t>
            </w:r>
          </w:p>
          <w:p w14:paraId="3476A3C6" w14:textId="7AFE5C61" w:rsidR="00D95635" w:rsidRDefault="00D95635" w:rsidP="00AD3A37">
            <w:r>
              <w:t>Using REMS to categorise fracture risk for use in a Fracture Risk Assessment Tool (FRAX).</w:t>
            </w:r>
          </w:p>
        </w:tc>
        <w:tc>
          <w:tcPr>
            <w:tcW w:w="743" w:type="pct"/>
            <w:tcBorders>
              <w:bottom w:val="single" w:sz="4" w:space="0" w:color="auto"/>
            </w:tcBorders>
          </w:tcPr>
          <w:p w14:paraId="4675B8DF" w14:textId="51A9BBDF" w:rsidR="001340F0" w:rsidRDefault="001340F0" w:rsidP="001340F0">
            <w:r>
              <w:t>Kirilova E, Kirilov N, Popov I et al. (2019) Assessment of Fracture Risk through Radiofrequency Echographic Multi Spectrometry (REMS) based Bone Mineral Density. Orthopaedics and Rheumatology 15(1):22-27</w:t>
            </w:r>
          </w:p>
        </w:tc>
        <w:tc>
          <w:tcPr>
            <w:tcW w:w="2168" w:type="pct"/>
            <w:tcBorders>
              <w:bottom w:val="single" w:sz="4" w:space="0" w:color="auto"/>
            </w:tcBorders>
          </w:tcPr>
          <w:p w14:paraId="2D4229F7" w14:textId="402E39AF" w:rsidR="001340F0" w:rsidRDefault="001340F0" w:rsidP="00D95635">
            <w:r>
              <w:t>N=189. Women were divided in 2 fracture risk groups: 1</w:t>
            </w:r>
            <w:r w:rsidRPr="001340F0">
              <w:rPr>
                <w:vertAlign w:val="superscript"/>
              </w:rPr>
              <w:t>st</w:t>
            </w:r>
            <w:r>
              <w:t xml:space="preserve"> – with FRAX score for major osteoporotic fracture below 20% and for hip fracture below 3%, and 2nd – with FRAX score for major osteoporotic fracture ≥ 20% and for hip fractures</w:t>
            </w:r>
            <w:r w:rsidR="00D95635">
              <w:t xml:space="preserve"> </w:t>
            </w:r>
            <w:r>
              <w:t>≥3%.</w:t>
            </w:r>
          </w:p>
        </w:tc>
        <w:tc>
          <w:tcPr>
            <w:tcW w:w="923" w:type="pct"/>
            <w:tcBorders>
              <w:bottom w:val="single" w:sz="4" w:space="0" w:color="auto"/>
            </w:tcBorders>
          </w:tcPr>
          <w:p w14:paraId="7D7BDCD0" w14:textId="5614CECC" w:rsidR="001340F0" w:rsidRDefault="00D63788" w:rsidP="00AD3A37">
            <w:hyperlink r:id="rId18" w:history="1">
              <w:r w:rsidR="00457A9F" w:rsidRPr="00F72769">
                <w:rPr>
                  <w:rStyle w:val="Hyperlink"/>
                </w:rPr>
                <w:t>https://www.echolightmedical.com/wp-content/uploads/2020/11/Kirilova2019_fratture.pdf</w:t>
              </w:r>
            </w:hyperlink>
          </w:p>
          <w:p w14:paraId="5E50B23C" w14:textId="0CADAABD" w:rsidR="00457A9F" w:rsidRPr="00AD3A37" w:rsidRDefault="00457A9F" w:rsidP="00AD3A37"/>
        </w:tc>
        <w:tc>
          <w:tcPr>
            <w:tcW w:w="520" w:type="pct"/>
            <w:tcBorders>
              <w:bottom w:val="single" w:sz="4" w:space="0" w:color="auto"/>
            </w:tcBorders>
          </w:tcPr>
          <w:p w14:paraId="58D288E7" w14:textId="7F0DD380" w:rsidR="001340F0" w:rsidRDefault="001340F0" w:rsidP="00AD3A37">
            <w:r>
              <w:t>2019</w:t>
            </w:r>
          </w:p>
        </w:tc>
      </w:tr>
      <w:tr w:rsidR="00FB5197" w14:paraId="48645FAE" w14:textId="77777777" w:rsidTr="005D3B5C">
        <w:trPr>
          <w:cantSplit/>
        </w:trPr>
        <w:tc>
          <w:tcPr>
            <w:tcW w:w="159" w:type="pct"/>
            <w:tcBorders>
              <w:bottom w:val="single" w:sz="4" w:space="0" w:color="auto"/>
            </w:tcBorders>
          </w:tcPr>
          <w:p w14:paraId="2FFC7BBE" w14:textId="37E0BF45" w:rsidR="00F3065D" w:rsidRPr="00965B6B" w:rsidRDefault="002736E6" w:rsidP="0065191F">
            <w:pPr>
              <w:rPr>
                <w:szCs w:val="20"/>
              </w:rPr>
            </w:pPr>
            <w:r>
              <w:rPr>
                <w:szCs w:val="20"/>
              </w:rPr>
              <w:lastRenderedPageBreak/>
              <w:t>16</w:t>
            </w:r>
          </w:p>
        </w:tc>
        <w:tc>
          <w:tcPr>
            <w:tcW w:w="487" w:type="pct"/>
            <w:tcBorders>
              <w:bottom w:val="single" w:sz="4" w:space="0" w:color="auto"/>
            </w:tcBorders>
          </w:tcPr>
          <w:p w14:paraId="0423FAF9" w14:textId="77777777" w:rsidR="00F3065D" w:rsidRPr="001960CD" w:rsidRDefault="00F3065D" w:rsidP="0065191F">
            <w:pPr>
              <w:rPr>
                <w:bCs/>
              </w:rPr>
            </w:pPr>
            <w:r w:rsidRPr="001960CD">
              <w:rPr>
                <w:bCs/>
              </w:rPr>
              <w:t xml:space="preserve">Diagnostic accuracy of REMS for osteoporotic vs. non osteoporotic patients reported. </w:t>
            </w:r>
          </w:p>
          <w:p w14:paraId="735FD8DA" w14:textId="77777777" w:rsidR="00F3065D" w:rsidRPr="00F3065D" w:rsidRDefault="00F3065D" w:rsidP="0065191F">
            <w:r>
              <w:t>Non-comparative report from a Prospective cohort from a comparison of REMS and DXA scans.</w:t>
            </w:r>
          </w:p>
        </w:tc>
        <w:tc>
          <w:tcPr>
            <w:tcW w:w="743" w:type="pct"/>
            <w:tcBorders>
              <w:bottom w:val="single" w:sz="4" w:space="0" w:color="auto"/>
            </w:tcBorders>
          </w:tcPr>
          <w:p w14:paraId="3F0F1E74" w14:textId="77777777" w:rsidR="00F3065D" w:rsidRDefault="00F3065D" w:rsidP="0065191F">
            <w:pPr>
              <w:rPr>
                <w:b/>
                <w:szCs w:val="20"/>
              </w:rPr>
            </w:pPr>
            <w:r>
              <w:t>Ovejero Crespo D, Nogues X, Diez-Perez A (2019) The nonionizing radiofrequency echographic multi spectrometry (REMS) applied on a Spanish cohort for the osteoporosis diagnosis on lumbar spine and femoral neck. WCO-IOF-ESCEO Abstract P795</w:t>
            </w:r>
          </w:p>
        </w:tc>
        <w:tc>
          <w:tcPr>
            <w:tcW w:w="2168" w:type="pct"/>
            <w:tcBorders>
              <w:bottom w:val="single" w:sz="4" w:space="0" w:color="auto"/>
            </w:tcBorders>
          </w:tcPr>
          <w:p w14:paraId="42101A56" w14:textId="77777777" w:rsidR="00F3065D" w:rsidRDefault="00F3065D" w:rsidP="0065191F">
            <w:pPr>
              <w:rPr>
                <w:b/>
                <w:szCs w:val="20"/>
              </w:rPr>
            </w:pPr>
            <w:r>
              <w:t>High REMS sensitivity of 92.7% and 93.0% and specificity of 93.5% and 95.0% for spinal and femoral site, respectively, for the discrimination between individuals with and without osteoporosis. The diagnostic accuracy of the REMS technique was also confirmed by the SEE value equal to 0.040 and 0.039 g/cm2 and the Cohen Kappa in the range 0.77-0.76 for spine and femur.</w:t>
            </w:r>
          </w:p>
        </w:tc>
        <w:tc>
          <w:tcPr>
            <w:tcW w:w="923" w:type="pct"/>
            <w:tcBorders>
              <w:bottom w:val="single" w:sz="4" w:space="0" w:color="auto"/>
            </w:tcBorders>
          </w:tcPr>
          <w:p w14:paraId="1BF24971" w14:textId="4D95F390" w:rsidR="00F3065D" w:rsidRDefault="00D63788" w:rsidP="0065191F">
            <w:hyperlink r:id="rId19" w:history="1">
              <w:r w:rsidR="00457A9F" w:rsidRPr="00F72769">
                <w:rPr>
                  <w:rStyle w:val="Hyperlink"/>
                </w:rPr>
                <w:t>http://2019.wco-iof-esceo.org/sites/wco19/pdf/WCO19-AbstractBook.pdf</w:t>
              </w:r>
            </w:hyperlink>
          </w:p>
          <w:p w14:paraId="7ECF390B" w14:textId="3EA6B172" w:rsidR="00457A9F" w:rsidRPr="00E82F54" w:rsidRDefault="00457A9F" w:rsidP="0065191F">
            <w:pPr>
              <w:rPr>
                <w:b/>
                <w:szCs w:val="20"/>
              </w:rPr>
            </w:pPr>
          </w:p>
        </w:tc>
        <w:tc>
          <w:tcPr>
            <w:tcW w:w="520" w:type="pct"/>
            <w:tcBorders>
              <w:bottom w:val="single" w:sz="4" w:space="0" w:color="auto"/>
            </w:tcBorders>
          </w:tcPr>
          <w:p w14:paraId="6ECC5919" w14:textId="77777777" w:rsidR="00F3065D" w:rsidRDefault="00F3065D" w:rsidP="0065191F">
            <w:r>
              <w:t>2019</w:t>
            </w:r>
          </w:p>
          <w:p w14:paraId="308308E6" w14:textId="77777777" w:rsidR="00F3065D" w:rsidRDefault="00F3065D" w:rsidP="0065191F">
            <w:pPr>
              <w:rPr>
                <w:b/>
                <w:szCs w:val="20"/>
              </w:rPr>
            </w:pPr>
          </w:p>
          <w:p w14:paraId="2DF919ED" w14:textId="6025E086" w:rsidR="00F3065D" w:rsidRPr="00F3065D" w:rsidRDefault="001960CD" w:rsidP="0065191F">
            <w:pPr>
              <w:rPr>
                <w:bCs/>
                <w:szCs w:val="20"/>
              </w:rPr>
            </w:pPr>
            <w:r>
              <w:rPr>
                <w:bCs/>
                <w:szCs w:val="20"/>
              </w:rPr>
              <w:t>Likely</w:t>
            </w:r>
            <w:r w:rsidR="00F3065D" w:rsidRPr="00F3065D">
              <w:rPr>
                <w:bCs/>
                <w:szCs w:val="20"/>
              </w:rPr>
              <w:t xml:space="preserve"> to be an abstract publication of a subpopulation of patients </w:t>
            </w:r>
            <w:r>
              <w:rPr>
                <w:bCs/>
                <w:szCs w:val="20"/>
              </w:rPr>
              <w:t>from</w:t>
            </w:r>
            <w:r w:rsidR="00F3065D" w:rsidRPr="00F3065D">
              <w:rPr>
                <w:bCs/>
                <w:szCs w:val="20"/>
              </w:rPr>
              <w:t xml:space="preserve"> Cortet 20</w:t>
            </w:r>
            <w:r w:rsidR="00F3065D">
              <w:rPr>
                <w:bCs/>
                <w:szCs w:val="20"/>
              </w:rPr>
              <w:t>21</w:t>
            </w:r>
            <w:r w:rsidR="00F3065D" w:rsidRPr="00F3065D">
              <w:rPr>
                <w:bCs/>
                <w:szCs w:val="20"/>
              </w:rPr>
              <w:t xml:space="preserve"> multicentre study</w:t>
            </w:r>
            <w:r w:rsidR="00F3065D">
              <w:rPr>
                <w:bCs/>
                <w:szCs w:val="20"/>
              </w:rPr>
              <w:t>.</w:t>
            </w:r>
          </w:p>
        </w:tc>
      </w:tr>
      <w:tr w:rsidR="005D3B5C" w14:paraId="587854AA" w14:textId="77777777" w:rsidTr="005D3B5C">
        <w:trPr>
          <w:cantSplit/>
        </w:trPr>
        <w:tc>
          <w:tcPr>
            <w:tcW w:w="5000" w:type="pct"/>
            <w:gridSpan w:val="6"/>
            <w:tcBorders>
              <w:top w:val="nil"/>
              <w:left w:val="nil"/>
              <w:bottom w:val="nil"/>
              <w:right w:val="nil"/>
            </w:tcBorders>
          </w:tcPr>
          <w:p w14:paraId="645DD622" w14:textId="77777777" w:rsidR="005D3B5C" w:rsidRPr="005D3B5C" w:rsidRDefault="005D3B5C" w:rsidP="005D3B5C"/>
          <w:p w14:paraId="66ED88EF" w14:textId="60AD3509" w:rsidR="005D3B5C" w:rsidRDefault="005D3B5C" w:rsidP="005D3B5C">
            <w:pPr>
              <w:pStyle w:val="Heading2"/>
              <w:outlineLvl w:val="1"/>
              <w:rPr>
                <w:i/>
              </w:rPr>
            </w:pPr>
            <w:r w:rsidRPr="00E82F54">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2AE619CB" w14:textId="5D565A24" w:rsidR="005D3B5C" w:rsidRDefault="005D3B5C" w:rsidP="005D3B5C">
            <w:pPr>
              <w:ind w:firstLine="360"/>
            </w:pPr>
            <w:r>
              <w:t>We are not currently aware of any yet to be published trials.</w:t>
            </w:r>
          </w:p>
        </w:tc>
      </w:tr>
    </w:tbl>
    <w:p w14:paraId="7580E2A0" w14:textId="77777777" w:rsidR="005D3B5C" w:rsidRDefault="005D3B5C" w:rsidP="0065191F">
      <w:pPr>
        <w:rPr>
          <w:szCs w:val="20"/>
        </w:rPr>
        <w:sectPr w:rsidR="005D3B5C" w:rsidSect="00DD308E">
          <w:pgSz w:w="16838" w:h="11906" w:orient="landscape"/>
          <w:pgMar w:top="1440" w:right="1440" w:bottom="1440" w:left="1440" w:header="708" w:footer="708" w:gutter="0"/>
          <w:cols w:space="708"/>
          <w:docGrid w:linePitch="360"/>
        </w:sectPr>
      </w:pPr>
    </w:p>
    <w:p w14:paraId="5BBD2DA2" w14:textId="77777777" w:rsidR="00DD308E" w:rsidRDefault="00DD308E">
      <w:pPr>
        <w:rPr>
          <w:b/>
          <w:sz w:val="32"/>
          <w:szCs w:val="32"/>
        </w:rPr>
        <w:sectPr w:rsidR="00DD308E" w:rsidSect="005D3B5C">
          <w:type w:val="continuous"/>
          <w:pgSz w:w="16838" w:h="11906" w:orient="landscape"/>
          <w:pgMar w:top="1440" w:right="1440" w:bottom="1440" w:left="1440" w:header="708" w:footer="708" w:gutter="0"/>
          <w:cols w:space="708"/>
          <w:docGrid w:linePitch="360"/>
        </w:sectPr>
      </w:pPr>
    </w:p>
    <w:p w14:paraId="0AC76337" w14:textId="77777777" w:rsidR="00E82F54" w:rsidRPr="00C776B1" w:rsidRDefault="005C3AE7" w:rsidP="005D3B5C">
      <w:pPr>
        <w:pStyle w:val="Heading1"/>
        <w:ind w:left="1418" w:hanging="1418"/>
      </w:pPr>
      <w:bookmarkStart w:id="3" w:name="_Hlk61348210"/>
      <w:r>
        <w:lastRenderedPageBreak/>
        <w:t>PART 5</w:t>
      </w:r>
      <w:r w:rsidR="00F93784">
        <w:t xml:space="preserve"> – </w:t>
      </w:r>
      <w:r w:rsidR="00E82F54" w:rsidRPr="00C776B1">
        <w:t>CLINICAL ENDORSEMENT AND CONSUMER INFORMATION</w:t>
      </w:r>
    </w:p>
    <w:p w14:paraId="1E35E516"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58597432" w14:textId="680FB628" w:rsidR="00223956" w:rsidRDefault="00223956" w:rsidP="00A727B6">
      <w:pPr>
        <w:ind w:left="426"/>
      </w:pPr>
      <w:r>
        <w:t>Osteoporosis Australia</w:t>
      </w:r>
      <w:r w:rsidR="00072166">
        <w:t xml:space="preserve"> / now renamed Healthy</w:t>
      </w:r>
      <w:r w:rsidR="00112866">
        <w:t xml:space="preserve"> </w:t>
      </w:r>
      <w:r w:rsidR="00072166">
        <w:t>Bones Australia (</w:t>
      </w:r>
      <w:hyperlink r:id="rId20" w:history="1">
        <w:r w:rsidR="00072166">
          <w:rPr>
            <w:rStyle w:val="Hyperlink"/>
          </w:rPr>
          <w:t>Bone Health – Bone Health Website (healthybonesaustralia.org.au)</w:t>
        </w:r>
      </w:hyperlink>
      <w:r>
        <w:t xml:space="preserve">. </w:t>
      </w:r>
    </w:p>
    <w:p w14:paraId="444786FB" w14:textId="03C608F3" w:rsidR="00223956" w:rsidRDefault="00223956" w:rsidP="00112866">
      <w:pPr>
        <w:ind w:left="426"/>
      </w:pPr>
      <w:r>
        <w:t xml:space="preserve">Statement of clinical relevance: </w:t>
      </w:r>
    </w:p>
    <w:p w14:paraId="1232308A" w14:textId="19200570" w:rsidR="00223956" w:rsidRDefault="00B0305D" w:rsidP="00457A9F">
      <w:pPr>
        <w:ind w:left="426"/>
      </w:pPr>
      <w:r>
        <w:t>Healthy Bones Australia (HBA), formerly Osteoporosis Australia, is a national non-for-profit organisation and the leading consumer body to reduce broken bones and improve bone health across Australia. Healthy Bones Australia was established in 2001 in response to the growing number of Australians with poor bone health and the lack of health focus on preventing osteoporosis. Healthy Bones Australia is focused on increasing community and health professional awareness and advocating to government to reduce the impact of the osteoporosis nationally.</w:t>
      </w:r>
    </w:p>
    <w:p w14:paraId="30B0D4A9"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2F369BA" w14:textId="77777777" w:rsidR="002F0BB2" w:rsidRDefault="002F0BB2" w:rsidP="002F0BB2">
      <w:pPr>
        <w:ind w:left="426"/>
      </w:pPr>
      <w:r w:rsidRPr="002F0BB2">
        <w:t>The Australian Society of Medical Imaging and Radiation Therapy (ASMIRT)</w:t>
      </w:r>
    </w:p>
    <w:p w14:paraId="58C65D48" w14:textId="6B0AD1D0" w:rsidR="002F0BB2" w:rsidRDefault="002F0BB2" w:rsidP="00457A9F">
      <w:pPr>
        <w:ind w:left="426"/>
      </w:pPr>
      <w:r>
        <w:t>Endocrine Society of Australia (ESA)</w:t>
      </w:r>
    </w:p>
    <w:p w14:paraId="11B84D9E"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66865287" w14:textId="1A396E43" w:rsidR="00E82F54" w:rsidRDefault="00457A9F" w:rsidP="00A727B6">
      <w:pPr>
        <w:ind w:left="426"/>
        <w:rPr>
          <w:szCs w:val="20"/>
        </w:rPr>
      </w:pPr>
      <w:r>
        <w:t>None identified</w:t>
      </w:r>
    </w:p>
    <w:p w14:paraId="4A1904B8"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2EBDE50C" w14:textId="5671E92A" w:rsidR="0009015F" w:rsidRPr="00457A9F" w:rsidRDefault="0009015F" w:rsidP="00457A9F">
      <w:pPr>
        <w:ind w:left="426"/>
      </w:pPr>
      <w:r>
        <w:t xml:space="preserve">Manufacturers of DXA Scans, e.g. </w:t>
      </w:r>
      <w:r w:rsidRPr="0009015F">
        <w:t>MEDILINK, Norland, GE-Lunar, and Hologic</w:t>
      </w:r>
    </w:p>
    <w:p w14:paraId="049A5C6A" w14:textId="6186EEB9" w:rsidR="00A96329" w:rsidRPr="00A96329" w:rsidRDefault="00E82F54" w:rsidP="00A96329">
      <w:pPr>
        <w:pStyle w:val="Heading2"/>
      </w:pPr>
      <w:r w:rsidRPr="00154B00">
        <w:t>Nominate two experts who could be approached about the proposed medical service and the current clinical management of the service(s):</w:t>
      </w:r>
    </w:p>
    <w:p w14:paraId="7F1A2902" w14:textId="10811573" w:rsidR="003433D1" w:rsidRPr="00457A9F" w:rsidRDefault="00A3419D" w:rsidP="00457A9F">
      <w:pPr>
        <w:ind w:left="426"/>
        <w:rPr>
          <w:szCs w:val="20"/>
        </w:rPr>
      </w:pPr>
      <w:r w:rsidRPr="00457A9F">
        <w:rPr>
          <w:b/>
          <w:bCs/>
        </w:rPr>
        <w:t>REDACTED</w:t>
      </w:r>
      <w:r w:rsidR="00C72C28">
        <w:rPr>
          <w:szCs w:val="20"/>
        </w:rPr>
        <w:t xml:space="preserve"> </w:t>
      </w:r>
      <w:bookmarkEnd w:id="3"/>
      <w:r w:rsidR="003433D1">
        <w:rPr>
          <w:b/>
          <w:sz w:val="32"/>
          <w:szCs w:val="32"/>
        </w:rPr>
        <w:br w:type="page"/>
      </w:r>
    </w:p>
    <w:p w14:paraId="29A41C0D"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17D4EEF9" w14:textId="77777777" w:rsidR="0021185D" w:rsidRPr="005C3AE7" w:rsidRDefault="005C3AE7" w:rsidP="00457A9F">
      <w:pPr>
        <w:pStyle w:val="Subtitle"/>
        <w:ind w:left="0"/>
      </w:pPr>
      <w:r w:rsidRPr="005C3AE7">
        <w:t xml:space="preserve">PART 6a – </w:t>
      </w:r>
      <w:r w:rsidR="0021185D" w:rsidRPr="005C3AE7">
        <w:t>INFORMATION ABOUT THE PROPOSED POPULATION</w:t>
      </w:r>
    </w:p>
    <w:p w14:paraId="5EE08E89"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280357EE" w14:textId="2774AAE9" w:rsidR="00CA0216" w:rsidRPr="00CA0216" w:rsidRDefault="00350EC2" w:rsidP="00457A9F">
      <w:pPr>
        <w:ind w:left="426"/>
        <w:rPr>
          <w:b/>
          <w:bCs/>
          <w:color w:val="7030A0"/>
          <w:szCs w:val="20"/>
        </w:rPr>
      </w:pPr>
      <w:r w:rsidRPr="00CA0216">
        <w:rPr>
          <w:b/>
          <w:bCs/>
          <w:color w:val="7030A0"/>
          <w:szCs w:val="20"/>
        </w:rPr>
        <w:t xml:space="preserve">Information </w:t>
      </w:r>
      <w:r w:rsidR="00CA0216">
        <w:rPr>
          <w:b/>
          <w:bCs/>
          <w:color w:val="7030A0"/>
          <w:szCs w:val="20"/>
        </w:rPr>
        <w:t xml:space="preserve">cited </w:t>
      </w:r>
      <w:r w:rsidRPr="00CA0216">
        <w:rPr>
          <w:b/>
          <w:bCs/>
          <w:color w:val="7030A0"/>
          <w:szCs w:val="20"/>
        </w:rPr>
        <w:t xml:space="preserve">below is from the AIHW Osteoporosis Web Report </w:t>
      </w:r>
      <w:r w:rsidR="00C154AF">
        <w:rPr>
          <w:b/>
          <w:bCs/>
          <w:color w:val="7030A0"/>
          <w:szCs w:val="20"/>
        </w:rPr>
        <w:fldChar w:fldCharType="begin"/>
      </w:r>
      <w:r w:rsidR="00C154AF">
        <w:rPr>
          <w:b/>
          <w:bCs/>
          <w:color w:val="7030A0"/>
          <w:szCs w:val="20"/>
        </w:rPr>
        <w:instrText xml:space="preserve"> ADDIN EN.CITE &lt;EndNote&gt;&lt;Cite&gt;&lt;Author&gt;AIHW&lt;/Author&gt;&lt;Year&gt;2020&lt;/Year&gt;&lt;RecNum&gt;7&lt;/RecNum&gt;&lt;DisplayText&gt;(AIHW 2020)&lt;/DisplayText&gt;&lt;record&gt;&lt;rec-number&gt;7&lt;/rec-number&gt;&lt;foreign-keys&gt;&lt;key app="EN" db-id="ez5xftsfjtxsr1etze3vfta19tss2fv2tsts" timestamp="1610425018"&gt;7&lt;/key&gt;&lt;/foreign-keys&gt;&lt;ref-type name="Journal Article"&gt;17&lt;/ref-type&gt;&lt;contributors&gt;&lt;authors&gt;&lt;author&gt;AIHW,&lt;/author&gt;&lt;/authors&gt;&lt;/contributors&gt;&lt;titles&gt;&lt;title&gt;Australian Institute of Health and Welfare 2020. Osteoporosis. Cat. no. PHE 233. Canberra: AIHW. Viewed 08 January 2021, https://www.aihw.gov.au/reports/chronic-musculoskeletal-conditions/osteoporos&lt;/title&gt;&lt;/titles&gt;&lt;dates&gt;&lt;year&gt;2020&lt;/year&gt;&lt;/dates&gt;&lt;urls&gt;&lt;/urls&gt;&lt;/record&gt;&lt;/Cite&gt;&lt;/EndNote&gt;</w:instrText>
      </w:r>
      <w:r w:rsidR="00C154AF">
        <w:rPr>
          <w:b/>
          <w:bCs/>
          <w:color w:val="7030A0"/>
          <w:szCs w:val="20"/>
        </w:rPr>
        <w:fldChar w:fldCharType="separate"/>
      </w:r>
      <w:r w:rsidR="00C154AF">
        <w:rPr>
          <w:b/>
          <w:bCs/>
          <w:noProof/>
          <w:color w:val="7030A0"/>
          <w:szCs w:val="20"/>
        </w:rPr>
        <w:t>(AIHW 2020)</w:t>
      </w:r>
      <w:r w:rsidR="00C154AF">
        <w:rPr>
          <w:b/>
          <w:bCs/>
          <w:color w:val="7030A0"/>
          <w:szCs w:val="20"/>
        </w:rPr>
        <w:fldChar w:fldCharType="end"/>
      </w:r>
      <w:r w:rsidRPr="00CA0216">
        <w:rPr>
          <w:b/>
          <w:bCs/>
          <w:color w:val="7030A0"/>
          <w:szCs w:val="20"/>
        </w:rPr>
        <w:t xml:space="preserve">: </w:t>
      </w:r>
      <w:hyperlink r:id="rId21" w:history="1">
        <w:r w:rsidR="00CA0216" w:rsidRPr="00D80E07">
          <w:rPr>
            <w:rStyle w:val="Hyperlink"/>
            <w:b/>
            <w:bCs/>
            <w:szCs w:val="20"/>
          </w:rPr>
          <w:t>https://www.aihw.gov.au/getmedia/d89eda49-8e92-4045-996e-f38807142b2e/Osteoporosis.pdf.aspx?inline=true</w:t>
        </w:r>
      </w:hyperlink>
      <w:r w:rsidR="00C154AF">
        <w:rPr>
          <w:rStyle w:val="Hyperlink"/>
          <w:b/>
          <w:bCs/>
          <w:szCs w:val="20"/>
        </w:rPr>
        <w:t xml:space="preserve"> </w:t>
      </w:r>
    </w:p>
    <w:p w14:paraId="05DCEB2F" w14:textId="4D1D8CAC" w:rsidR="00DA7C7D" w:rsidRDefault="00DA7C7D" w:rsidP="00DA7C7D">
      <w:pPr>
        <w:ind w:left="426"/>
        <w:rPr>
          <w:szCs w:val="20"/>
        </w:rPr>
      </w:pPr>
      <w:r w:rsidRPr="00DA7C7D">
        <w:rPr>
          <w:szCs w:val="20"/>
        </w:rPr>
        <w:t xml:space="preserve">Osteoporosis is a condition where bones become thin, </w:t>
      </w:r>
      <w:proofErr w:type="gramStart"/>
      <w:r w:rsidRPr="00DA7C7D">
        <w:rPr>
          <w:szCs w:val="20"/>
        </w:rPr>
        <w:t>weak</w:t>
      </w:r>
      <w:proofErr w:type="gramEnd"/>
      <w:r w:rsidRPr="00DA7C7D">
        <w:rPr>
          <w:szCs w:val="20"/>
        </w:rPr>
        <w:t xml:space="preserve"> and</w:t>
      </w:r>
      <w:r>
        <w:rPr>
          <w:szCs w:val="20"/>
        </w:rPr>
        <w:t xml:space="preserve"> </w:t>
      </w:r>
      <w:r w:rsidRPr="00DA7C7D">
        <w:rPr>
          <w:szCs w:val="20"/>
        </w:rPr>
        <w:t>fragile, such that even a minor bump or accident can cause a broken</w:t>
      </w:r>
      <w:r>
        <w:rPr>
          <w:szCs w:val="20"/>
        </w:rPr>
        <w:t xml:space="preserve"> </w:t>
      </w:r>
      <w:r w:rsidRPr="00DA7C7D">
        <w:rPr>
          <w:szCs w:val="20"/>
        </w:rPr>
        <w:t>bone (minimal trauma fracture). Osteopenia is a condition when bone</w:t>
      </w:r>
      <w:r>
        <w:rPr>
          <w:szCs w:val="20"/>
        </w:rPr>
        <w:t xml:space="preserve"> </w:t>
      </w:r>
      <w:r w:rsidRPr="00DA7C7D">
        <w:rPr>
          <w:szCs w:val="20"/>
        </w:rPr>
        <w:t>mineral density is lower than normal but not low enough to be</w:t>
      </w:r>
      <w:r>
        <w:rPr>
          <w:szCs w:val="20"/>
        </w:rPr>
        <w:t xml:space="preserve"> </w:t>
      </w:r>
      <w:r w:rsidRPr="00DA7C7D">
        <w:rPr>
          <w:szCs w:val="20"/>
        </w:rPr>
        <w:t>classified as osteoporosis.</w:t>
      </w:r>
      <w:r>
        <w:rPr>
          <w:szCs w:val="20"/>
        </w:rPr>
        <w:t xml:space="preserve"> </w:t>
      </w:r>
      <w:r w:rsidRPr="00DA7C7D">
        <w:rPr>
          <w:szCs w:val="20"/>
        </w:rPr>
        <w:t>Such events might include falling out of a bed or chair, or tripping and falling while walking.</w:t>
      </w:r>
      <w:r>
        <w:rPr>
          <w:szCs w:val="20"/>
        </w:rPr>
        <w:t xml:space="preserve"> </w:t>
      </w:r>
      <w:r w:rsidRPr="00DA7C7D">
        <w:rPr>
          <w:szCs w:val="20"/>
        </w:rPr>
        <w:t>Fractures due to osteoporosis can result in chronic pain, disability, loss of independence and premature death</w:t>
      </w:r>
      <w:r>
        <w:rPr>
          <w:szCs w:val="20"/>
        </w:rPr>
        <w:t>.</w:t>
      </w:r>
    </w:p>
    <w:p w14:paraId="4AD9B673" w14:textId="6F6D3D10" w:rsidR="00DA7C7D" w:rsidRDefault="00DA7C7D" w:rsidP="00DA7C7D">
      <w:pPr>
        <w:ind w:left="426"/>
        <w:rPr>
          <w:szCs w:val="20"/>
        </w:rPr>
      </w:pPr>
      <w:r w:rsidRPr="00DA7C7D">
        <w:rPr>
          <w:szCs w:val="20"/>
        </w:rPr>
        <w:t>Generally, osteoporosis is under-diagnosed. Because osteoporosis has no overt symptoms, it is often not diagnosed until a fracture occurs. It</w:t>
      </w:r>
      <w:r>
        <w:rPr>
          <w:szCs w:val="20"/>
        </w:rPr>
        <w:t xml:space="preserve"> </w:t>
      </w:r>
      <w:r w:rsidRPr="00DA7C7D">
        <w:rPr>
          <w:szCs w:val="20"/>
        </w:rPr>
        <w:t>is therefore difficult to determine the true prevalence of the condition (that is, the number of people with the condition). Information</w:t>
      </w:r>
      <w:r>
        <w:rPr>
          <w:szCs w:val="20"/>
        </w:rPr>
        <w:t xml:space="preserve"> </w:t>
      </w:r>
      <w:r w:rsidRPr="00DA7C7D">
        <w:rPr>
          <w:szCs w:val="20"/>
        </w:rPr>
        <w:t>about 'diagnosed cases' is likely to underestimate the actual prevalence of the condition.</w:t>
      </w:r>
      <w:r>
        <w:rPr>
          <w:szCs w:val="20"/>
        </w:rPr>
        <w:t xml:space="preserve"> </w:t>
      </w:r>
      <w:r w:rsidRPr="00DA7C7D">
        <w:rPr>
          <w:szCs w:val="20"/>
        </w:rPr>
        <w:t>An estimated 924,000 Australians have osteoporosis, based on self-reported data from the Australian Bureau of Statistics (ABS) 2017–18</w:t>
      </w:r>
      <w:r>
        <w:rPr>
          <w:szCs w:val="20"/>
        </w:rPr>
        <w:t xml:space="preserve">. </w:t>
      </w:r>
      <w:r w:rsidRPr="00DA7C7D">
        <w:rPr>
          <w:szCs w:val="20"/>
        </w:rPr>
        <w:t>National Health Survey (NHS) and 20% of people aged 75 years and over have osteoporosis (ABS 2018). This definition of osteoporosis</w:t>
      </w:r>
      <w:r>
        <w:rPr>
          <w:szCs w:val="20"/>
        </w:rPr>
        <w:t xml:space="preserve"> </w:t>
      </w:r>
      <w:r w:rsidRPr="00DA7C7D">
        <w:rPr>
          <w:szCs w:val="20"/>
        </w:rPr>
        <w:t>includes people who had osteoporosis or osteopenia.</w:t>
      </w:r>
    </w:p>
    <w:p w14:paraId="3C367D15" w14:textId="5EDC9B72" w:rsidR="00DA7C7D" w:rsidRDefault="00DA7C7D" w:rsidP="00DA7C7D">
      <w:pPr>
        <w:ind w:left="426"/>
        <w:rPr>
          <w:szCs w:val="20"/>
        </w:rPr>
      </w:pPr>
      <w:r w:rsidRPr="00DA7C7D">
        <w:rPr>
          <w:szCs w:val="20"/>
        </w:rPr>
        <w:t xml:space="preserve">People aged 45 and over with osteoporosis had </w:t>
      </w:r>
      <w:r>
        <w:rPr>
          <w:szCs w:val="20"/>
        </w:rPr>
        <w:t xml:space="preserve">considerable adverse impacts from osteoporosis </w:t>
      </w:r>
      <w:r w:rsidRPr="00DA7C7D">
        <w:rPr>
          <w:szCs w:val="20"/>
        </w:rPr>
        <w:t>based on self-reported</w:t>
      </w:r>
      <w:r>
        <w:rPr>
          <w:szCs w:val="20"/>
        </w:rPr>
        <w:t xml:space="preserve"> </w:t>
      </w:r>
      <w:r w:rsidRPr="00DA7C7D">
        <w:rPr>
          <w:szCs w:val="20"/>
        </w:rPr>
        <w:t>data from the ABS 2017–18 National Health Survey (NHS)</w:t>
      </w:r>
      <w:r>
        <w:rPr>
          <w:szCs w:val="20"/>
        </w:rPr>
        <w:t>, including:</w:t>
      </w:r>
    </w:p>
    <w:p w14:paraId="5F7CCFDE" w14:textId="77777777" w:rsidR="00DA7C7D" w:rsidRDefault="00DA7C7D" w:rsidP="00DA7C7D">
      <w:pPr>
        <w:pStyle w:val="ListParagraph"/>
        <w:numPr>
          <w:ilvl w:val="0"/>
          <w:numId w:val="37"/>
        </w:numPr>
        <w:rPr>
          <w:szCs w:val="20"/>
        </w:rPr>
      </w:pPr>
      <w:r w:rsidRPr="00DA7C7D">
        <w:rPr>
          <w:szCs w:val="20"/>
        </w:rPr>
        <w:t xml:space="preserve">lower self-assessed health status than people without the condition —. People with osteoporosis were 2.7 times as likely to describe their health as poor (15%) compared with those without the condition (5.4%). </w:t>
      </w:r>
    </w:p>
    <w:p w14:paraId="08EE88D0" w14:textId="74A6FEB4" w:rsidR="00DA7C7D" w:rsidRDefault="00DA7C7D" w:rsidP="00DA7C7D">
      <w:pPr>
        <w:pStyle w:val="ListParagraph"/>
        <w:numPr>
          <w:ilvl w:val="0"/>
          <w:numId w:val="37"/>
        </w:numPr>
        <w:rPr>
          <w:szCs w:val="20"/>
        </w:rPr>
      </w:pPr>
      <w:r w:rsidRPr="00DA7C7D">
        <w:rPr>
          <w:szCs w:val="20"/>
        </w:rPr>
        <w:t>more than half of people with osteoporosis (57%) experienced ‘moderate’ to ‘very severe’ pain in the last 4 weeks. People with osteoporosis were 2.3 times as likely to experience severe or very severe bodily pain in the last 4 weeks (23%) compared with those without the condition (10%)</w:t>
      </w:r>
    </w:p>
    <w:p w14:paraId="458638B3" w14:textId="30B0318A" w:rsidR="00DA7C7D" w:rsidRDefault="00DA7C7D" w:rsidP="00DA7C7D">
      <w:pPr>
        <w:pStyle w:val="ListParagraph"/>
        <w:numPr>
          <w:ilvl w:val="0"/>
          <w:numId w:val="37"/>
        </w:numPr>
        <w:rPr>
          <w:szCs w:val="20"/>
        </w:rPr>
      </w:pPr>
      <w:r w:rsidRPr="00DA7C7D">
        <w:rPr>
          <w:szCs w:val="20"/>
        </w:rPr>
        <w:t>being 2.9 times as likely to experience very high levels of psychological distress (12%) compared</w:t>
      </w:r>
      <w:r>
        <w:rPr>
          <w:szCs w:val="20"/>
        </w:rPr>
        <w:t xml:space="preserve"> </w:t>
      </w:r>
      <w:r w:rsidRPr="00DA7C7D">
        <w:rPr>
          <w:szCs w:val="20"/>
        </w:rPr>
        <w:t>with those without the condition (4.1</w:t>
      </w:r>
      <w:r>
        <w:rPr>
          <w:szCs w:val="20"/>
        </w:rPr>
        <w:t>%).</w:t>
      </w:r>
    </w:p>
    <w:p w14:paraId="0F4E8687" w14:textId="39EB389E" w:rsidR="00DA7C7D" w:rsidRDefault="00DA7C7D" w:rsidP="00DA7C7D">
      <w:pPr>
        <w:ind w:left="426"/>
        <w:rPr>
          <w:szCs w:val="20"/>
        </w:rPr>
      </w:pPr>
      <w:r w:rsidRPr="00DA7C7D">
        <w:rPr>
          <w:szCs w:val="20"/>
        </w:rPr>
        <w:t xml:space="preserve">In </w:t>
      </w:r>
      <w:r>
        <w:rPr>
          <w:szCs w:val="20"/>
        </w:rPr>
        <w:t xml:space="preserve">Australia in </w:t>
      </w:r>
      <w:r w:rsidRPr="00DA7C7D">
        <w:rPr>
          <w:szCs w:val="20"/>
        </w:rPr>
        <w:t>2017–18 there were 93,321 hospitalisations for minimal trauma</w:t>
      </w:r>
      <w:r>
        <w:rPr>
          <w:szCs w:val="20"/>
        </w:rPr>
        <w:t xml:space="preserve"> </w:t>
      </w:r>
      <w:r w:rsidRPr="00DA7C7D">
        <w:rPr>
          <w:szCs w:val="20"/>
        </w:rPr>
        <w:t>fractures in people aged 50 and over</w:t>
      </w:r>
      <w:r>
        <w:rPr>
          <w:szCs w:val="20"/>
        </w:rPr>
        <w:t xml:space="preserve"> and</w:t>
      </w:r>
      <w:r w:rsidRPr="00DA7C7D">
        <w:rPr>
          <w:szCs w:val="20"/>
        </w:rPr>
        <w:t xml:space="preserve"> 6,838 hospitalisations for osteoporosis for</w:t>
      </w:r>
      <w:r>
        <w:rPr>
          <w:szCs w:val="20"/>
        </w:rPr>
        <w:t xml:space="preserve"> </w:t>
      </w:r>
      <w:r w:rsidRPr="00DA7C7D">
        <w:rPr>
          <w:szCs w:val="20"/>
        </w:rPr>
        <w:t>people aged 50 and over</w:t>
      </w:r>
      <w:r>
        <w:rPr>
          <w:szCs w:val="20"/>
        </w:rPr>
        <w:t>.</w:t>
      </w:r>
    </w:p>
    <w:p w14:paraId="12D2F592" w14:textId="1A84E376" w:rsidR="00DA7C7D" w:rsidRDefault="00DA7C7D" w:rsidP="00DA7C7D">
      <w:pPr>
        <w:ind w:left="426"/>
        <w:rPr>
          <w:szCs w:val="20"/>
        </w:rPr>
      </w:pPr>
      <w:r w:rsidRPr="00DA7C7D">
        <w:rPr>
          <w:szCs w:val="20"/>
        </w:rPr>
        <w:t xml:space="preserve">Diagnosis of osteoporosis requires an assessment of bone mineral density (BMD). The </w:t>
      </w:r>
      <w:proofErr w:type="gramStart"/>
      <w:r w:rsidRPr="00DA7C7D">
        <w:rPr>
          <w:szCs w:val="20"/>
        </w:rPr>
        <w:t>most commonly used</w:t>
      </w:r>
      <w:proofErr w:type="gramEnd"/>
      <w:r w:rsidRPr="00DA7C7D">
        <w:rPr>
          <w:szCs w:val="20"/>
        </w:rPr>
        <w:t xml:space="preserve"> technique is a specialised X-ray</w:t>
      </w:r>
      <w:r>
        <w:rPr>
          <w:szCs w:val="20"/>
        </w:rPr>
        <w:t xml:space="preserve"> </w:t>
      </w:r>
      <w:r w:rsidRPr="00DA7C7D">
        <w:rPr>
          <w:szCs w:val="20"/>
        </w:rPr>
        <w:t>known as a 'Dual energy X-ray Absorptiometry (DXA) scan' to determine bone mineral density (BMD) in the hips and spine (IOF 2017). Scan</w:t>
      </w:r>
      <w:r>
        <w:rPr>
          <w:szCs w:val="20"/>
        </w:rPr>
        <w:t xml:space="preserve"> </w:t>
      </w:r>
      <w:r w:rsidRPr="00DA7C7D">
        <w:rPr>
          <w:szCs w:val="20"/>
        </w:rPr>
        <w:t>results are expressed as T-scores which compare a person's BMD with the average of young healthy adults</w:t>
      </w:r>
      <w:r w:rsidR="00350EC2">
        <w:rPr>
          <w:szCs w:val="20"/>
        </w:rPr>
        <w:t xml:space="preserve"> </w:t>
      </w:r>
    </w:p>
    <w:p w14:paraId="3C7A76C0" w14:textId="03EF6268" w:rsidR="00350EC2" w:rsidRDefault="00350EC2" w:rsidP="00350EC2">
      <w:pPr>
        <w:pStyle w:val="Caption"/>
        <w:ind w:left="426"/>
        <w:rPr>
          <w:szCs w:val="20"/>
        </w:rPr>
      </w:pPr>
      <w:r>
        <w:t xml:space="preserve">Table </w:t>
      </w:r>
      <w:r w:rsidR="00D63788">
        <w:fldChar w:fldCharType="begin"/>
      </w:r>
      <w:r w:rsidR="00D63788">
        <w:instrText xml:space="preserve"> SEQ Table \* ARABIC </w:instrText>
      </w:r>
      <w:r w:rsidR="00D63788">
        <w:fldChar w:fldCharType="separate"/>
      </w:r>
      <w:r w:rsidR="00B363E0">
        <w:rPr>
          <w:noProof/>
        </w:rPr>
        <w:t>1</w:t>
      </w:r>
      <w:r w:rsidR="00D63788">
        <w:rPr>
          <w:noProof/>
        </w:rPr>
        <w:fldChar w:fldCharType="end"/>
      </w:r>
      <w:r>
        <w:t>: Diagnosing osteoporosis using bone density testing</w:t>
      </w:r>
    </w:p>
    <w:tbl>
      <w:tblPr>
        <w:tblStyle w:val="TableGrid"/>
        <w:tblW w:w="0" w:type="auto"/>
        <w:tblInd w:w="426" w:type="dxa"/>
        <w:tblLook w:val="04A0" w:firstRow="1" w:lastRow="0" w:firstColumn="1" w:lastColumn="0" w:noHBand="0" w:noVBand="1"/>
      </w:tblPr>
      <w:tblGrid>
        <w:gridCol w:w="2120"/>
        <w:gridCol w:w="2134"/>
        <w:gridCol w:w="2162"/>
        <w:gridCol w:w="2174"/>
      </w:tblGrid>
      <w:tr w:rsidR="00350EC2" w:rsidRPr="00350EC2" w14:paraId="63775019" w14:textId="77777777" w:rsidTr="00350EC2">
        <w:tc>
          <w:tcPr>
            <w:tcW w:w="2254" w:type="dxa"/>
          </w:tcPr>
          <w:p w14:paraId="5F6BF3CD" w14:textId="09BDBF89" w:rsidR="00350EC2" w:rsidRPr="00350EC2" w:rsidRDefault="00350EC2" w:rsidP="00DA7C7D">
            <w:pPr>
              <w:rPr>
                <w:b/>
                <w:bCs/>
                <w:szCs w:val="20"/>
              </w:rPr>
            </w:pPr>
          </w:p>
        </w:tc>
        <w:tc>
          <w:tcPr>
            <w:tcW w:w="2254" w:type="dxa"/>
          </w:tcPr>
          <w:p w14:paraId="4B74ED3E" w14:textId="50A7CB70" w:rsidR="00350EC2" w:rsidRPr="00350EC2" w:rsidRDefault="00350EC2" w:rsidP="00DA7C7D">
            <w:pPr>
              <w:rPr>
                <w:b/>
                <w:bCs/>
                <w:szCs w:val="20"/>
              </w:rPr>
            </w:pPr>
            <w:r w:rsidRPr="00350EC2">
              <w:rPr>
                <w:b/>
                <w:bCs/>
                <w:szCs w:val="20"/>
              </w:rPr>
              <w:t>Normal</w:t>
            </w:r>
          </w:p>
        </w:tc>
        <w:tc>
          <w:tcPr>
            <w:tcW w:w="2254" w:type="dxa"/>
          </w:tcPr>
          <w:p w14:paraId="5FBE4155" w14:textId="06FB57EA" w:rsidR="00350EC2" w:rsidRPr="00350EC2" w:rsidRDefault="00350EC2" w:rsidP="00DA7C7D">
            <w:pPr>
              <w:rPr>
                <w:b/>
                <w:bCs/>
                <w:szCs w:val="20"/>
              </w:rPr>
            </w:pPr>
            <w:r w:rsidRPr="00350EC2">
              <w:rPr>
                <w:b/>
                <w:bCs/>
                <w:szCs w:val="20"/>
              </w:rPr>
              <w:t>Osteopenia</w:t>
            </w:r>
          </w:p>
        </w:tc>
        <w:tc>
          <w:tcPr>
            <w:tcW w:w="2254" w:type="dxa"/>
          </w:tcPr>
          <w:p w14:paraId="20DD439B" w14:textId="24684CBA" w:rsidR="00350EC2" w:rsidRPr="00350EC2" w:rsidRDefault="00350EC2" w:rsidP="00DA7C7D">
            <w:pPr>
              <w:rPr>
                <w:b/>
                <w:bCs/>
                <w:szCs w:val="20"/>
              </w:rPr>
            </w:pPr>
            <w:r w:rsidRPr="00350EC2">
              <w:rPr>
                <w:b/>
                <w:bCs/>
                <w:szCs w:val="20"/>
              </w:rPr>
              <w:t>Osteop</w:t>
            </w:r>
            <w:r w:rsidR="0089363D">
              <w:rPr>
                <w:b/>
                <w:bCs/>
                <w:szCs w:val="20"/>
              </w:rPr>
              <w:t>o</w:t>
            </w:r>
            <w:r w:rsidRPr="00350EC2">
              <w:rPr>
                <w:b/>
                <w:bCs/>
                <w:szCs w:val="20"/>
              </w:rPr>
              <w:t>rosis</w:t>
            </w:r>
          </w:p>
        </w:tc>
      </w:tr>
      <w:tr w:rsidR="00350EC2" w14:paraId="5372D8BE" w14:textId="77777777" w:rsidTr="00350EC2">
        <w:tc>
          <w:tcPr>
            <w:tcW w:w="2254" w:type="dxa"/>
          </w:tcPr>
          <w:p w14:paraId="6642895A" w14:textId="4F69AD3B" w:rsidR="00350EC2" w:rsidRPr="00350EC2" w:rsidRDefault="00350EC2" w:rsidP="00DA7C7D">
            <w:pPr>
              <w:rPr>
                <w:b/>
                <w:bCs/>
                <w:szCs w:val="20"/>
              </w:rPr>
            </w:pPr>
            <w:r w:rsidRPr="00350EC2">
              <w:rPr>
                <w:b/>
                <w:bCs/>
                <w:szCs w:val="20"/>
              </w:rPr>
              <w:t>T Score</w:t>
            </w:r>
          </w:p>
        </w:tc>
        <w:tc>
          <w:tcPr>
            <w:tcW w:w="2254" w:type="dxa"/>
          </w:tcPr>
          <w:p w14:paraId="219C2B92" w14:textId="0F32C82D" w:rsidR="00350EC2" w:rsidRDefault="00350EC2" w:rsidP="00DA7C7D">
            <w:pPr>
              <w:rPr>
                <w:szCs w:val="20"/>
              </w:rPr>
            </w:pPr>
            <w:r>
              <w:rPr>
                <w:szCs w:val="20"/>
              </w:rPr>
              <w:t>1 to -1</w:t>
            </w:r>
          </w:p>
        </w:tc>
        <w:tc>
          <w:tcPr>
            <w:tcW w:w="2254" w:type="dxa"/>
          </w:tcPr>
          <w:p w14:paraId="7F404CC3" w14:textId="43A84599" w:rsidR="00350EC2" w:rsidRDefault="00350EC2" w:rsidP="00DA7C7D">
            <w:pPr>
              <w:rPr>
                <w:szCs w:val="20"/>
              </w:rPr>
            </w:pPr>
            <w:r>
              <w:rPr>
                <w:szCs w:val="20"/>
              </w:rPr>
              <w:t>-1 to -2.5</w:t>
            </w:r>
          </w:p>
        </w:tc>
        <w:tc>
          <w:tcPr>
            <w:tcW w:w="2254" w:type="dxa"/>
          </w:tcPr>
          <w:p w14:paraId="60CDD50A" w14:textId="2DB68B24" w:rsidR="00350EC2" w:rsidRDefault="00350EC2" w:rsidP="00DA7C7D">
            <w:pPr>
              <w:rPr>
                <w:szCs w:val="20"/>
              </w:rPr>
            </w:pPr>
            <w:r>
              <w:rPr>
                <w:szCs w:val="20"/>
              </w:rPr>
              <w:t>-2.5 or lower</w:t>
            </w:r>
          </w:p>
        </w:tc>
      </w:tr>
    </w:tbl>
    <w:p w14:paraId="56A3965B" w14:textId="77777777" w:rsidR="005D3B5C" w:rsidRDefault="005D3B5C" w:rsidP="00457A9F">
      <w:pPr>
        <w:ind w:left="426"/>
        <w:rPr>
          <w:szCs w:val="20"/>
        </w:rPr>
      </w:pPr>
    </w:p>
    <w:p w14:paraId="1900543F" w14:textId="77777777" w:rsidR="005D3B5C" w:rsidRDefault="005D3B5C">
      <w:pPr>
        <w:spacing w:before="0" w:after="200" w:line="276" w:lineRule="auto"/>
        <w:rPr>
          <w:szCs w:val="20"/>
        </w:rPr>
      </w:pPr>
      <w:r>
        <w:rPr>
          <w:szCs w:val="20"/>
        </w:rPr>
        <w:br w:type="page"/>
      </w:r>
    </w:p>
    <w:p w14:paraId="0F5481A7" w14:textId="5CCBFEF1" w:rsidR="00DA7C7D" w:rsidRPr="00154B00" w:rsidRDefault="00350EC2" w:rsidP="00457A9F">
      <w:pPr>
        <w:ind w:left="426"/>
        <w:rPr>
          <w:szCs w:val="20"/>
        </w:rPr>
      </w:pPr>
      <w:r w:rsidRPr="00350EC2">
        <w:rPr>
          <w:szCs w:val="20"/>
        </w:rPr>
        <w:lastRenderedPageBreak/>
        <w:t>Osteoporosis is largely a preventable disease. The goal of the prevention and treatment of osteoporosis is to maintain bone density and</w:t>
      </w:r>
      <w:r>
        <w:rPr>
          <w:szCs w:val="20"/>
        </w:rPr>
        <w:t xml:space="preserve"> </w:t>
      </w:r>
      <w:r w:rsidRPr="00350EC2">
        <w:rPr>
          <w:szCs w:val="20"/>
        </w:rPr>
        <w:t>reduce a person’s overall fracture risk (RACGP 2018).</w:t>
      </w:r>
      <w:r>
        <w:rPr>
          <w:szCs w:val="20"/>
        </w:rPr>
        <w:t xml:space="preserve"> </w:t>
      </w:r>
      <w:r w:rsidRPr="00350EC2">
        <w:rPr>
          <w:szCs w:val="20"/>
        </w:rPr>
        <w:t>Primary prevention of osteoporosis involves supplementing diet to get sufficient calcium and vitamin D, and behaviour modification such as</w:t>
      </w:r>
      <w:r>
        <w:rPr>
          <w:szCs w:val="20"/>
        </w:rPr>
        <w:t xml:space="preserve"> </w:t>
      </w:r>
      <w:r w:rsidRPr="00350EC2">
        <w:rPr>
          <w:szCs w:val="20"/>
        </w:rPr>
        <w:t>regular weight-bearing and resistance exercise, keeping alcohol intake low and not smoking, and fall reduction strategies (RACGP 2018).</w:t>
      </w:r>
      <w:r>
        <w:rPr>
          <w:szCs w:val="20"/>
        </w:rPr>
        <w:t xml:space="preserve"> </w:t>
      </w:r>
      <w:r w:rsidRPr="00350EC2">
        <w:rPr>
          <w:szCs w:val="20"/>
        </w:rPr>
        <w:t>There is a diverse range of medicines available for osteoporosis management, so treatment selection is guided by a number of factors</w:t>
      </w:r>
      <w:r>
        <w:rPr>
          <w:szCs w:val="20"/>
        </w:rPr>
        <w:t xml:space="preserve"> </w:t>
      </w:r>
      <w:r w:rsidRPr="00350EC2">
        <w:rPr>
          <w:szCs w:val="20"/>
        </w:rPr>
        <w:t>including sex, “menopausal status, medical history, whether it is for primary or secondary fracture prevention, patient preference and</w:t>
      </w:r>
      <w:r>
        <w:rPr>
          <w:szCs w:val="20"/>
        </w:rPr>
        <w:t xml:space="preserve"> </w:t>
      </w:r>
      <w:r w:rsidRPr="00350EC2">
        <w:rPr>
          <w:szCs w:val="20"/>
        </w:rPr>
        <w:t>eligibility for government subsidy” (Bell et al. 2012).</w:t>
      </w:r>
    </w:p>
    <w:p w14:paraId="2A971A1A" w14:textId="1792EA16" w:rsidR="0012256A" w:rsidRDefault="00AA5FDA" w:rsidP="00457A9F">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0F4AB272" w14:textId="6D0126BD" w:rsidR="00B240B2" w:rsidRDefault="00291D2F" w:rsidP="00457A9F">
      <w:pPr>
        <w:ind w:left="426"/>
      </w:pPr>
      <w:r>
        <w:t xml:space="preserve">It is proposed that patients currently eligible for DXA scanning (items </w:t>
      </w:r>
      <w:r w:rsidRPr="00D63788">
        <w:t>12306. 12312, 12315, 12320, 12321, 12322</w:t>
      </w:r>
      <w:r>
        <w:t>) would also be eligible for use of RE</w:t>
      </w:r>
      <w:r w:rsidR="00727C45">
        <w:t>MS, with the DXA items listed to help identify the analogous populations proposed.</w:t>
      </w:r>
      <w:r w:rsidR="00D0328F">
        <w:t xml:space="preserve"> </w:t>
      </w:r>
      <w:r w:rsidR="0012256A">
        <w:t xml:space="preserve">The patient would be investigated, </w:t>
      </w:r>
      <w:proofErr w:type="gramStart"/>
      <w:r w:rsidR="0012256A">
        <w:t>managed</w:t>
      </w:r>
      <w:proofErr w:type="gramEnd"/>
      <w:r w:rsidR="0012256A">
        <w:t xml:space="preserve"> and referred in the same way they currently are for DXA scanning prior to being considered eligible for REMS.</w:t>
      </w:r>
    </w:p>
    <w:p w14:paraId="0F24F48E" w14:textId="5CDC3A80" w:rsidR="00E35CC3" w:rsidRDefault="00E35CC3" w:rsidP="0012256A">
      <w:pPr>
        <w:ind w:left="426"/>
      </w:pPr>
      <w:r>
        <w:t xml:space="preserve">Use would be restricted to specific adult populations. Strict criteria on the frequency of use would be applied, i.e. usually requiring a minimum 24 month period between testing, except for the </w:t>
      </w:r>
      <w:r>
        <w:rPr>
          <w:rFonts w:cstheme="minorHAnsi"/>
        </w:rPr>
        <w:t>≥</w:t>
      </w:r>
      <w:r>
        <w:t xml:space="preserve">70 years monitoring disease progression population where frequency would be </w:t>
      </w:r>
      <w:r>
        <w:rPr>
          <w:rFonts w:cstheme="minorHAnsi"/>
        </w:rPr>
        <w:t>≥</w:t>
      </w:r>
      <w:r>
        <w:t xml:space="preserve">2 years or </w:t>
      </w:r>
      <w:r>
        <w:rPr>
          <w:rFonts w:cstheme="minorHAnsi"/>
        </w:rPr>
        <w:t>≥</w:t>
      </w:r>
      <w:r>
        <w:t xml:space="preserve">5 years, depending on which range the tscore fell into). There are also some populations where the minimum frequency is 12 months, i.e. after proven low BMD diagnosis or for the monitoring of prolonged glucocorticoid therapy, excess glucocorticoid secretion, male </w:t>
      </w:r>
      <w:proofErr w:type="gramStart"/>
      <w:r>
        <w:t>hypogonadism</w:t>
      </w:r>
      <w:proofErr w:type="gramEnd"/>
      <w:r>
        <w:t xml:space="preserve"> or </w:t>
      </w:r>
      <w:r w:rsidR="00EC6FC6">
        <w:t>the specified female hypogonadism indication.</w:t>
      </w:r>
    </w:p>
    <w:p w14:paraId="52A44741" w14:textId="3DCBFAA4" w:rsidR="00B240B2" w:rsidRDefault="0012256A" w:rsidP="0012256A">
      <w:pPr>
        <w:ind w:left="426"/>
      </w:pPr>
      <w:r>
        <w:t>While generalised population screening is not proposed (being inconsistent with MBS listing, since the scheme does not usually cover screening programs)</w:t>
      </w:r>
      <w:r w:rsidR="00B240B2">
        <w:t xml:space="preserve">, the following key populations are proposed as suitable, </w:t>
      </w:r>
      <w:r w:rsidR="00394B27">
        <w:t>modelled</w:t>
      </w:r>
      <w:r w:rsidR="00B240B2">
        <w:t xml:space="preserve"> on the eligible DXA scanning populations:</w:t>
      </w:r>
    </w:p>
    <w:p w14:paraId="73464976" w14:textId="6F3DAC22" w:rsidR="00B240B2" w:rsidRPr="00112866" w:rsidRDefault="00B240B2" w:rsidP="00227AA8">
      <w:pPr>
        <w:pStyle w:val="ListParagraph"/>
        <w:numPr>
          <w:ilvl w:val="0"/>
          <w:numId w:val="51"/>
        </w:numPr>
      </w:pPr>
      <w:r w:rsidRPr="00112866">
        <w:rPr>
          <w:b/>
          <w:bCs/>
          <w:color w:val="0070C0"/>
        </w:rPr>
        <w:t xml:space="preserve">Diagnostic use (1): </w:t>
      </w:r>
      <w:r>
        <w:t>People</w:t>
      </w:r>
      <w:r w:rsidRPr="00112866">
        <w:t xml:space="preserve"> who have experienced minimal trauma fractures who require BMD status to be assessed </w:t>
      </w:r>
      <w:proofErr w:type="gramStart"/>
      <w:r w:rsidRPr="00112866">
        <w:t>in order to</w:t>
      </w:r>
      <w:proofErr w:type="gramEnd"/>
      <w:r w:rsidRPr="00112866">
        <w:t xml:space="preserve"> diagnose osteoporosis or another possible fracture cause.</w:t>
      </w:r>
    </w:p>
    <w:p w14:paraId="230A7DD9" w14:textId="271EE0A5" w:rsidR="00B240B2" w:rsidRDefault="00B240B2" w:rsidP="00227AA8">
      <w:pPr>
        <w:pStyle w:val="ListParagraph"/>
        <w:numPr>
          <w:ilvl w:val="0"/>
          <w:numId w:val="51"/>
        </w:numPr>
      </w:pPr>
      <w:r w:rsidRPr="00112866">
        <w:rPr>
          <w:b/>
          <w:bCs/>
          <w:color w:val="0070C0"/>
        </w:rPr>
        <w:t xml:space="preserve">Diagnostic use (2): </w:t>
      </w:r>
      <w:r w:rsidRPr="00112866">
        <w:t>In</w:t>
      </w:r>
      <w:r>
        <w:rPr>
          <w:b/>
          <w:bCs/>
        </w:rPr>
        <w:t xml:space="preserve"> </w:t>
      </w:r>
      <w:r>
        <w:t>populations</w:t>
      </w:r>
      <w:r w:rsidR="0012256A">
        <w:t xml:space="preserve"> with known</w:t>
      </w:r>
      <w:r>
        <w:t>, specified</w:t>
      </w:r>
      <w:r w:rsidR="0012256A">
        <w:t xml:space="preserve"> risk factors</w:t>
      </w:r>
      <w:r>
        <w:t xml:space="preserve"> (listed in bullet points below)</w:t>
      </w:r>
      <w:r w:rsidR="0012256A">
        <w:t xml:space="preserve">. </w:t>
      </w:r>
    </w:p>
    <w:p w14:paraId="5EDA453E" w14:textId="1F2ECA06" w:rsidR="00B240B2" w:rsidRDefault="00B240B2" w:rsidP="00227AA8">
      <w:pPr>
        <w:pStyle w:val="ListParagraph"/>
        <w:numPr>
          <w:ilvl w:val="0"/>
          <w:numId w:val="51"/>
        </w:numPr>
      </w:pPr>
      <w:r w:rsidRPr="00112866">
        <w:rPr>
          <w:b/>
          <w:bCs/>
          <w:color w:val="0070C0"/>
        </w:rPr>
        <w:t xml:space="preserve">Monitoring disease progression: </w:t>
      </w:r>
      <w:r w:rsidRPr="00112866">
        <w:t>In populations previously diagnosed with low BMD via either DXA or REMS scanning</w:t>
      </w:r>
      <w:r w:rsidRPr="00227AA8">
        <w:t xml:space="preserve"> (only allowed at appropriate</w:t>
      </w:r>
      <w:r>
        <w:t xml:space="preserve">, </w:t>
      </w:r>
      <w:proofErr w:type="gramStart"/>
      <w:r>
        <w:t>defined  intervals</w:t>
      </w:r>
      <w:proofErr w:type="gramEnd"/>
      <w:r w:rsidR="00394B27">
        <w:t>).</w:t>
      </w:r>
      <w:r>
        <w:t xml:space="preserve"> </w:t>
      </w:r>
    </w:p>
    <w:p w14:paraId="7A309AB7" w14:textId="14EE3A44" w:rsidR="00E35CC3" w:rsidRDefault="00B240B2" w:rsidP="00457A9F">
      <w:pPr>
        <w:pStyle w:val="ListParagraph"/>
        <w:numPr>
          <w:ilvl w:val="0"/>
          <w:numId w:val="51"/>
        </w:numPr>
      </w:pPr>
      <w:r w:rsidRPr="00112866">
        <w:rPr>
          <w:b/>
          <w:bCs/>
          <w:color w:val="0070C0"/>
        </w:rPr>
        <w:t>M</w:t>
      </w:r>
      <w:r w:rsidR="0012256A" w:rsidRPr="00112866">
        <w:rPr>
          <w:b/>
          <w:bCs/>
          <w:color w:val="0070C0"/>
        </w:rPr>
        <w:t>onitor</w:t>
      </w:r>
      <w:r w:rsidRPr="00112866">
        <w:rPr>
          <w:b/>
          <w:bCs/>
          <w:color w:val="0070C0"/>
        </w:rPr>
        <w:t>ing</w:t>
      </w:r>
      <w:r w:rsidR="0012256A" w:rsidRPr="00112866">
        <w:rPr>
          <w:b/>
          <w:bCs/>
          <w:color w:val="0070C0"/>
        </w:rPr>
        <w:t xml:space="preserve"> response</w:t>
      </w:r>
      <w:r w:rsidRPr="00112866">
        <w:rPr>
          <w:b/>
          <w:bCs/>
          <w:color w:val="0070C0"/>
        </w:rPr>
        <w:t xml:space="preserve"> to anti-osteoporosis medication: </w:t>
      </w:r>
      <w:r w:rsidRPr="00112866">
        <w:t>People who have been diagnosed with osteoporosis via BMD measurements who have had a</w:t>
      </w:r>
      <w:r w:rsidR="0012256A" w:rsidRPr="00227AA8">
        <w:t xml:space="preserve"> significant</w:t>
      </w:r>
      <w:r w:rsidR="0012256A">
        <w:t xml:space="preserve"> change in osteoporosis therapy (e.g. with use of bisphosphonates, denosumab, oestrogen replacement therapy, strontium renalate)</w:t>
      </w:r>
      <w:r>
        <w:t xml:space="preserve"> more than 12 months prior.</w:t>
      </w:r>
    </w:p>
    <w:p w14:paraId="2B4B0A64" w14:textId="6DEE877C" w:rsidR="00291D2F" w:rsidRDefault="00D0328F" w:rsidP="00E357B9">
      <w:pPr>
        <w:ind w:left="426"/>
      </w:pPr>
      <w:r>
        <w:t xml:space="preserve">Clinical trial data to support use in the key </w:t>
      </w:r>
      <w:r w:rsidR="00B240B2">
        <w:t xml:space="preserve">proposed </w:t>
      </w:r>
      <w:r>
        <w:t>populations would be provided, including in those aged over 70 years. Where possible subgroup analyses of the key studies would be used to support use across the proposed sub-populations.</w:t>
      </w:r>
    </w:p>
    <w:p w14:paraId="319BF743" w14:textId="4A7A5B05" w:rsidR="00833AD9" w:rsidRDefault="00B240B2" w:rsidP="00E357B9">
      <w:pPr>
        <w:ind w:left="426"/>
      </w:pPr>
      <w:r>
        <w:t xml:space="preserve">It is proposed that </w:t>
      </w:r>
      <w:r w:rsidR="00860563">
        <w:t>Echolight</w:t>
      </w:r>
      <w:r>
        <w:t>/REMS technology</w:t>
      </w:r>
      <w:r w:rsidR="009D4AA0">
        <w:t xml:space="preserve"> </w:t>
      </w:r>
      <w:r w:rsidR="00860563">
        <w:t xml:space="preserve">would be used in place of DXA scanning to </w:t>
      </w:r>
      <w:r w:rsidR="00EE1ECF">
        <w:t>measure bone densitometry</w:t>
      </w:r>
      <w:r w:rsidR="00860563">
        <w:t xml:space="preserve"> </w:t>
      </w:r>
      <w:r w:rsidR="00EE1ECF">
        <w:t>in</w:t>
      </w:r>
      <w:r w:rsidR="00833AD9">
        <w:t>:</w:t>
      </w:r>
    </w:p>
    <w:p w14:paraId="398ADCA4" w14:textId="60380DC1" w:rsidR="00833AD9" w:rsidRDefault="00833AD9" w:rsidP="00112866">
      <w:pPr>
        <w:pStyle w:val="ListParagraph"/>
        <w:numPr>
          <w:ilvl w:val="0"/>
          <w:numId w:val="49"/>
        </w:numPr>
      </w:pPr>
      <w:r>
        <w:t>Previously identified low BMD</w:t>
      </w:r>
      <w:r w:rsidR="00291D2F">
        <w:t xml:space="preserve"> diagnosed based on fractures following minimal trauma or monitoring of low BMD proven by densitometry at least 12 months previously</w:t>
      </w:r>
      <w:r>
        <w:t xml:space="preserve"> (</w:t>
      </w:r>
      <w:r w:rsidR="00291D2F">
        <w:t xml:space="preserve">analogous to </w:t>
      </w:r>
      <w:r>
        <w:t>item 12306)</w:t>
      </w:r>
    </w:p>
    <w:p w14:paraId="00E8B20D" w14:textId="617490EF" w:rsidR="00350EC2" w:rsidRDefault="00833AD9" w:rsidP="00112866">
      <w:pPr>
        <w:pStyle w:val="ListParagraph"/>
        <w:numPr>
          <w:ilvl w:val="0"/>
          <w:numId w:val="49"/>
        </w:numPr>
      </w:pPr>
      <w:r>
        <w:t>Bone loss associated with prolonged glucocorticoid therapy, any condition associated excess glucocorticoid secretion, male hypogonadism, female hypogonadism lasting more than 6 months before the age of 45 (item 12312)</w:t>
      </w:r>
    </w:p>
    <w:p w14:paraId="66D720A2" w14:textId="4FE90946" w:rsidR="00833AD9" w:rsidRDefault="00184D0D" w:rsidP="00112866">
      <w:pPr>
        <w:pStyle w:val="ListParagraph"/>
        <w:numPr>
          <w:ilvl w:val="0"/>
          <w:numId w:val="49"/>
        </w:numPr>
      </w:pPr>
      <w:r>
        <w:t>Bone loss associated with primary hyperparathyroidism, chronic liver disease, chronic renal disease, any proven malabsorptive disorder, rheumatoid arthritis, any condition associated with thyroxine excess (item 12315)</w:t>
      </w:r>
    </w:p>
    <w:p w14:paraId="4169B26C" w14:textId="3A15A436" w:rsidR="00184D0D" w:rsidRDefault="00184D0D" w:rsidP="00112866">
      <w:pPr>
        <w:pStyle w:val="ListParagraph"/>
        <w:numPr>
          <w:ilvl w:val="0"/>
          <w:numId w:val="49"/>
        </w:numPr>
      </w:pPr>
      <w:r>
        <w:t>Patent aged 70 years of age or over who has not previously had densitometry or the t-score for the patient’s BMD is</w:t>
      </w:r>
      <w:r w:rsidR="00112866">
        <w:t xml:space="preserve"> less than</w:t>
      </w:r>
      <w:r>
        <w:t xml:space="preserve"> 1.5</w:t>
      </w:r>
      <w:r w:rsidR="00112866">
        <w:t>, but not</w:t>
      </w:r>
      <w:r>
        <w:t xml:space="preserve"> more</w:t>
      </w:r>
      <w:r w:rsidR="00112866">
        <w:t xml:space="preserve"> than 2.5</w:t>
      </w:r>
      <w:r>
        <w:t xml:space="preserve"> (item 12320)</w:t>
      </w:r>
    </w:p>
    <w:p w14:paraId="6E71F2B7" w14:textId="41276684" w:rsidR="00184D0D" w:rsidRDefault="00184D0D" w:rsidP="00112866">
      <w:pPr>
        <w:pStyle w:val="ListParagraph"/>
        <w:numPr>
          <w:ilvl w:val="0"/>
          <w:numId w:val="49"/>
        </w:numPr>
      </w:pPr>
      <w:r>
        <w:t xml:space="preserve">Established low BMD or confirming a presumptive diagnosis of BMD made </w:t>
      </w:r>
      <w:proofErr w:type="gramStart"/>
      <w:r>
        <w:t>on the basis of</w:t>
      </w:r>
      <w:proofErr w:type="gramEnd"/>
      <w:r>
        <w:t xml:space="preserve"> 1 or more fractures occurring after minimal trauma (item 12321)</w:t>
      </w:r>
    </w:p>
    <w:p w14:paraId="3CF87830" w14:textId="7ECE0875" w:rsidR="00A32324" w:rsidRDefault="00A32324" w:rsidP="00D63788">
      <w:pPr>
        <w:pStyle w:val="ListParagraph"/>
        <w:numPr>
          <w:ilvl w:val="0"/>
          <w:numId w:val="49"/>
        </w:numPr>
      </w:pPr>
      <w:r>
        <w:lastRenderedPageBreak/>
        <w:t xml:space="preserve">Patient is over 70 years of age and the t-score is less than </w:t>
      </w:r>
      <w:r w:rsidR="001D67F3">
        <w:t>-</w:t>
      </w:r>
      <w:r>
        <w:t xml:space="preserve">1.5 but more than </w:t>
      </w:r>
      <w:r w:rsidR="001D67F3">
        <w:t>-</w:t>
      </w:r>
      <w:r>
        <w:t>2.5 (item 12322).</w:t>
      </w:r>
    </w:p>
    <w:p w14:paraId="6A4E9B5B" w14:textId="08B4BCD4" w:rsidR="00184D0D" w:rsidRDefault="00184D0D" w:rsidP="00E357B9">
      <w:pPr>
        <w:ind w:left="426"/>
      </w:pPr>
      <w:r>
        <w:t xml:space="preserve">Patient management and referral would be consistent with existing patterns of osteoporosis risk assessment, </w:t>
      </w:r>
      <w:proofErr w:type="gramStart"/>
      <w:r>
        <w:t>diagnosis</w:t>
      </w:r>
      <w:proofErr w:type="gramEnd"/>
      <w:r>
        <w:t xml:space="preserve"> and management, as described under point 26.</w:t>
      </w:r>
    </w:p>
    <w:p w14:paraId="4945B2DB" w14:textId="7C8B768C" w:rsidR="00B0305D" w:rsidRPr="00B0305D" w:rsidRDefault="00B0305D" w:rsidP="00B0305D">
      <w:pPr>
        <w:ind w:left="426"/>
        <w:rPr>
          <w:szCs w:val="20"/>
        </w:rPr>
      </w:pPr>
      <w:r w:rsidRPr="00B0305D">
        <w:rPr>
          <w:szCs w:val="20"/>
        </w:rPr>
        <w:t xml:space="preserve">As the REMS device can be portable, this may provide improved access to some high risk or ‘hard to reach’ populations who might present difficulties for a DXA scan.  These include </w:t>
      </w:r>
    </w:p>
    <w:p w14:paraId="11EB607D" w14:textId="77777777" w:rsidR="00B0305D" w:rsidRPr="00B0305D" w:rsidRDefault="00B0305D" w:rsidP="00B0305D">
      <w:pPr>
        <w:ind w:left="426"/>
        <w:rPr>
          <w:szCs w:val="20"/>
        </w:rPr>
      </w:pPr>
      <w:r w:rsidRPr="00B0305D">
        <w:rPr>
          <w:szCs w:val="20"/>
        </w:rPr>
        <w:t>1.</w:t>
      </w:r>
      <w:r w:rsidRPr="00B0305D">
        <w:rPr>
          <w:szCs w:val="20"/>
        </w:rPr>
        <w:tab/>
        <w:t xml:space="preserve">regional and remote communities, </w:t>
      </w:r>
    </w:p>
    <w:p w14:paraId="0DE16897" w14:textId="77777777" w:rsidR="00B0305D" w:rsidRPr="00B0305D" w:rsidRDefault="00B0305D" w:rsidP="00B0305D">
      <w:pPr>
        <w:ind w:left="426"/>
        <w:rPr>
          <w:szCs w:val="20"/>
        </w:rPr>
      </w:pPr>
      <w:r w:rsidRPr="00B0305D">
        <w:rPr>
          <w:szCs w:val="20"/>
        </w:rPr>
        <w:t>2.</w:t>
      </w:r>
      <w:r w:rsidRPr="00B0305D">
        <w:rPr>
          <w:szCs w:val="20"/>
        </w:rPr>
        <w:tab/>
        <w:t xml:space="preserve">indigenous populations &amp; communities, </w:t>
      </w:r>
    </w:p>
    <w:p w14:paraId="1B761FC8" w14:textId="77777777" w:rsidR="00B0305D" w:rsidRPr="00B0305D" w:rsidRDefault="00B0305D" w:rsidP="00B0305D">
      <w:pPr>
        <w:ind w:left="426"/>
        <w:rPr>
          <w:szCs w:val="20"/>
        </w:rPr>
      </w:pPr>
      <w:r w:rsidRPr="00B0305D">
        <w:rPr>
          <w:szCs w:val="20"/>
        </w:rPr>
        <w:t>3.</w:t>
      </w:r>
      <w:r w:rsidRPr="00B0305D">
        <w:rPr>
          <w:szCs w:val="20"/>
        </w:rPr>
        <w:tab/>
        <w:t xml:space="preserve"> Elderly &amp; frail who have reduced mobility</w:t>
      </w:r>
    </w:p>
    <w:p w14:paraId="277D8C3E" w14:textId="51AFCDD7" w:rsidR="00B0305D" w:rsidRPr="00154B00" w:rsidRDefault="00B0305D" w:rsidP="00B0305D">
      <w:pPr>
        <w:ind w:left="426"/>
        <w:rPr>
          <w:szCs w:val="20"/>
        </w:rPr>
      </w:pPr>
      <w:r w:rsidRPr="00B0305D">
        <w:rPr>
          <w:szCs w:val="20"/>
        </w:rPr>
        <w:t>4.</w:t>
      </w:r>
      <w:r w:rsidRPr="00B0305D">
        <w:rPr>
          <w:szCs w:val="20"/>
        </w:rPr>
        <w:tab/>
        <w:t>Those with bone deformity / difficulty and cannot lie perfectly supine.</w:t>
      </w:r>
    </w:p>
    <w:p w14:paraId="22CE5E4B"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7EF94F7B" w14:textId="19150F90" w:rsidR="00EE1ECF" w:rsidRDefault="00EE1ECF" w:rsidP="00D73646">
      <w:pPr>
        <w:ind w:left="426"/>
      </w:pPr>
      <w:r>
        <w:t>The current RACGP-recommended clinical management pathway for osteoporosis risk assessment, diagnosis and management is provided overleaf. Currently DXA scanning is recommended at 2 points in the management pathway, consistent with existing MBS reimbursement criteria (green boxes in diagram</w:t>
      </w:r>
      <w:r w:rsidR="001B5516">
        <w:t>, plus recommended as an optional assessment in one other group</w:t>
      </w:r>
      <w:r w:rsidR="00F42132">
        <w:t>)</w:t>
      </w:r>
      <w:r>
        <w:t>:</w:t>
      </w:r>
    </w:p>
    <w:p w14:paraId="554CC54A" w14:textId="4BA1F47D" w:rsidR="00EE1ECF" w:rsidRDefault="00EE1ECF" w:rsidP="00EE1ECF">
      <w:pPr>
        <w:pStyle w:val="ListParagraph"/>
        <w:numPr>
          <w:ilvl w:val="0"/>
          <w:numId w:val="38"/>
        </w:numPr>
      </w:pPr>
      <w:r>
        <w:t>Minimal trauma fracture at a site other than hip or vertebral fracture DXA scanning of spine and proximal femur is required.</w:t>
      </w:r>
    </w:p>
    <w:p w14:paraId="1F2D32F5" w14:textId="297B4AA4" w:rsidR="00EE1ECF" w:rsidRDefault="00EE1ECF" w:rsidP="00EE1ECF">
      <w:pPr>
        <w:pStyle w:val="ListParagraph"/>
        <w:numPr>
          <w:ilvl w:val="0"/>
          <w:numId w:val="38"/>
        </w:numPr>
      </w:pPr>
      <w:r>
        <w:t xml:space="preserve">No history of minimal trauma </w:t>
      </w:r>
      <w:proofErr w:type="gramStart"/>
      <w:r>
        <w:t>fracture</w:t>
      </w:r>
      <w:proofErr w:type="gramEnd"/>
      <w:r>
        <w:t xml:space="preserve"> a DXA scan of spine and proximal femur is recommended if aged </w:t>
      </w:r>
      <w:r>
        <w:rPr>
          <w:rFonts w:cstheme="minorHAnsi"/>
        </w:rPr>
        <w:t>≥</w:t>
      </w:r>
      <w:r>
        <w:t>70 years or</w:t>
      </w:r>
      <w:r w:rsidR="00822928">
        <w:t xml:space="preserve"> in younger patients,</w:t>
      </w:r>
      <w:r>
        <w:t xml:space="preserve"> </w:t>
      </w:r>
      <w:r w:rsidR="00822928">
        <w:t>following risk factor profile assessment.</w:t>
      </w:r>
    </w:p>
    <w:p w14:paraId="0FDDDA3C" w14:textId="254720A3" w:rsidR="00F62D30" w:rsidRDefault="00F62D30" w:rsidP="00457A9F">
      <w:pPr>
        <w:pStyle w:val="ListParagraph"/>
        <w:numPr>
          <w:ilvl w:val="0"/>
          <w:numId w:val="38"/>
        </w:numPr>
      </w:pPr>
      <w:r>
        <w:t>In patients with minimal trauma hip or vertebral fracture DXA scanning is recommended to establish baseline BMD, but not considered essential.</w:t>
      </w:r>
    </w:p>
    <w:p w14:paraId="5BD5FC10" w14:textId="3618FF8D" w:rsidR="00822928" w:rsidRDefault="00822928" w:rsidP="00457A9F">
      <w:pPr>
        <w:ind w:left="426"/>
      </w:pPr>
      <w:r>
        <w:t>All steps in the current clinical management pathway prior to use of DXA scan would also apply prior to use of Echolight BMD</w:t>
      </w:r>
      <w:r w:rsidR="00727C45">
        <w:t>/REMS</w:t>
      </w:r>
      <w:r>
        <w:t xml:space="preserve"> testing</w:t>
      </w:r>
      <w:r w:rsidR="00184D0D">
        <w:t xml:space="preserve"> (in place of DXA scanning)</w:t>
      </w:r>
      <w:r w:rsidR="00F62D30">
        <w:t>, with Clinicians required to clinically assess either patients presenting with minimal trauma fracture or with risk factors for low BMD.</w:t>
      </w:r>
    </w:p>
    <w:p w14:paraId="12077B20" w14:textId="1B45E141" w:rsidR="00EE1ECF" w:rsidRDefault="00EE1ECF" w:rsidP="00D73646">
      <w:pPr>
        <w:ind w:left="426"/>
      </w:pPr>
      <w:r>
        <w:t xml:space="preserve">Source: </w:t>
      </w:r>
      <w:hyperlink r:id="rId22" w:history="1">
        <w:r w:rsidR="00822928" w:rsidRPr="00A10158">
          <w:rPr>
            <w:rStyle w:val="Hyperlink"/>
          </w:rPr>
          <w:t>https://www.racgp.org.au/download/Documents/Guidelines/Musculoskeletal/osteoporosis-algorithm.pdf</w:t>
        </w:r>
      </w:hyperlink>
    </w:p>
    <w:p w14:paraId="5331F4D6" w14:textId="3E8A9846" w:rsidR="00EE1ECF" w:rsidRDefault="00EE1ECF" w:rsidP="00D73646">
      <w:pPr>
        <w:ind w:left="426"/>
      </w:pPr>
    </w:p>
    <w:p w14:paraId="191CF700" w14:textId="77777777" w:rsidR="00EE1ECF" w:rsidRDefault="00EE1ECF" w:rsidP="00D73646">
      <w:pPr>
        <w:ind w:left="426"/>
        <w:sectPr w:rsidR="00EE1ECF" w:rsidSect="00DD308E">
          <w:pgSz w:w="11906" w:h="16838"/>
          <w:pgMar w:top="1440" w:right="1440" w:bottom="1440" w:left="1440" w:header="708" w:footer="708" w:gutter="0"/>
          <w:cols w:space="708"/>
          <w:docGrid w:linePitch="360"/>
        </w:sectPr>
      </w:pPr>
    </w:p>
    <w:p w14:paraId="3FB09F18" w14:textId="5A51AD1A" w:rsidR="00EE1ECF" w:rsidRDefault="00EE1ECF" w:rsidP="00D73646">
      <w:pPr>
        <w:ind w:left="426"/>
      </w:pPr>
      <w:r w:rsidRPr="00EE1ECF">
        <w:rPr>
          <w:noProof/>
        </w:rPr>
        <w:lastRenderedPageBreak/>
        <w:drawing>
          <wp:inline distT="0" distB="0" distL="0" distR="0" wp14:anchorId="33823653" wp14:editId="5749525D">
            <wp:extent cx="8467725" cy="60604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538266" cy="6110923"/>
                    </a:xfrm>
                    <a:prstGeom prst="rect">
                      <a:avLst/>
                    </a:prstGeom>
                  </pic:spPr>
                </pic:pic>
              </a:graphicData>
            </a:graphic>
          </wp:inline>
        </w:drawing>
      </w:r>
    </w:p>
    <w:p w14:paraId="37133137" w14:textId="77777777" w:rsidR="00EE1ECF" w:rsidRDefault="00EE1ECF" w:rsidP="00D73646">
      <w:pPr>
        <w:ind w:left="426"/>
        <w:sectPr w:rsidR="00EE1ECF" w:rsidSect="00EE1ECF">
          <w:pgSz w:w="16838" w:h="11906" w:orient="landscape"/>
          <w:pgMar w:top="1440" w:right="1440" w:bottom="1440" w:left="1440" w:header="708" w:footer="708" w:gutter="0"/>
          <w:cols w:space="708"/>
          <w:docGrid w:linePitch="360"/>
        </w:sectPr>
      </w:pPr>
    </w:p>
    <w:p w14:paraId="71302BB0" w14:textId="77777777" w:rsidR="00EE1ECF" w:rsidRPr="00BC424B" w:rsidRDefault="00EE1ECF" w:rsidP="00D73646">
      <w:pPr>
        <w:ind w:left="426"/>
      </w:pPr>
    </w:p>
    <w:p w14:paraId="57468B0F" w14:textId="77777777" w:rsidR="002A50FD" w:rsidRPr="00881F93" w:rsidRDefault="005C3AE7" w:rsidP="00457A9F">
      <w:pPr>
        <w:pStyle w:val="Subtitle"/>
        <w:ind w:left="0"/>
      </w:pPr>
      <w:r>
        <w:t xml:space="preserve">PART 6b – </w:t>
      </w:r>
      <w:r w:rsidR="002A50FD" w:rsidRPr="00881F93">
        <w:t>INFORMATION ABOUT THE INTERVENTION</w:t>
      </w:r>
    </w:p>
    <w:p w14:paraId="4851B0DD"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77A22DD" w14:textId="32C02247" w:rsidR="005A40F9" w:rsidRPr="005A40F9" w:rsidRDefault="00411CC2" w:rsidP="00457A9F">
      <w:pPr>
        <w:ind w:firstLine="284"/>
        <w:rPr>
          <w:b/>
          <w:bCs/>
        </w:rPr>
      </w:pPr>
      <w:r>
        <w:rPr>
          <w:b/>
          <w:bCs/>
        </w:rPr>
        <w:t>Overview</w:t>
      </w:r>
    </w:p>
    <w:p w14:paraId="2E5EE84F" w14:textId="77777777" w:rsidR="00457A9F" w:rsidRDefault="00CA5E86" w:rsidP="00457A9F">
      <w:pPr>
        <w:ind w:left="284"/>
      </w:pPr>
      <w:r>
        <w:t xml:space="preserve">Echolight is a </w:t>
      </w:r>
      <w:r w:rsidRPr="003157C4">
        <w:t>software-assisted</w:t>
      </w:r>
      <w:r>
        <w:t>, non-invasive</w:t>
      </w:r>
      <w:r w:rsidRPr="003157C4">
        <w:t xml:space="preserve"> echographic</w:t>
      </w:r>
      <w:r>
        <w:t xml:space="preserve"> </w:t>
      </w:r>
      <w:r w:rsidRPr="003157C4">
        <w:t xml:space="preserve">scan </w:t>
      </w:r>
      <w:r>
        <w:t xml:space="preserve">for evaluation of Bone Mineral Density at the lumbar vertebrae (L1-L4) and the femoral neck providing all the standard parameters for the diagnosis of osteoporosis, i.e. BMD, T-score, Z-score. The technology does not require radiological protection and is portable. </w:t>
      </w:r>
    </w:p>
    <w:p w14:paraId="73031A38" w14:textId="77777777" w:rsidR="00457A9F" w:rsidRDefault="005616FD" w:rsidP="00457A9F">
      <w:pPr>
        <w:ind w:left="284"/>
      </w:pPr>
      <w:r>
        <w:t xml:space="preserve">Echolight is a </w:t>
      </w:r>
      <w:r w:rsidR="005617F9">
        <w:t>novel</w:t>
      </w:r>
      <w:r w:rsidR="00AB2DCC">
        <w:t>, non-invasive</w:t>
      </w:r>
      <w:r w:rsidR="005617F9">
        <w:t xml:space="preserve"> </w:t>
      </w:r>
      <w:r>
        <w:t>ultrasound device for bone characteri</w:t>
      </w:r>
      <w:r w:rsidR="00AB2DCC">
        <w:t>s</w:t>
      </w:r>
      <w:r>
        <w:t>ation and</w:t>
      </w:r>
      <w:r w:rsidR="005617F9">
        <w:t xml:space="preserve"> </w:t>
      </w:r>
      <w:r>
        <w:t>micro architecture assessment through scanning of</w:t>
      </w:r>
      <w:r w:rsidR="005617F9">
        <w:t xml:space="preserve"> </w:t>
      </w:r>
      <w:r>
        <w:t>central reference sites (lumbar vertebrae and</w:t>
      </w:r>
      <w:r w:rsidR="005617F9">
        <w:t xml:space="preserve"> </w:t>
      </w:r>
      <w:r>
        <w:t>proximal femur)</w:t>
      </w:r>
      <w:r w:rsidR="005617F9">
        <w:t>.</w:t>
      </w:r>
      <w:r w:rsidR="00AB2DCC">
        <w:t xml:space="preserve"> </w:t>
      </w:r>
      <w:r w:rsidR="005617F9">
        <w:t>Echolight technology is based on the new REMS (</w:t>
      </w:r>
      <w:r w:rsidR="00AB2DCC">
        <w:t xml:space="preserve">i.e. </w:t>
      </w:r>
      <w:r w:rsidR="005617F9">
        <w:t>Radiofrequency Echographic Multi Spectrometry) method</w:t>
      </w:r>
      <w:r w:rsidR="00AB2DCC">
        <w:t>,</w:t>
      </w:r>
      <w:r w:rsidR="005617F9">
        <w:t xml:space="preserve"> an innovative ultrasound approach to the diagnosis of </w:t>
      </w:r>
      <w:r w:rsidR="00AB2DCC">
        <w:t>o</w:t>
      </w:r>
      <w:r w:rsidR="005617F9">
        <w:t>steoporosis, which integrally exploits all the spectral features of the “ radiofrequency ( signals acquired during an echographic scan of the target anatomical site to determine the status of internal bone architecture.</w:t>
      </w:r>
    </w:p>
    <w:p w14:paraId="2EDCAAC0" w14:textId="77777777" w:rsidR="00457A9F" w:rsidRDefault="00AB2DCC" w:rsidP="00457A9F">
      <w:pPr>
        <w:ind w:left="284"/>
      </w:pPr>
      <w:r>
        <w:rPr>
          <w:szCs w:val="20"/>
        </w:rPr>
        <w:t>An important</w:t>
      </w:r>
      <w:r w:rsidRPr="005617F9">
        <w:rPr>
          <w:szCs w:val="20"/>
        </w:rPr>
        <w:t xml:space="preserve"> feature of REMS method is the</w:t>
      </w:r>
      <w:r>
        <w:rPr>
          <w:szCs w:val="20"/>
        </w:rPr>
        <w:t xml:space="preserve"> </w:t>
      </w:r>
      <w:r w:rsidRPr="005617F9">
        <w:rPr>
          <w:szCs w:val="20"/>
        </w:rPr>
        <w:t>exploitation of RF signals acquired during an</w:t>
      </w:r>
      <w:r>
        <w:rPr>
          <w:szCs w:val="20"/>
        </w:rPr>
        <w:t xml:space="preserve"> </w:t>
      </w:r>
      <w:r w:rsidRPr="005617F9">
        <w:rPr>
          <w:szCs w:val="20"/>
        </w:rPr>
        <w:t>echographic scan of the target bone structure to</w:t>
      </w:r>
      <w:r>
        <w:rPr>
          <w:szCs w:val="20"/>
        </w:rPr>
        <w:t xml:space="preserve"> </w:t>
      </w:r>
      <w:r w:rsidRPr="005617F9">
        <w:rPr>
          <w:szCs w:val="20"/>
        </w:rPr>
        <w:t>determine the internal bone architecture through</w:t>
      </w:r>
      <w:r>
        <w:rPr>
          <w:szCs w:val="20"/>
        </w:rPr>
        <w:t xml:space="preserve"> </w:t>
      </w:r>
      <w:r w:rsidRPr="005617F9">
        <w:rPr>
          <w:szCs w:val="20"/>
        </w:rPr>
        <w:t>detailed comparisons with reference spectral</w:t>
      </w:r>
      <w:r>
        <w:rPr>
          <w:szCs w:val="20"/>
        </w:rPr>
        <w:t xml:space="preserve"> </w:t>
      </w:r>
      <w:r w:rsidRPr="005617F9">
        <w:rPr>
          <w:szCs w:val="20"/>
        </w:rPr>
        <w:t>models</w:t>
      </w:r>
      <w:r w:rsidR="00C72CEC">
        <w:rPr>
          <w:szCs w:val="20"/>
        </w:rPr>
        <w:t xml:space="preserve">.  </w:t>
      </w:r>
      <w:r w:rsidRPr="005617F9">
        <w:rPr>
          <w:szCs w:val="20"/>
        </w:rPr>
        <w:t>Another important feature of the</w:t>
      </w:r>
      <w:r>
        <w:rPr>
          <w:szCs w:val="20"/>
        </w:rPr>
        <w:t xml:space="preserve"> </w:t>
      </w:r>
      <w:r w:rsidRPr="005617F9">
        <w:rPr>
          <w:szCs w:val="20"/>
        </w:rPr>
        <w:t>technology is its full automation, which reduces to a</w:t>
      </w:r>
      <w:r>
        <w:rPr>
          <w:szCs w:val="20"/>
        </w:rPr>
        <w:t xml:space="preserve"> </w:t>
      </w:r>
      <w:r w:rsidRPr="005617F9">
        <w:rPr>
          <w:szCs w:val="20"/>
        </w:rPr>
        <w:t>minimum the dependence on operator experience</w:t>
      </w:r>
      <w:r>
        <w:rPr>
          <w:szCs w:val="20"/>
        </w:rPr>
        <w:t xml:space="preserve">. </w:t>
      </w:r>
      <w:r w:rsidRPr="005617F9">
        <w:rPr>
          <w:szCs w:val="20"/>
        </w:rPr>
        <w:t>In fact, the implemented algorithm automatically</w:t>
      </w:r>
      <w:r>
        <w:rPr>
          <w:szCs w:val="20"/>
        </w:rPr>
        <w:t xml:space="preserve"> </w:t>
      </w:r>
      <w:r w:rsidRPr="005617F9">
        <w:rPr>
          <w:szCs w:val="20"/>
        </w:rPr>
        <w:t xml:space="preserve">identifies and discards </w:t>
      </w:r>
      <w:proofErr w:type="gramStart"/>
      <w:r w:rsidRPr="005617F9">
        <w:rPr>
          <w:szCs w:val="20"/>
        </w:rPr>
        <w:t>‘‘ acquisitions</w:t>
      </w:r>
      <w:proofErr w:type="gramEnd"/>
      <w:r w:rsidRPr="005617F9">
        <w:rPr>
          <w:szCs w:val="20"/>
        </w:rPr>
        <w:t>, ensuring</w:t>
      </w:r>
      <w:r>
        <w:rPr>
          <w:szCs w:val="20"/>
        </w:rPr>
        <w:t xml:space="preserve"> </w:t>
      </w:r>
      <w:r w:rsidRPr="005617F9">
        <w:rPr>
          <w:szCs w:val="20"/>
        </w:rPr>
        <w:t>that diagnostic evaluations are performed only on</w:t>
      </w:r>
      <w:r>
        <w:rPr>
          <w:szCs w:val="20"/>
        </w:rPr>
        <w:t xml:space="preserve"> ultrasound</w:t>
      </w:r>
      <w:r w:rsidRPr="005617F9">
        <w:rPr>
          <w:szCs w:val="20"/>
        </w:rPr>
        <w:t xml:space="preserve"> datasets reaching a specifically determined</w:t>
      </w:r>
      <w:r>
        <w:rPr>
          <w:szCs w:val="20"/>
        </w:rPr>
        <w:t xml:space="preserve"> </w:t>
      </w:r>
      <w:r w:rsidRPr="005617F9">
        <w:rPr>
          <w:szCs w:val="20"/>
        </w:rPr>
        <w:t>quality threshold</w:t>
      </w:r>
      <w:r>
        <w:rPr>
          <w:szCs w:val="20"/>
        </w:rPr>
        <w:t>.</w:t>
      </w:r>
    </w:p>
    <w:p w14:paraId="64B1DB33" w14:textId="1CCAE5C0" w:rsidR="00411CC2" w:rsidRDefault="005A40F9" w:rsidP="00457A9F">
      <w:pPr>
        <w:ind w:left="284"/>
      </w:pPr>
      <w:r>
        <w:t xml:space="preserve">A video of the use of Echolight, showing how the technology works and use in practice, is available on </w:t>
      </w:r>
      <w:r w:rsidR="00411CC2">
        <w:t xml:space="preserve">the </w:t>
      </w:r>
      <w:proofErr w:type="gramStart"/>
      <w:r w:rsidR="00411CC2">
        <w:t>manufacturers</w:t>
      </w:r>
      <w:proofErr w:type="gramEnd"/>
      <w:r w:rsidR="00411CC2">
        <w:t xml:space="preserve"> website. </w:t>
      </w:r>
    </w:p>
    <w:p w14:paraId="5DC3F4E6" w14:textId="77777777" w:rsidR="00457A9F" w:rsidRDefault="00411CC2" w:rsidP="00457A9F">
      <w:pPr>
        <w:ind w:firstLine="284"/>
      </w:pPr>
      <w:r>
        <w:t>C</w:t>
      </w:r>
      <w:r w:rsidR="005A40F9">
        <w:t xml:space="preserve">lick on </w:t>
      </w:r>
      <w:r>
        <w:t xml:space="preserve"> </w:t>
      </w:r>
      <w:r w:rsidRPr="00411CC2">
        <w:rPr>
          <w:noProof/>
        </w:rPr>
        <w:drawing>
          <wp:inline distT="0" distB="0" distL="0" distR="0" wp14:anchorId="34694219" wp14:editId="09DF3F92">
            <wp:extent cx="928180" cy="224287"/>
            <wp:effectExtent l="0" t="0" r="571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9725"/>
                    <a:stretch/>
                  </pic:blipFill>
                  <pic:spPr bwMode="auto">
                    <a:xfrm>
                      <a:off x="0" y="0"/>
                      <a:ext cx="968865" cy="234118"/>
                    </a:xfrm>
                    <a:prstGeom prst="rect">
                      <a:avLst/>
                    </a:prstGeom>
                    <a:ln>
                      <a:noFill/>
                    </a:ln>
                    <a:extLst>
                      <a:ext uri="{53640926-AAD7-44D8-BBD7-CCE9431645EC}">
                        <a14:shadowObscured xmlns:a14="http://schemas.microsoft.com/office/drawing/2010/main"/>
                      </a:ext>
                    </a:extLst>
                  </pic:spPr>
                </pic:pic>
              </a:graphicData>
            </a:graphic>
          </wp:inline>
        </w:drawing>
      </w:r>
      <w:r w:rsidR="005A40F9">
        <w:t xml:space="preserve"> at </w:t>
      </w:r>
      <w:hyperlink r:id="rId25" w:history="1">
        <w:r w:rsidR="005A40F9" w:rsidRPr="00564FDF">
          <w:rPr>
            <w:rStyle w:val="Hyperlink"/>
          </w:rPr>
          <w:t>https://www.echolightmedical.com/technology/</w:t>
        </w:r>
      </w:hyperlink>
      <w:r w:rsidR="00727C45">
        <w:rPr>
          <w:rStyle w:val="Hyperlink"/>
        </w:rPr>
        <w:t xml:space="preserve"> (accessed March 2021)</w:t>
      </w:r>
    </w:p>
    <w:p w14:paraId="4630C523" w14:textId="259199BF" w:rsidR="00EC6FC6" w:rsidRDefault="00EC6FC6" w:rsidP="00457A9F">
      <w:pPr>
        <w:ind w:firstLine="284"/>
      </w:pPr>
      <w:r>
        <w:t>It is currently available in Australia at 2 sites, to provide key Physicians with access to the new technology.</w:t>
      </w:r>
      <w:r w:rsidR="00B0305D">
        <w:t>:</w:t>
      </w:r>
    </w:p>
    <w:p w14:paraId="50BA4DA0" w14:textId="19AA6235" w:rsidR="00B0305D" w:rsidRDefault="00B0305D" w:rsidP="004E1AC0">
      <w:pPr>
        <w:pStyle w:val="ListParagraph"/>
        <w:numPr>
          <w:ilvl w:val="0"/>
          <w:numId w:val="53"/>
        </w:numPr>
      </w:pPr>
      <w:r>
        <w:t xml:space="preserve">One device is participating in a clinical study looking at the prevalence of low BMD in patients who have </w:t>
      </w:r>
      <w:proofErr w:type="gramStart"/>
      <w:r>
        <w:t>an</w:t>
      </w:r>
      <w:proofErr w:type="gramEnd"/>
      <w:r>
        <w:t xml:space="preserve"> genetic disease (i.e phenylketonuria &amp; other Internal </w:t>
      </w:r>
      <w:r w:rsidR="00112866">
        <w:t>E</w:t>
      </w:r>
      <w:r>
        <w:t>rror</w:t>
      </w:r>
      <w:r w:rsidR="00112866">
        <w:t>s</w:t>
      </w:r>
      <w:r>
        <w:t xml:space="preserve"> of Metabolism).</w:t>
      </w:r>
    </w:p>
    <w:p w14:paraId="6D37FFCE" w14:textId="38865DE7" w:rsidR="00B0305D" w:rsidRDefault="00B0305D" w:rsidP="004E1AC0">
      <w:pPr>
        <w:pStyle w:val="ListParagraph"/>
        <w:numPr>
          <w:ilvl w:val="0"/>
          <w:numId w:val="53"/>
        </w:numPr>
      </w:pPr>
      <w:r>
        <w:t>The other device is with a specialist who sits on the device advisory committee for Healthy</w:t>
      </w:r>
      <w:r w:rsidR="00112866">
        <w:t xml:space="preserve"> </w:t>
      </w:r>
      <w:r>
        <w:t>Bones Australia (was Osteoporosis Australia).</w:t>
      </w:r>
    </w:p>
    <w:p w14:paraId="7771D2BC" w14:textId="77777777" w:rsidR="00457A9F" w:rsidRDefault="00B0305D" w:rsidP="00457A9F">
      <w:pPr>
        <w:ind w:firstLine="284"/>
      </w:pPr>
      <w:r>
        <w:t xml:space="preserve">The devices are provided free of charge to the sites and testing is free of charge to patients.  </w:t>
      </w:r>
    </w:p>
    <w:p w14:paraId="1BD7D84A" w14:textId="77777777" w:rsidR="00457A9F" w:rsidRDefault="005A40F9" w:rsidP="00457A9F">
      <w:pPr>
        <w:ind w:firstLine="284"/>
      </w:pPr>
      <w:r w:rsidRPr="005A40F9">
        <w:rPr>
          <w:b/>
          <w:bCs/>
        </w:rPr>
        <w:t xml:space="preserve">Technology </w:t>
      </w:r>
      <w:r w:rsidR="00411CC2">
        <w:rPr>
          <w:b/>
          <w:bCs/>
        </w:rPr>
        <w:t>used</w:t>
      </w:r>
    </w:p>
    <w:p w14:paraId="0A48D022" w14:textId="13B18213" w:rsidR="00DC2CDF" w:rsidRPr="00457A9F" w:rsidRDefault="00AB2DCC" w:rsidP="00457A9F">
      <w:pPr>
        <w:ind w:left="284"/>
      </w:pPr>
      <w:r w:rsidRPr="005617F9">
        <w:rPr>
          <w:szCs w:val="20"/>
        </w:rPr>
        <w:t>Ultrasound</w:t>
      </w:r>
      <w:r>
        <w:rPr>
          <w:szCs w:val="20"/>
        </w:rPr>
        <w:t xml:space="preserve"> </w:t>
      </w:r>
      <w:r w:rsidRPr="005617F9">
        <w:rPr>
          <w:szCs w:val="20"/>
        </w:rPr>
        <w:t>scans are performed by Echo</w:t>
      </w:r>
      <w:r>
        <w:rPr>
          <w:szCs w:val="20"/>
        </w:rPr>
        <w:t xml:space="preserve">light </w:t>
      </w:r>
      <w:r w:rsidRPr="005617F9">
        <w:rPr>
          <w:szCs w:val="20"/>
        </w:rPr>
        <w:t xml:space="preserve">echographic device equipped with a </w:t>
      </w:r>
      <w:proofErr w:type="gramStart"/>
      <w:r w:rsidRPr="005617F9">
        <w:rPr>
          <w:szCs w:val="20"/>
        </w:rPr>
        <w:t>convex</w:t>
      </w:r>
      <w:r>
        <w:rPr>
          <w:szCs w:val="20"/>
        </w:rPr>
        <w:t xml:space="preserve">  </w:t>
      </w:r>
      <w:r w:rsidRPr="005617F9">
        <w:rPr>
          <w:szCs w:val="20"/>
        </w:rPr>
        <w:t>transducer</w:t>
      </w:r>
      <w:proofErr w:type="gramEnd"/>
      <w:r w:rsidRPr="005617F9">
        <w:rPr>
          <w:szCs w:val="20"/>
        </w:rPr>
        <w:t xml:space="preserve"> operating at 3 5 MHz, allowing the</w:t>
      </w:r>
      <w:r>
        <w:rPr>
          <w:szCs w:val="20"/>
        </w:rPr>
        <w:t xml:space="preserve">  </w:t>
      </w:r>
      <w:r w:rsidRPr="005617F9">
        <w:rPr>
          <w:szCs w:val="20"/>
        </w:rPr>
        <w:t>simultaneous acquisition of conventional B mode</w:t>
      </w:r>
      <w:r>
        <w:rPr>
          <w:szCs w:val="20"/>
        </w:rPr>
        <w:t xml:space="preserve"> </w:t>
      </w:r>
      <w:r w:rsidRPr="005617F9">
        <w:rPr>
          <w:szCs w:val="20"/>
        </w:rPr>
        <w:t>images and corresponding unprocessed RF signals</w:t>
      </w:r>
      <w:r w:rsidR="00DC2CDF">
        <w:rPr>
          <w:szCs w:val="20"/>
        </w:rPr>
        <w:t>.</w:t>
      </w:r>
      <w:r>
        <w:rPr>
          <w:szCs w:val="20"/>
        </w:rPr>
        <w:t xml:space="preserve">  </w:t>
      </w:r>
      <w:r w:rsidRPr="005617F9">
        <w:rPr>
          <w:szCs w:val="20"/>
        </w:rPr>
        <w:t>The scan lasts about 1 min</w:t>
      </w:r>
      <w:r w:rsidR="00C72CEC">
        <w:rPr>
          <w:szCs w:val="20"/>
        </w:rPr>
        <w:t xml:space="preserve">.  </w:t>
      </w:r>
      <w:r w:rsidR="00DC2CDF">
        <w:rPr>
          <w:szCs w:val="20"/>
        </w:rPr>
        <w:t>REMS</w:t>
      </w:r>
      <w:r w:rsidRPr="005617F9">
        <w:rPr>
          <w:szCs w:val="20"/>
        </w:rPr>
        <w:t xml:space="preserve"> approach is based</w:t>
      </w:r>
      <w:r>
        <w:rPr>
          <w:szCs w:val="20"/>
        </w:rPr>
        <w:t xml:space="preserve"> </w:t>
      </w:r>
      <w:r w:rsidRPr="005617F9">
        <w:rPr>
          <w:szCs w:val="20"/>
        </w:rPr>
        <w:t>on the idea that RF signals, acquired during an</w:t>
      </w:r>
      <w:r>
        <w:rPr>
          <w:szCs w:val="20"/>
        </w:rPr>
        <w:t xml:space="preserve"> </w:t>
      </w:r>
      <w:r w:rsidRPr="005617F9">
        <w:rPr>
          <w:szCs w:val="20"/>
        </w:rPr>
        <w:t>echographic scan of a target bone district, can be</w:t>
      </w:r>
      <w:r>
        <w:rPr>
          <w:szCs w:val="20"/>
        </w:rPr>
        <w:t xml:space="preserve"> </w:t>
      </w:r>
      <w:r w:rsidRPr="005617F9">
        <w:rPr>
          <w:szCs w:val="20"/>
        </w:rPr>
        <w:t>used to determine the health status of the considered</w:t>
      </w:r>
      <w:r>
        <w:rPr>
          <w:szCs w:val="20"/>
        </w:rPr>
        <w:t xml:space="preserve"> </w:t>
      </w:r>
      <w:r w:rsidRPr="005617F9">
        <w:rPr>
          <w:szCs w:val="20"/>
        </w:rPr>
        <w:t>bone through advanced comparisons with previously</w:t>
      </w:r>
      <w:r>
        <w:rPr>
          <w:szCs w:val="20"/>
        </w:rPr>
        <w:t xml:space="preserve"> </w:t>
      </w:r>
      <w:r w:rsidRPr="005617F9">
        <w:rPr>
          <w:szCs w:val="20"/>
        </w:rPr>
        <w:t>derived reference spectral models of the possible</w:t>
      </w:r>
      <w:r>
        <w:rPr>
          <w:szCs w:val="20"/>
        </w:rPr>
        <w:t xml:space="preserve"> </w:t>
      </w:r>
      <w:r w:rsidRPr="005617F9">
        <w:rPr>
          <w:szCs w:val="20"/>
        </w:rPr>
        <w:t>pathological or normal conditions</w:t>
      </w:r>
      <w:r w:rsidR="00DC2CDF">
        <w:rPr>
          <w:szCs w:val="20"/>
        </w:rPr>
        <w:t>.</w:t>
      </w:r>
      <w:r w:rsidRPr="005617F9">
        <w:rPr>
          <w:szCs w:val="20"/>
        </w:rPr>
        <w:t xml:space="preserve"> This method is</w:t>
      </w:r>
      <w:r>
        <w:rPr>
          <w:szCs w:val="20"/>
        </w:rPr>
        <w:t xml:space="preserve"> </w:t>
      </w:r>
      <w:r w:rsidRPr="005617F9">
        <w:rPr>
          <w:szCs w:val="20"/>
        </w:rPr>
        <w:t xml:space="preserve">natively integrated with US imaging, </w:t>
      </w:r>
      <w:r w:rsidR="00DC2CDF">
        <w:rPr>
          <w:szCs w:val="20"/>
        </w:rPr>
        <w:t>combining</w:t>
      </w:r>
    </w:p>
    <w:p w14:paraId="663656A7" w14:textId="1141D915" w:rsidR="00DC2CDF" w:rsidRPr="00DC2CDF" w:rsidRDefault="00AB2DCC" w:rsidP="00464499">
      <w:pPr>
        <w:pStyle w:val="ListParagraph"/>
        <w:numPr>
          <w:ilvl w:val="0"/>
          <w:numId w:val="44"/>
        </w:numPr>
        <w:rPr>
          <w:szCs w:val="20"/>
        </w:rPr>
      </w:pPr>
      <w:r w:rsidRPr="00DC2CDF">
        <w:rPr>
          <w:szCs w:val="20"/>
        </w:rPr>
        <w:t xml:space="preserve">the regions of interest </w:t>
      </w:r>
      <w:proofErr w:type="gramStart"/>
      <w:r w:rsidRPr="00DC2CDF">
        <w:rPr>
          <w:szCs w:val="20"/>
        </w:rPr>
        <w:t>( for</w:t>
      </w:r>
      <w:proofErr w:type="gramEnd"/>
      <w:r w:rsidRPr="00DC2CDF">
        <w:rPr>
          <w:szCs w:val="20"/>
        </w:rPr>
        <w:t xml:space="preserve"> diagnostic calculations within the investigated bone are automatically identified exploiting both morphologic details and RF spectral features, and, </w:t>
      </w:r>
    </w:p>
    <w:p w14:paraId="43EF7449" w14:textId="77777777" w:rsidR="00DC2CDF" w:rsidRDefault="00AB2DCC" w:rsidP="00DC2CDF">
      <w:pPr>
        <w:pStyle w:val="ListParagraph"/>
        <w:numPr>
          <w:ilvl w:val="0"/>
          <w:numId w:val="44"/>
        </w:numPr>
        <w:rPr>
          <w:szCs w:val="20"/>
        </w:rPr>
      </w:pPr>
      <w:r w:rsidRPr="00DC2CDF">
        <w:rPr>
          <w:szCs w:val="20"/>
        </w:rPr>
        <w:t>the simultaneous acquisition of several RF scan lines for each image frame provides a solid and reliable statistical basis for subsequent spectral processing</w:t>
      </w:r>
      <w:r w:rsidR="00DC2CDF" w:rsidRPr="00DC2CDF">
        <w:rPr>
          <w:szCs w:val="20"/>
        </w:rPr>
        <w:t>.</w:t>
      </w:r>
      <w:r w:rsidRPr="00DC2CDF">
        <w:rPr>
          <w:szCs w:val="20"/>
        </w:rPr>
        <w:t xml:space="preserve"> </w:t>
      </w:r>
    </w:p>
    <w:p w14:paraId="48ED8C25" w14:textId="34BBD705" w:rsidR="005617F9" w:rsidRPr="00457A9F" w:rsidRDefault="00AB2DCC" w:rsidP="00457A9F">
      <w:pPr>
        <w:ind w:left="426"/>
        <w:rPr>
          <w:szCs w:val="20"/>
        </w:rPr>
      </w:pPr>
      <w:r w:rsidRPr="00DC2CDF">
        <w:rPr>
          <w:szCs w:val="20"/>
        </w:rPr>
        <w:t xml:space="preserve">Data analysis based on the correlation between frequency spectra of acquired RF signals and the appropriate reference models, </w:t>
      </w:r>
      <w:r w:rsidR="00104EE3">
        <w:rPr>
          <w:szCs w:val="20"/>
        </w:rPr>
        <w:t xml:space="preserve">is then able to calculate the </w:t>
      </w:r>
      <w:r w:rsidRPr="00DC2CDF">
        <w:rPr>
          <w:szCs w:val="20"/>
        </w:rPr>
        <w:t>respectively BMD, T score and Z score</w:t>
      </w:r>
      <w:r w:rsidR="00104EE3">
        <w:rPr>
          <w:szCs w:val="20"/>
        </w:rPr>
        <w:t>s</w:t>
      </w:r>
      <w:r w:rsidRPr="00DC2CDF">
        <w:rPr>
          <w:szCs w:val="20"/>
        </w:rPr>
        <w:t>.</w:t>
      </w:r>
    </w:p>
    <w:p w14:paraId="76B057B1" w14:textId="6D305F22" w:rsidR="00AB2DCC" w:rsidRPr="005A40F9" w:rsidRDefault="00AB2DCC" w:rsidP="00251FC6">
      <w:pPr>
        <w:keepNext/>
        <w:ind w:left="425"/>
        <w:rPr>
          <w:b/>
          <w:bCs/>
        </w:rPr>
      </w:pPr>
      <w:r w:rsidRPr="005A40F9">
        <w:rPr>
          <w:b/>
          <w:bCs/>
        </w:rPr>
        <w:t>Operation</w:t>
      </w:r>
    </w:p>
    <w:p w14:paraId="7D63F21D" w14:textId="77777777" w:rsidR="00DC2CDF" w:rsidRDefault="005617F9" w:rsidP="005617F9">
      <w:pPr>
        <w:ind w:left="426"/>
        <w:rPr>
          <w:szCs w:val="20"/>
        </w:rPr>
      </w:pPr>
      <w:r w:rsidRPr="005617F9">
        <w:rPr>
          <w:szCs w:val="20"/>
        </w:rPr>
        <w:t>To</w:t>
      </w:r>
      <w:r>
        <w:rPr>
          <w:szCs w:val="20"/>
        </w:rPr>
        <w:t xml:space="preserve"> </w:t>
      </w:r>
      <w:r w:rsidRPr="005617F9">
        <w:rPr>
          <w:szCs w:val="20"/>
        </w:rPr>
        <w:t>perform the diagnostic investigation, the</w:t>
      </w:r>
      <w:r>
        <w:rPr>
          <w:szCs w:val="20"/>
        </w:rPr>
        <w:t xml:space="preserve"> </w:t>
      </w:r>
      <w:r w:rsidRPr="005617F9">
        <w:rPr>
          <w:szCs w:val="20"/>
        </w:rPr>
        <w:t>operator should preliminarily visualize the first</w:t>
      </w:r>
      <w:r>
        <w:rPr>
          <w:szCs w:val="20"/>
        </w:rPr>
        <w:t xml:space="preserve"> </w:t>
      </w:r>
      <w:r w:rsidRPr="005617F9">
        <w:rPr>
          <w:szCs w:val="20"/>
        </w:rPr>
        <w:t>target interface (i</w:t>
      </w:r>
      <w:r w:rsidR="00AB2DCC">
        <w:rPr>
          <w:szCs w:val="20"/>
        </w:rPr>
        <w:t>.</w:t>
      </w:r>
      <w:r w:rsidRPr="005617F9">
        <w:rPr>
          <w:szCs w:val="20"/>
        </w:rPr>
        <w:t>e</w:t>
      </w:r>
      <w:r w:rsidR="00AB2DCC">
        <w:rPr>
          <w:szCs w:val="20"/>
        </w:rPr>
        <w:t>.</w:t>
      </w:r>
      <w:r w:rsidRPr="005617F9">
        <w:rPr>
          <w:szCs w:val="20"/>
        </w:rPr>
        <w:t xml:space="preserve"> vertebra L 1 for lumbar</w:t>
      </w:r>
      <w:r>
        <w:rPr>
          <w:szCs w:val="20"/>
        </w:rPr>
        <w:t xml:space="preserve"> </w:t>
      </w:r>
      <w:r w:rsidRPr="005617F9">
        <w:rPr>
          <w:szCs w:val="20"/>
        </w:rPr>
        <w:t>acquisitions or femoral neck for hip scans) and set</w:t>
      </w:r>
      <w:r>
        <w:rPr>
          <w:szCs w:val="20"/>
        </w:rPr>
        <w:t xml:space="preserve"> </w:t>
      </w:r>
      <w:r w:rsidRPr="005617F9">
        <w:rPr>
          <w:szCs w:val="20"/>
        </w:rPr>
        <w:t>image depth and focal position to have the target</w:t>
      </w:r>
      <w:r>
        <w:rPr>
          <w:szCs w:val="20"/>
        </w:rPr>
        <w:t xml:space="preserve"> </w:t>
      </w:r>
      <w:r w:rsidRPr="005617F9">
        <w:rPr>
          <w:szCs w:val="20"/>
        </w:rPr>
        <w:t>interface in the central part of the image and in</w:t>
      </w:r>
      <w:r>
        <w:rPr>
          <w:szCs w:val="20"/>
        </w:rPr>
        <w:t xml:space="preserve"> </w:t>
      </w:r>
      <w:r w:rsidRPr="005617F9">
        <w:rPr>
          <w:szCs w:val="20"/>
        </w:rPr>
        <w:t>correspondence of the focus</w:t>
      </w:r>
      <w:r>
        <w:rPr>
          <w:szCs w:val="20"/>
        </w:rPr>
        <w:t>.</w:t>
      </w:r>
      <w:r w:rsidRPr="005617F9">
        <w:rPr>
          <w:szCs w:val="20"/>
        </w:rPr>
        <w:t xml:space="preserve"> </w:t>
      </w:r>
    </w:p>
    <w:p w14:paraId="1129A25E" w14:textId="77777777" w:rsidR="00DC2CDF" w:rsidRDefault="005617F9" w:rsidP="005617F9">
      <w:pPr>
        <w:ind w:left="426"/>
        <w:rPr>
          <w:szCs w:val="20"/>
        </w:rPr>
      </w:pPr>
      <w:r w:rsidRPr="005617F9">
        <w:rPr>
          <w:szCs w:val="20"/>
        </w:rPr>
        <w:lastRenderedPageBreak/>
        <w:t>Afterwards, the</w:t>
      </w:r>
      <w:r>
        <w:rPr>
          <w:szCs w:val="20"/>
        </w:rPr>
        <w:t xml:space="preserve"> </w:t>
      </w:r>
      <w:r w:rsidRPr="005617F9">
        <w:rPr>
          <w:szCs w:val="20"/>
        </w:rPr>
        <w:t xml:space="preserve">software assisted </w:t>
      </w:r>
      <w:r w:rsidR="00AB2DCC">
        <w:rPr>
          <w:szCs w:val="20"/>
        </w:rPr>
        <w:t>ultrasound</w:t>
      </w:r>
      <w:r w:rsidRPr="005617F9">
        <w:rPr>
          <w:szCs w:val="20"/>
        </w:rPr>
        <w:t xml:space="preserve"> acquisition starts</w:t>
      </w:r>
      <w:r w:rsidR="00AB2DCC">
        <w:rPr>
          <w:szCs w:val="20"/>
        </w:rPr>
        <w:t>.</w:t>
      </w:r>
      <w:r w:rsidRPr="005617F9">
        <w:rPr>
          <w:szCs w:val="20"/>
        </w:rPr>
        <w:t xml:space="preserve"> </w:t>
      </w:r>
    </w:p>
    <w:p w14:paraId="469653A3" w14:textId="25C4FCF9" w:rsidR="005617F9" w:rsidRDefault="005617F9" w:rsidP="005617F9">
      <w:pPr>
        <w:ind w:left="426"/>
        <w:rPr>
          <w:szCs w:val="20"/>
        </w:rPr>
      </w:pPr>
      <w:r w:rsidRPr="005617F9">
        <w:rPr>
          <w:szCs w:val="20"/>
        </w:rPr>
        <w:t>During the</w:t>
      </w:r>
      <w:r>
        <w:rPr>
          <w:szCs w:val="20"/>
        </w:rPr>
        <w:t xml:space="preserve"> </w:t>
      </w:r>
      <w:r w:rsidRPr="005617F9">
        <w:rPr>
          <w:szCs w:val="20"/>
        </w:rPr>
        <w:t>scan, the algorithm automatically detects the bone</w:t>
      </w:r>
      <w:r>
        <w:rPr>
          <w:szCs w:val="20"/>
        </w:rPr>
        <w:t xml:space="preserve"> </w:t>
      </w:r>
      <w:r w:rsidRPr="005617F9">
        <w:rPr>
          <w:szCs w:val="20"/>
        </w:rPr>
        <w:t>interfaces (red lines) and calculates the ROIs for</w:t>
      </w:r>
      <w:r>
        <w:rPr>
          <w:szCs w:val="20"/>
        </w:rPr>
        <w:t xml:space="preserve"> </w:t>
      </w:r>
      <w:r w:rsidRPr="005617F9">
        <w:rPr>
          <w:szCs w:val="20"/>
        </w:rPr>
        <w:t>data analysis (green areas)</w:t>
      </w:r>
      <w:r>
        <w:rPr>
          <w:szCs w:val="20"/>
        </w:rPr>
        <w:t>.</w:t>
      </w:r>
      <w:r w:rsidRPr="005617F9">
        <w:rPr>
          <w:szCs w:val="20"/>
        </w:rPr>
        <w:t xml:space="preserve"> The automatic data</w:t>
      </w:r>
      <w:r>
        <w:rPr>
          <w:szCs w:val="20"/>
        </w:rPr>
        <w:t xml:space="preserve"> </w:t>
      </w:r>
      <w:r w:rsidRPr="005617F9">
        <w:rPr>
          <w:szCs w:val="20"/>
        </w:rPr>
        <w:t>processing is then started, including RF signal</w:t>
      </w:r>
      <w:r>
        <w:rPr>
          <w:szCs w:val="20"/>
        </w:rPr>
        <w:t xml:space="preserve"> </w:t>
      </w:r>
      <w:r w:rsidRPr="005617F9">
        <w:rPr>
          <w:szCs w:val="20"/>
        </w:rPr>
        <w:t>analysis and spectral comparison with reference</w:t>
      </w:r>
      <w:r>
        <w:rPr>
          <w:szCs w:val="20"/>
        </w:rPr>
        <w:t xml:space="preserve"> </w:t>
      </w:r>
      <w:r w:rsidRPr="005617F9">
        <w:rPr>
          <w:szCs w:val="20"/>
        </w:rPr>
        <w:t>models for calculation of diagnostic parameters and</w:t>
      </w:r>
      <w:r>
        <w:rPr>
          <w:szCs w:val="20"/>
        </w:rPr>
        <w:t xml:space="preserve"> </w:t>
      </w:r>
      <w:r w:rsidRPr="005617F9">
        <w:rPr>
          <w:szCs w:val="20"/>
        </w:rPr>
        <w:t>generation of the final medical report</w:t>
      </w:r>
      <w:r>
        <w:rPr>
          <w:szCs w:val="20"/>
        </w:rPr>
        <w:t xml:space="preserve">. REMS </w:t>
      </w:r>
      <w:r w:rsidRPr="005617F9">
        <w:rPr>
          <w:szCs w:val="20"/>
        </w:rPr>
        <w:t>method provides two new numerical</w:t>
      </w:r>
      <w:r>
        <w:rPr>
          <w:szCs w:val="20"/>
        </w:rPr>
        <w:t xml:space="preserve"> </w:t>
      </w:r>
      <w:r w:rsidRPr="005617F9">
        <w:rPr>
          <w:szCs w:val="20"/>
        </w:rPr>
        <w:t>parameters</w:t>
      </w:r>
      <w:r>
        <w:rPr>
          <w:szCs w:val="20"/>
        </w:rPr>
        <w:t>:</w:t>
      </w:r>
    </w:p>
    <w:p w14:paraId="7B4C28B5" w14:textId="05B607DB" w:rsidR="005617F9" w:rsidRDefault="005617F9" w:rsidP="005617F9">
      <w:pPr>
        <w:pStyle w:val="ListParagraph"/>
        <w:numPr>
          <w:ilvl w:val="0"/>
          <w:numId w:val="43"/>
        </w:numPr>
        <w:ind w:left="1276" w:hanging="709"/>
        <w:rPr>
          <w:szCs w:val="20"/>
        </w:rPr>
      </w:pPr>
      <w:r w:rsidRPr="005617F9">
        <w:rPr>
          <w:szCs w:val="20"/>
        </w:rPr>
        <w:t>OS which directly correlates with BMD measurements (in g/cm²) and consequently with DXA diagnostic evaluations (BMD T Score</w:t>
      </w:r>
      <w:r>
        <w:rPr>
          <w:szCs w:val="20"/>
        </w:rPr>
        <w:t>,</w:t>
      </w:r>
      <w:r w:rsidRPr="005617F9">
        <w:rPr>
          <w:szCs w:val="20"/>
        </w:rPr>
        <w:t xml:space="preserve"> Z</w:t>
      </w:r>
      <w:r>
        <w:rPr>
          <w:szCs w:val="20"/>
        </w:rPr>
        <w:t xml:space="preserve"> </w:t>
      </w:r>
      <w:r w:rsidRPr="005617F9">
        <w:rPr>
          <w:szCs w:val="20"/>
        </w:rPr>
        <w:t xml:space="preserve">Score), and </w:t>
      </w:r>
    </w:p>
    <w:p w14:paraId="6EA74132" w14:textId="0D0EB672" w:rsidR="005617F9" w:rsidRPr="005617F9" w:rsidRDefault="005617F9" w:rsidP="005617F9">
      <w:pPr>
        <w:pStyle w:val="ListParagraph"/>
        <w:numPr>
          <w:ilvl w:val="0"/>
          <w:numId w:val="43"/>
        </w:numPr>
        <w:ind w:left="1276" w:hanging="709"/>
        <w:rPr>
          <w:szCs w:val="20"/>
        </w:rPr>
      </w:pPr>
      <w:r w:rsidRPr="005617F9">
        <w:rPr>
          <w:szCs w:val="20"/>
        </w:rPr>
        <w:t>F</w:t>
      </w:r>
      <w:r>
        <w:rPr>
          <w:szCs w:val="20"/>
        </w:rPr>
        <w:t>ragility Score (</w:t>
      </w:r>
      <w:proofErr w:type="gramStart"/>
      <w:r>
        <w:rPr>
          <w:szCs w:val="20"/>
        </w:rPr>
        <w:t>FS</w:t>
      </w:r>
      <w:r w:rsidR="00AB2DCC">
        <w:rPr>
          <w:szCs w:val="20"/>
        </w:rPr>
        <w:t>;</w:t>
      </w:r>
      <w:proofErr w:type="gramEnd"/>
      <w:r w:rsidR="00AB2DCC">
        <w:rPr>
          <w:szCs w:val="20"/>
        </w:rPr>
        <w:t xml:space="preserve"> which is under </w:t>
      </w:r>
      <w:r w:rsidR="00DC2CDF">
        <w:rPr>
          <w:szCs w:val="20"/>
        </w:rPr>
        <w:t>development</w:t>
      </w:r>
      <w:r>
        <w:rPr>
          <w:szCs w:val="20"/>
        </w:rPr>
        <w:t>)</w:t>
      </w:r>
      <w:r w:rsidRPr="005617F9">
        <w:rPr>
          <w:szCs w:val="20"/>
        </w:rPr>
        <w:t xml:space="preserve"> which provides an independent</w:t>
      </w:r>
      <w:r>
        <w:rPr>
          <w:szCs w:val="20"/>
        </w:rPr>
        <w:t xml:space="preserve"> </w:t>
      </w:r>
      <w:r w:rsidRPr="005617F9">
        <w:rPr>
          <w:szCs w:val="20"/>
        </w:rPr>
        <w:t>estimate of bone fragility and fracture risk</w:t>
      </w:r>
      <w:r w:rsidR="00AB2DCC">
        <w:rPr>
          <w:szCs w:val="20"/>
        </w:rPr>
        <w:t>.</w:t>
      </w:r>
    </w:p>
    <w:p w14:paraId="69014560" w14:textId="2534B16F" w:rsidR="00411CC2" w:rsidRPr="00457A9F" w:rsidRDefault="00411CC2" w:rsidP="00457A9F">
      <w:pPr>
        <w:ind w:left="426"/>
      </w:pPr>
      <w:r>
        <w:t xml:space="preserve">A detailed video shows how to use the Echolight device. Click on  </w:t>
      </w:r>
      <w:r w:rsidRPr="00411CC2">
        <w:rPr>
          <w:noProof/>
        </w:rPr>
        <w:drawing>
          <wp:inline distT="0" distB="0" distL="0" distR="0" wp14:anchorId="5C839D87" wp14:editId="33C28BFB">
            <wp:extent cx="983411" cy="26685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96977" cy="297672"/>
                    </a:xfrm>
                    <a:prstGeom prst="rect">
                      <a:avLst/>
                    </a:prstGeom>
                  </pic:spPr>
                </pic:pic>
              </a:graphicData>
            </a:graphic>
          </wp:inline>
        </w:drawing>
      </w:r>
      <w:r>
        <w:t xml:space="preserve"> at </w:t>
      </w:r>
      <w:hyperlink r:id="rId27" w:history="1">
        <w:r w:rsidRPr="00564FDF">
          <w:rPr>
            <w:rStyle w:val="Hyperlink"/>
          </w:rPr>
          <w:t>https://www.echolightmedical.com/technology/</w:t>
        </w:r>
      </w:hyperlink>
    </w:p>
    <w:p w14:paraId="197B90EA" w14:textId="4E8B44C3" w:rsidR="00AB2DCC" w:rsidRPr="005A40F9" w:rsidRDefault="00AB2DCC" w:rsidP="005617F9">
      <w:pPr>
        <w:ind w:left="426"/>
        <w:rPr>
          <w:b/>
          <w:bCs/>
          <w:szCs w:val="20"/>
        </w:rPr>
      </w:pPr>
      <w:r w:rsidRPr="005A40F9">
        <w:rPr>
          <w:b/>
          <w:bCs/>
          <w:szCs w:val="20"/>
        </w:rPr>
        <w:t>Output</w:t>
      </w:r>
    </w:p>
    <w:p w14:paraId="159DF475" w14:textId="77777777" w:rsidR="00DC2CDF" w:rsidRDefault="00AB2DCC" w:rsidP="00AB2DCC">
      <w:pPr>
        <w:ind w:left="426"/>
        <w:rPr>
          <w:szCs w:val="20"/>
        </w:rPr>
      </w:pPr>
      <w:r>
        <w:rPr>
          <w:szCs w:val="20"/>
        </w:rPr>
        <w:t>The Echolight</w:t>
      </w:r>
      <w:r w:rsidRPr="005617F9">
        <w:rPr>
          <w:szCs w:val="20"/>
        </w:rPr>
        <w:t xml:space="preserve"> medical report contains all the</w:t>
      </w:r>
      <w:r>
        <w:rPr>
          <w:szCs w:val="20"/>
        </w:rPr>
        <w:t xml:space="preserve"> </w:t>
      </w:r>
      <w:r w:rsidRPr="005617F9">
        <w:rPr>
          <w:szCs w:val="20"/>
        </w:rPr>
        <w:t xml:space="preserve">common parameters for </w:t>
      </w:r>
      <w:r>
        <w:rPr>
          <w:szCs w:val="20"/>
        </w:rPr>
        <w:t>o</w:t>
      </w:r>
      <w:r w:rsidRPr="005617F9">
        <w:rPr>
          <w:szCs w:val="20"/>
        </w:rPr>
        <w:t>steoporosis diagnosis</w:t>
      </w:r>
      <w:r>
        <w:rPr>
          <w:szCs w:val="20"/>
        </w:rPr>
        <w:t xml:space="preserve"> </w:t>
      </w:r>
      <w:r w:rsidRPr="005617F9">
        <w:rPr>
          <w:szCs w:val="20"/>
        </w:rPr>
        <w:t xml:space="preserve">through bone density assessment </w:t>
      </w:r>
    </w:p>
    <w:p w14:paraId="2DB6C74F" w14:textId="77777777" w:rsidR="00DC2CDF" w:rsidRDefault="00AB2DCC" w:rsidP="00DC2CDF">
      <w:pPr>
        <w:pStyle w:val="ListParagraph"/>
        <w:numPr>
          <w:ilvl w:val="0"/>
          <w:numId w:val="45"/>
        </w:numPr>
        <w:rPr>
          <w:szCs w:val="20"/>
        </w:rPr>
      </w:pPr>
      <w:r w:rsidRPr="00DC2CDF">
        <w:rPr>
          <w:szCs w:val="20"/>
        </w:rPr>
        <w:t xml:space="preserve">BMD (g/cm²), </w:t>
      </w:r>
    </w:p>
    <w:p w14:paraId="1DB555F9" w14:textId="77777777" w:rsidR="00DC2CDF" w:rsidRDefault="00AB2DCC" w:rsidP="00DC2CDF">
      <w:pPr>
        <w:pStyle w:val="ListParagraph"/>
        <w:numPr>
          <w:ilvl w:val="0"/>
          <w:numId w:val="45"/>
        </w:numPr>
        <w:rPr>
          <w:szCs w:val="20"/>
        </w:rPr>
      </w:pPr>
      <w:r w:rsidRPr="00DC2CDF">
        <w:rPr>
          <w:szCs w:val="20"/>
        </w:rPr>
        <w:t xml:space="preserve">T Score, </w:t>
      </w:r>
      <w:r w:rsidR="00DC2CDF">
        <w:rPr>
          <w:szCs w:val="20"/>
        </w:rPr>
        <w:t xml:space="preserve">&amp; </w:t>
      </w:r>
    </w:p>
    <w:p w14:paraId="0D239EFF" w14:textId="77777777" w:rsidR="00DC2CDF" w:rsidRDefault="00AB2DCC" w:rsidP="00DC2CDF">
      <w:pPr>
        <w:pStyle w:val="ListParagraph"/>
        <w:numPr>
          <w:ilvl w:val="0"/>
          <w:numId w:val="45"/>
        </w:numPr>
        <w:rPr>
          <w:szCs w:val="20"/>
        </w:rPr>
      </w:pPr>
      <w:r w:rsidRPr="00DC2CDF">
        <w:rPr>
          <w:szCs w:val="20"/>
        </w:rPr>
        <w:t xml:space="preserve">Z Score. </w:t>
      </w:r>
    </w:p>
    <w:p w14:paraId="06CF96A8" w14:textId="28344F72" w:rsidR="00AB2DCC" w:rsidRDefault="00AB2DCC" w:rsidP="00457A9F">
      <w:pPr>
        <w:ind w:left="426"/>
        <w:rPr>
          <w:szCs w:val="20"/>
        </w:rPr>
      </w:pPr>
      <w:r w:rsidRPr="00DC2CDF">
        <w:rPr>
          <w:szCs w:val="20"/>
        </w:rPr>
        <w:t xml:space="preserve">In addition, FS evaluates the quality of internal bone micro architecture Finally, the </w:t>
      </w:r>
      <w:proofErr w:type="gramStart"/>
      <w:r w:rsidRPr="00DC2CDF">
        <w:rPr>
          <w:szCs w:val="20"/>
        </w:rPr>
        <w:t>10 year</w:t>
      </w:r>
      <w:proofErr w:type="gramEnd"/>
      <w:r w:rsidRPr="00DC2CDF">
        <w:rPr>
          <w:szCs w:val="20"/>
        </w:rPr>
        <w:t xml:space="preserve"> risks of osteoporotic fractures (generic/ are calculated through the integrated FRAX ® software. Each patient can be examined and diagnosed in less than 2 min, ensuring the compliance of the protocol with time constraints of clinical routine.</w:t>
      </w:r>
    </w:p>
    <w:p w14:paraId="19A12277" w14:textId="79D89CB5" w:rsidR="00D0328F" w:rsidRPr="00154B00" w:rsidRDefault="00411CC2" w:rsidP="00457A9F">
      <w:pPr>
        <w:ind w:left="426"/>
        <w:rPr>
          <w:szCs w:val="20"/>
        </w:rPr>
      </w:pPr>
      <w:r>
        <w:rPr>
          <w:szCs w:val="20"/>
        </w:rPr>
        <w:t>(Source: Echolight Technology_Sheet_rev02_20180301_ENG-1)</w:t>
      </w:r>
    </w:p>
    <w:p w14:paraId="36C16D1D"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70D9C80D" w14:textId="0600B2DC" w:rsidR="00F62D30" w:rsidRPr="00457A9F" w:rsidRDefault="00F62D30" w:rsidP="00457A9F">
      <w:pPr>
        <w:ind w:left="426"/>
      </w:pPr>
      <w:r>
        <w:t>No. Use of a different device for assessing BMD is proposed.</w:t>
      </w:r>
    </w:p>
    <w:p w14:paraId="1B8B659C"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27CB5587" w14:textId="63DA5300" w:rsidR="00F62D30" w:rsidRPr="00457A9F" w:rsidRDefault="00F62D30" w:rsidP="00457A9F">
      <w:pPr>
        <w:ind w:left="426"/>
      </w:pPr>
      <w:r>
        <w:t>No, the use of a different device (i.e. REMS technology instead of DXA scanning)</w:t>
      </w:r>
      <w:r w:rsidR="00CA5E86">
        <w:t xml:space="preserve"> to measure BMD</w:t>
      </w:r>
      <w:r>
        <w:t xml:space="preserve"> is the only proposed change.</w:t>
      </w:r>
    </w:p>
    <w:p w14:paraId="38A48368"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xml:space="preserve">, quantity, </w:t>
      </w:r>
      <w:proofErr w:type="gramStart"/>
      <w:r w:rsidR="00DF0C51">
        <w:t>duration</w:t>
      </w:r>
      <w:proofErr w:type="gramEnd"/>
      <w:r w:rsidR="00DF0C51">
        <w:t xml:space="preserve"> or frequency</w:t>
      </w:r>
      <w:r w:rsidR="00D30BDC">
        <w:t>)</w:t>
      </w:r>
      <w:r w:rsidR="00AE1188">
        <w:t>:</w:t>
      </w:r>
    </w:p>
    <w:p w14:paraId="0A0EC33C" w14:textId="076CA923" w:rsidR="005616FD" w:rsidRDefault="005616FD" w:rsidP="00E357B9">
      <w:pPr>
        <w:ind w:left="426"/>
      </w:pPr>
      <w:r>
        <w:t>There are no limitations in the provision of the proposed service, with uptake expected post the proposed MBS-listing.</w:t>
      </w:r>
    </w:p>
    <w:p w14:paraId="7711B589" w14:textId="77777777" w:rsidR="00A44CD2" w:rsidRDefault="00F62D30" w:rsidP="00E357B9">
      <w:pPr>
        <w:ind w:left="426"/>
      </w:pPr>
      <w:r>
        <w:t>REMS technology has advantages over DXA scanning because it is</w:t>
      </w:r>
    </w:p>
    <w:p w14:paraId="11B16C06" w14:textId="77777777" w:rsidR="00D63788" w:rsidRDefault="00D63788" w:rsidP="00D63788">
      <w:pPr>
        <w:pStyle w:val="ListParagraph"/>
        <w:numPr>
          <w:ilvl w:val="0"/>
          <w:numId w:val="54"/>
        </w:numPr>
      </w:pPr>
      <w:r>
        <w:t xml:space="preserve">portable </w:t>
      </w:r>
    </w:p>
    <w:p w14:paraId="5E89E371" w14:textId="77777777" w:rsidR="00D63788" w:rsidRDefault="00D63788" w:rsidP="00D63788">
      <w:pPr>
        <w:pStyle w:val="ListParagraph"/>
        <w:numPr>
          <w:ilvl w:val="0"/>
          <w:numId w:val="54"/>
        </w:numPr>
      </w:pPr>
      <w:r>
        <w:t xml:space="preserve">does not use ionizing radiation, </w:t>
      </w:r>
    </w:p>
    <w:p w14:paraId="6AE747E8" w14:textId="77777777" w:rsidR="00D63788" w:rsidRDefault="00D63788" w:rsidP="00D63788">
      <w:pPr>
        <w:pStyle w:val="ListParagraph"/>
        <w:numPr>
          <w:ilvl w:val="0"/>
          <w:numId w:val="54"/>
        </w:numPr>
      </w:pPr>
      <w:r>
        <w:t>easy to use – no specific qualification required – 1-2 days training of any healthcare professional would be sufficient to ensure competent operation.</w:t>
      </w:r>
    </w:p>
    <w:p w14:paraId="45BE71A9" w14:textId="77777777" w:rsidR="00D63788" w:rsidRDefault="00D63788" w:rsidP="00D63788">
      <w:pPr>
        <w:pStyle w:val="ListParagraph"/>
        <w:numPr>
          <w:ilvl w:val="0"/>
          <w:numId w:val="54"/>
        </w:numPr>
      </w:pPr>
      <w:r>
        <w:t>Less expensive to operate the machine.</w:t>
      </w:r>
    </w:p>
    <w:p w14:paraId="361B4D44" w14:textId="77777777" w:rsidR="00D63788" w:rsidRDefault="00D63788" w:rsidP="00D63788">
      <w:pPr>
        <w:pStyle w:val="ListParagraph"/>
        <w:numPr>
          <w:ilvl w:val="0"/>
          <w:numId w:val="54"/>
        </w:numPr>
      </w:pPr>
      <w:r>
        <w:t xml:space="preserve">Does not require daily calibration as DXA does (REMs calibration is every 6 months) </w:t>
      </w:r>
    </w:p>
    <w:p w14:paraId="41325C6C" w14:textId="7187C843" w:rsidR="00F62D30" w:rsidRPr="00457A9F" w:rsidRDefault="00A44CD2" w:rsidP="00457A9F">
      <w:pPr>
        <w:ind w:left="426"/>
      </w:pPr>
      <w:proofErr w:type="gramStart"/>
      <w:r>
        <w:t>H</w:t>
      </w:r>
      <w:r w:rsidR="00F42132">
        <w:t>owever</w:t>
      </w:r>
      <w:proofErr w:type="gramEnd"/>
      <w:r w:rsidR="00F42132">
        <w:t xml:space="preserve"> it will take time for the technology to become available to patients as it is adopted by Clinicians.</w:t>
      </w:r>
    </w:p>
    <w:p w14:paraId="56BB201B"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03F6E2B5" w14:textId="174D16AE" w:rsidR="00411CC2" w:rsidRPr="00154B00" w:rsidRDefault="00411CC2" w:rsidP="00884E69">
      <w:pPr>
        <w:ind w:left="426"/>
        <w:rPr>
          <w:szCs w:val="20"/>
        </w:rPr>
      </w:pPr>
      <w:r>
        <w:t>None identified.</w:t>
      </w:r>
    </w:p>
    <w:p w14:paraId="75FE8A4F" w14:textId="77777777" w:rsidR="00457A9F" w:rsidRDefault="00457A9F">
      <w:pPr>
        <w:spacing w:before="0" w:after="200" w:line="276" w:lineRule="auto"/>
        <w:rPr>
          <w:b/>
          <w:szCs w:val="20"/>
        </w:rPr>
      </w:pPr>
      <w:r>
        <w:br w:type="page"/>
      </w:r>
    </w:p>
    <w:p w14:paraId="14C9E0D6" w14:textId="011AA37C" w:rsidR="00B17E26" w:rsidRPr="00154B00" w:rsidRDefault="00B17E26" w:rsidP="00530204">
      <w:pPr>
        <w:pStyle w:val="Heading2"/>
      </w:pPr>
      <w:r w:rsidRPr="00154B00">
        <w:lastRenderedPageBreak/>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0F35C763" w14:textId="410CF6BB" w:rsidR="00822928" w:rsidRPr="00457A9F" w:rsidRDefault="008E7CD4" w:rsidP="00457A9F">
      <w:pPr>
        <w:ind w:left="426"/>
      </w:pPr>
      <w:r>
        <w:t xml:space="preserve">The operation of the device can be done by </w:t>
      </w:r>
      <w:r w:rsidR="00411CC2">
        <w:t xml:space="preserve">Ultrasonographers, </w:t>
      </w:r>
      <w:r>
        <w:t xml:space="preserve">REMs </w:t>
      </w:r>
      <w:r w:rsidR="00411CC2">
        <w:t>trained Nurses</w:t>
      </w:r>
      <w:r>
        <w:t xml:space="preserve"> or</w:t>
      </w:r>
      <w:r w:rsidR="0089363D">
        <w:t xml:space="preserve"> </w:t>
      </w:r>
      <w:r w:rsidR="00411CC2">
        <w:t xml:space="preserve">General Practitioners </w:t>
      </w:r>
      <w:r w:rsidR="00251FC6">
        <w:t xml:space="preserve">(GPs) </w:t>
      </w:r>
      <w:r>
        <w:t xml:space="preserve">or </w:t>
      </w:r>
      <w:r w:rsidR="00411CC2">
        <w:t>Medical Specialists</w:t>
      </w:r>
      <w:r>
        <w:t xml:space="preserve">.  </w:t>
      </w:r>
      <w:r w:rsidR="00727C45">
        <w:t xml:space="preserve">It is proposed that </w:t>
      </w:r>
      <w:proofErr w:type="gramStart"/>
      <w:r w:rsidR="00727C45">
        <w:t xml:space="preserve">the  </w:t>
      </w:r>
      <w:r w:rsidR="00F42132">
        <w:t>clinical</w:t>
      </w:r>
      <w:proofErr w:type="gramEnd"/>
      <w:r w:rsidR="00F42132">
        <w:t xml:space="preserve"> interpretation </w:t>
      </w:r>
      <w:r w:rsidR="00727C45">
        <w:t xml:space="preserve">would </w:t>
      </w:r>
      <w:r>
        <w:t xml:space="preserve">be done </w:t>
      </w:r>
      <w:r w:rsidR="00F42132">
        <w:t xml:space="preserve">by </w:t>
      </w:r>
      <w:r w:rsidR="00C82DE7">
        <w:t xml:space="preserve">either </w:t>
      </w:r>
      <w:r w:rsidR="00F42132">
        <w:t xml:space="preserve">a </w:t>
      </w:r>
      <w:r w:rsidR="00727C45">
        <w:t>specialist</w:t>
      </w:r>
      <w:r w:rsidR="00C82DE7">
        <w:t>/</w:t>
      </w:r>
      <w:r w:rsidR="00727C45">
        <w:t>consultant physician</w:t>
      </w:r>
      <w:r w:rsidR="00C82DE7">
        <w:t xml:space="preserve"> or trained Medical Practitioner</w:t>
      </w:r>
    </w:p>
    <w:p w14:paraId="20153D60"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2A47298B" w14:textId="4A5E6BED" w:rsidR="00411CC2" w:rsidRPr="00154B00" w:rsidRDefault="005F47E9" w:rsidP="00884E69">
      <w:pPr>
        <w:ind w:left="426"/>
        <w:rPr>
          <w:szCs w:val="20"/>
        </w:rPr>
      </w:pPr>
      <w:r>
        <w:t>A referral from a general practitioner or specialist</w:t>
      </w:r>
      <w:r w:rsidR="00C6691F">
        <w:t>/consultant physician</w:t>
      </w:r>
      <w:r>
        <w:t xml:space="preserve"> </w:t>
      </w:r>
      <w:r w:rsidR="003D12EB">
        <w:t>would</w:t>
      </w:r>
      <w:r>
        <w:t xml:space="preserve"> be required for the service.</w:t>
      </w:r>
    </w:p>
    <w:p w14:paraId="5D3596FC"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233AF052" w14:textId="235F43C2" w:rsidR="00411CC2" w:rsidRPr="00154B00" w:rsidRDefault="00251FC6" w:rsidP="00BC424B">
      <w:pPr>
        <w:ind w:left="426"/>
        <w:rPr>
          <w:szCs w:val="20"/>
        </w:rPr>
      </w:pPr>
      <w:r>
        <w:t>Referrals limited to GPs or Specialist or consultant physicians.</w:t>
      </w:r>
      <w:r w:rsidR="00F42132">
        <w:t xml:space="preserve"> Service may be provided by Specialist ultrasonography clinics or Specialist Clinics</w:t>
      </w:r>
      <w:r w:rsidR="003D12EB">
        <w:t>, using trained operators.</w:t>
      </w:r>
    </w:p>
    <w:p w14:paraId="290AB1B9"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E372AE8" w14:textId="3F5FD246" w:rsidR="00251FC6" w:rsidRPr="00457A9F" w:rsidRDefault="00251FC6" w:rsidP="00457A9F">
      <w:pPr>
        <w:ind w:left="426"/>
      </w:pPr>
      <w:r>
        <w:t>Training with the Echolight</w:t>
      </w:r>
      <w:r w:rsidR="005F47E9">
        <w:t>/REMS</w:t>
      </w:r>
      <w:r>
        <w:t xml:space="preserve"> device would be required prior to performing scans. </w:t>
      </w:r>
      <w:r w:rsidR="00FF534B">
        <w:t xml:space="preserve"> The dedicated training and subsequent patient practice </w:t>
      </w:r>
      <w:proofErr w:type="gramStart"/>
      <w:r w:rsidR="00FF534B">
        <w:t>is</w:t>
      </w:r>
      <w:proofErr w:type="gramEnd"/>
      <w:r w:rsidR="00FF534B">
        <w:t xml:space="preserve"> conducted over 1 day (if familiar with osteoporosis and ultrasound) or over 2 days for all other healthcare professionals.  This training will be provided by the Distributor</w:t>
      </w:r>
      <w:r w:rsidR="005F47E9">
        <w:t>.</w:t>
      </w:r>
    </w:p>
    <w:p w14:paraId="2B26043E"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6C7D778B" w14:textId="290036F3" w:rsidR="000A478F" w:rsidRDefault="00251FC6"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245FF21B" w14:textId="18B72918" w:rsidR="000A478F" w:rsidRDefault="005F47E9"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0FD7AAC9" w14:textId="5CB2F734" w:rsidR="000A478F" w:rsidRDefault="00FF534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5FBFA49A" w14:textId="45B0395D" w:rsidR="0079354C" w:rsidRDefault="005F47E9"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79354C">
        <w:rPr>
          <w:szCs w:val="20"/>
        </w:rPr>
        <w:t xml:space="preserve"> Public outpatient clinic</w:t>
      </w:r>
    </w:p>
    <w:p w14:paraId="561AA201" w14:textId="146300FA" w:rsidR="000A478F" w:rsidRDefault="00251FC6"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0A478F">
        <w:rPr>
          <w:szCs w:val="20"/>
        </w:rPr>
        <w:t xml:space="preserve"> </w:t>
      </w:r>
      <w:r w:rsidR="000A478F">
        <w:t>Emergency Department</w:t>
      </w:r>
    </w:p>
    <w:p w14:paraId="56C5D615" w14:textId="500929B3" w:rsidR="000A478F" w:rsidRDefault="00251FC6"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0A478F">
        <w:rPr>
          <w:szCs w:val="20"/>
        </w:rPr>
        <w:t xml:space="preserve"> </w:t>
      </w:r>
      <w:r w:rsidR="003904AC">
        <w:rPr>
          <w:szCs w:val="20"/>
        </w:rPr>
        <w:t xml:space="preserve">Private </w:t>
      </w:r>
      <w:r w:rsidR="0079354C">
        <w:t>c</w:t>
      </w:r>
      <w:r w:rsidR="000A478F">
        <w:t>onsulting rooms</w:t>
      </w:r>
      <w:r w:rsidR="0079354C">
        <w:t xml:space="preserve"> - GP</w:t>
      </w:r>
    </w:p>
    <w:p w14:paraId="7EB2B5AC" w14:textId="2E472C7C" w:rsidR="0079354C" w:rsidRDefault="00251FC6"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79354C">
        <w:rPr>
          <w:szCs w:val="20"/>
        </w:rPr>
        <w:t xml:space="preserve"> Private consulting rooms – specialist</w:t>
      </w:r>
    </w:p>
    <w:p w14:paraId="28F083B8"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Private consulting rooms – other health practitioner (nurse or allied health)</w:t>
      </w:r>
    </w:p>
    <w:p w14:paraId="2DF9E39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669DD998"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Private day surgery clinic (non-admitted patient)</w:t>
      </w:r>
    </w:p>
    <w:p w14:paraId="50B19B12"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Public day surgery clinic (admitted patient)</w:t>
      </w:r>
    </w:p>
    <w:p w14:paraId="4896EF3C"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Public day surgery clinic (non-admitted patient)</w:t>
      </w:r>
    </w:p>
    <w:p w14:paraId="6164A7A3" w14:textId="34F34E31" w:rsidR="000A478F" w:rsidRDefault="00FF534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0A478F">
        <w:rPr>
          <w:szCs w:val="20"/>
        </w:rPr>
        <w:t xml:space="preserve"> </w:t>
      </w:r>
      <w:r w:rsidR="000A478F">
        <w:t>Residential aged care facility</w:t>
      </w:r>
    </w:p>
    <w:p w14:paraId="6D80060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w:t>
      </w:r>
      <w:r>
        <w:t>Patient’s home</w:t>
      </w:r>
    </w:p>
    <w:p w14:paraId="6375523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w:t>
      </w:r>
      <w:r>
        <w:t>Laboratory</w:t>
      </w:r>
    </w:p>
    <w:p w14:paraId="26E060C0"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D63788">
        <w:rPr>
          <w:szCs w:val="20"/>
        </w:rPr>
      </w:r>
      <w:r w:rsidR="00D63788">
        <w:rPr>
          <w:szCs w:val="20"/>
        </w:rPr>
        <w:fldChar w:fldCharType="separate"/>
      </w:r>
      <w:r w:rsidRPr="000A5B32">
        <w:rPr>
          <w:szCs w:val="20"/>
        </w:rPr>
        <w:fldChar w:fldCharType="end"/>
      </w:r>
      <w:r>
        <w:rPr>
          <w:szCs w:val="20"/>
        </w:rPr>
        <w:t xml:space="preserve"> </w:t>
      </w:r>
      <w:r>
        <w:t>Other – please specify below</w:t>
      </w:r>
    </w:p>
    <w:p w14:paraId="0C42F9C2" w14:textId="37E03280" w:rsidR="00251FC6" w:rsidRPr="00457A9F" w:rsidRDefault="00251FC6" w:rsidP="00457A9F">
      <w:pPr>
        <w:ind w:left="426"/>
      </w:pPr>
      <w:r>
        <w:t>Echolight can be provided in a range of healthcare settings with access to the device and trained operators</w:t>
      </w:r>
      <w:r w:rsidR="005F47E9">
        <w:t xml:space="preserve"> and overview by specialist</w:t>
      </w:r>
      <w:r w:rsidR="00112866">
        <w:t>/</w:t>
      </w:r>
      <w:r w:rsidR="005F47E9">
        <w:t xml:space="preserve">consultant physician </w:t>
      </w:r>
      <w:r w:rsidR="00112866">
        <w:t xml:space="preserve">or trained Medical Practitioner </w:t>
      </w:r>
      <w:r w:rsidR="005F47E9">
        <w:t>providing interpretation/reporting.</w:t>
      </w:r>
    </w:p>
    <w:p w14:paraId="70F3978A"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6AE647F5" w14:textId="676DE52F" w:rsidR="00251FC6" w:rsidRDefault="00251FC6" w:rsidP="0073597B">
      <w:pPr>
        <w:ind w:left="426"/>
        <w:rPr>
          <w:b/>
          <w:szCs w:val="20"/>
        </w:rPr>
      </w:pPr>
      <w:r>
        <w:t>Echolight scans provided in any healthcare setting that has the device available</w:t>
      </w:r>
      <w:r w:rsidR="005F47E9">
        <w:t>, trained operators and with oversight by a specialist</w:t>
      </w:r>
      <w:r w:rsidR="00112866">
        <w:t>/</w:t>
      </w:r>
      <w:r w:rsidR="005F47E9">
        <w:t>consultant physician</w:t>
      </w:r>
      <w:r w:rsidR="00112866">
        <w:t xml:space="preserve"> or trained Medical Practitioner</w:t>
      </w:r>
      <w:r w:rsidR="005F47E9">
        <w:t xml:space="preserve"> to provide interpretation/reporting.</w:t>
      </w:r>
    </w:p>
    <w:p w14:paraId="20884C60" w14:textId="77777777" w:rsidR="003E30FB" w:rsidRDefault="003E30FB" w:rsidP="00530204">
      <w:pPr>
        <w:pStyle w:val="Heading2"/>
      </w:pPr>
      <w:r>
        <w:t xml:space="preserve">Is the </w:t>
      </w:r>
      <w:r w:rsidRPr="001B29A1">
        <w:t>proposed</w:t>
      </w:r>
      <w:r>
        <w:t xml:space="preserve"> medical service intended to be entirely rendered in Australia?</w:t>
      </w:r>
    </w:p>
    <w:p w14:paraId="27E6B7AC" w14:textId="60C7B7F9" w:rsidR="000A478F" w:rsidRDefault="00251FC6"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0A478F">
        <w:rPr>
          <w:szCs w:val="20"/>
        </w:rPr>
        <w:t xml:space="preserve"> Yes</w:t>
      </w:r>
    </w:p>
    <w:p w14:paraId="59210F2F"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63788">
        <w:rPr>
          <w:szCs w:val="20"/>
        </w:rPr>
      </w:r>
      <w:r w:rsidR="00D63788">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7B5D45C0" w14:textId="77777777" w:rsidR="000A478F" w:rsidRDefault="000A478F" w:rsidP="00881F93">
      <w:pPr>
        <w:rPr>
          <w:b/>
          <w:i/>
          <w:szCs w:val="20"/>
          <w:u w:val="single"/>
        </w:rPr>
      </w:pPr>
      <w:r>
        <w:rPr>
          <w:b/>
          <w:i/>
          <w:szCs w:val="20"/>
          <w:u w:val="single"/>
        </w:rPr>
        <w:br w:type="page"/>
      </w:r>
    </w:p>
    <w:p w14:paraId="4449DB60" w14:textId="77777777" w:rsidR="00E60529" w:rsidRPr="00881F93" w:rsidRDefault="005C3AE7" w:rsidP="00457A9F">
      <w:pPr>
        <w:pStyle w:val="Subtitle"/>
        <w:ind w:left="0"/>
      </w:pPr>
      <w:r>
        <w:lastRenderedPageBreak/>
        <w:t xml:space="preserve">PART 6c – </w:t>
      </w:r>
      <w:r w:rsidR="00E60529" w:rsidRPr="00881F93">
        <w:t>INFORMATION ABOUT THE COMPARATOR</w:t>
      </w:r>
      <w:r w:rsidR="00A83EC6" w:rsidRPr="00881F93">
        <w:t>(S)</w:t>
      </w:r>
    </w:p>
    <w:p w14:paraId="6071B8D5"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CDBDE87" w14:textId="1972D9C8" w:rsidR="00251FC6" w:rsidRPr="00C737AD" w:rsidRDefault="00251FC6" w:rsidP="00C737AD">
      <w:pPr>
        <w:ind w:left="426"/>
      </w:pPr>
      <w:r>
        <w:t>Dual energy Xray ab</w:t>
      </w:r>
      <w:r w:rsidR="00C0690D">
        <w:t>s</w:t>
      </w:r>
      <w:r>
        <w:t>orp</w:t>
      </w:r>
      <w:r w:rsidR="00C0690D">
        <w:t>t</w:t>
      </w:r>
      <w:r>
        <w:t>iometry</w:t>
      </w:r>
      <w:r w:rsidR="00C0690D">
        <w:t xml:space="preserve"> (DXA)</w:t>
      </w:r>
    </w:p>
    <w:p w14:paraId="15CC5E1D"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5C433B13" w14:textId="4F3A4455" w:rsidR="006A1038" w:rsidRDefault="00251FC6"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1A3E3F1E"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D63788">
        <w:rPr>
          <w:szCs w:val="20"/>
        </w:rPr>
      </w:r>
      <w:r w:rsidR="00D63788">
        <w:rPr>
          <w:szCs w:val="20"/>
        </w:rPr>
        <w:fldChar w:fldCharType="separate"/>
      </w:r>
      <w:r w:rsidRPr="00753C44">
        <w:rPr>
          <w:szCs w:val="20"/>
        </w:rPr>
        <w:fldChar w:fldCharType="end"/>
      </w:r>
      <w:r>
        <w:rPr>
          <w:szCs w:val="20"/>
        </w:rPr>
        <w:t xml:space="preserve"> No  </w:t>
      </w:r>
    </w:p>
    <w:p w14:paraId="5B549B81" w14:textId="5A12AD8E" w:rsidR="00251FC6" w:rsidRPr="00C737AD" w:rsidRDefault="00251FC6" w:rsidP="00C737AD">
      <w:pPr>
        <w:ind w:left="426"/>
      </w:pPr>
      <w:r>
        <w:t>12306, 12312, 12315, 12320, 12321, 12322</w:t>
      </w:r>
    </w:p>
    <w:p w14:paraId="5ADB0AE6" w14:textId="72A6B9D6" w:rsidR="00251FC6" w:rsidRDefault="00AF5D1E" w:rsidP="00C737AD">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048724A1" w14:textId="0134381D" w:rsidR="00251FC6" w:rsidRPr="00C737AD" w:rsidRDefault="00251FC6" w:rsidP="00C737AD">
      <w:pPr>
        <w:ind w:left="426"/>
        <w:rPr>
          <w:color w:val="0000FF" w:themeColor="hyperlink"/>
          <w:u w:val="single"/>
        </w:rPr>
      </w:pPr>
      <w:r>
        <w:t>Osteoporosis risk assessment, diagnosis and management should follow the RACGP Guidelines</w:t>
      </w:r>
      <w:r w:rsidR="00C0690D">
        <w:t xml:space="preserve"> provided in point 26</w:t>
      </w:r>
      <w:r>
        <w:t xml:space="preserve"> (</w:t>
      </w:r>
      <w:r w:rsidR="00C0690D">
        <w:t xml:space="preserve">Accessed Jan 2021) available </w:t>
      </w:r>
      <w:r>
        <w:t>at:</w:t>
      </w:r>
      <w:r w:rsidR="00C0690D">
        <w:t xml:space="preserve"> </w:t>
      </w:r>
      <w:hyperlink r:id="rId28" w:history="1">
        <w:r w:rsidR="00C0690D" w:rsidRPr="00A10158">
          <w:rPr>
            <w:rStyle w:val="Hyperlink"/>
          </w:rPr>
          <w:t>https://www.racgp.org.au/download/Documents/Guidelines/Musculoskeletal/osteoporosis-algorithm.pdf</w:t>
        </w:r>
      </w:hyperlink>
    </w:p>
    <w:p w14:paraId="1BBCB1CA" w14:textId="4B595D44" w:rsidR="00251FC6" w:rsidRPr="00C737AD" w:rsidRDefault="00C0690D" w:rsidP="00C737AD">
      <w:pPr>
        <w:ind w:left="426"/>
      </w:pPr>
      <w:r>
        <w:t>Patient management following use of an Echolight</w:t>
      </w:r>
      <w:r w:rsidR="005F47E9">
        <w:t>/REMS</w:t>
      </w:r>
      <w:r>
        <w:t xml:space="preserve"> scan is expected to be the same as that following a DXA scan, as the same outputs used to determine treatment pathways are provided to Clinicians (i.e. T score). Following receipt of the T score, Clinicians may either monitor a patient, refer for specialist review or initiate treatment, depending on the clinical presentation (i.e. with or without minimal trauma fracture) and the T score obtained.</w:t>
      </w:r>
    </w:p>
    <w:p w14:paraId="19AB1577"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53632D3A"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D63788">
        <w:rPr>
          <w:szCs w:val="20"/>
        </w:rPr>
      </w:r>
      <w:r w:rsidR="00D63788">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1ECAF05A" w14:textId="48CD7BEA" w:rsidR="001B29A1" w:rsidRDefault="00C0690D"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0E17ADDB" w14:textId="3D7568F9" w:rsidR="00C0690D" w:rsidRDefault="00C0690D" w:rsidP="001B29A1">
      <w:pPr>
        <w:spacing w:before="0" w:after="0"/>
        <w:ind w:left="426"/>
        <w:rPr>
          <w:szCs w:val="20"/>
        </w:rPr>
      </w:pPr>
    </w:p>
    <w:p w14:paraId="09DFD762" w14:textId="3E5BE467" w:rsidR="00C0690D" w:rsidRDefault="00C0690D" w:rsidP="00C737AD">
      <w:pPr>
        <w:spacing w:before="0" w:after="0"/>
        <w:ind w:left="426"/>
        <w:rPr>
          <w:szCs w:val="20"/>
        </w:rPr>
      </w:pPr>
      <w:r>
        <w:rPr>
          <w:szCs w:val="20"/>
        </w:rPr>
        <w:t>Echolight scans would be used as an alternative diagnostic methodology for some patients.</w:t>
      </w:r>
    </w:p>
    <w:p w14:paraId="6A735DD9"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31BCC4F5" w14:textId="0E18C888" w:rsidR="00B659A5" w:rsidRPr="00D63788" w:rsidRDefault="00B659A5" w:rsidP="001B29A1">
      <w:pPr>
        <w:ind w:left="426"/>
      </w:pPr>
      <w:r>
        <w:t xml:space="preserve">As this is very new technology and DXA has been considered the Gold Standards for decades, it is anticipated that switching / diagnosis vis Echolight / REMS technology will be slow and initially driven by Specialists. Estimates of switch </w:t>
      </w:r>
      <w:r w:rsidR="00104FD4">
        <w:t xml:space="preserve">from DXA to REMS technology </w:t>
      </w:r>
      <w:proofErr w:type="gramStart"/>
      <w:r w:rsidR="00104FD4">
        <w:t>is considered to be</w:t>
      </w:r>
      <w:proofErr w:type="gramEnd"/>
      <w:r w:rsidR="00104FD4">
        <w:t xml:space="preserve"> </w:t>
      </w:r>
      <w:r w:rsidR="00D63788" w:rsidRPr="00D63788">
        <w:rPr>
          <w:b/>
          <w:bCs/>
        </w:rPr>
        <w:t>REDACTED</w:t>
      </w:r>
      <w:r w:rsidR="00D63788">
        <w:t>.</w:t>
      </w:r>
    </w:p>
    <w:p w14:paraId="0A6586CE" w14:textId="7DFE36E1" w:rsidR="00C0690D" w:rsidRDefault="00A84ED1" w:rsidP="001B29A1">
      <w:pPr>
        <w:ind w:left="426"/>
      </w:pPr>
      <w:r>
        <w:t>It is not proposed that the results from REMS will have to always be confirmed with a DXA scan, however t</w:t>
      </w:r>
      <w:r w:rsidR="001160D5">
        <w:t>here may be some small amount of use of REMS in addition to DXA scans initially by some Clinicians as they become familiar with the technology.</w:t>
      </w:r>
      <w:r w:rsidR="00B659A5">
        <w:t xml:space="preserve"> </w:t>
      </w:r>
    </w:p>
    <w:p w14:paraId="75041EAC" w14:textId="1C8C4AC7" w:rsidR="00C0690D" w:rsidRPr="001B29A1" w:rsidRDefault="000F28E2" w:rsidP="001B29A1">
      <w:pPr>
        <w:ind w:left="426"/>
        <w:rPr>
          <w:szCs w:val="20"/>
        </w:rPr>
      </w:pPr>
      <w:r>
        <w:t xml:space="preserve">The rate of </w:t>
      </w:r>
      <w:r w:rsidR="00A84ED1">
        <w:t xml:space="preserve">discordant results between </w:t>
      </w:r>
      <w:r>
        <w:t>REMS and DXA would be expected to be low, with data to be presented from the comparative trials to demonstrate this. In the expected low number of cases where this occurred the DXA scanning result could be followed (since it is the current ‘Gold standard’)</w:t>
      </w:r>
      <w:r w:rsidR="00D0328F">
        <w:t>, rather than either test being repeated.</w:t>
      </w:r>
    </w:p>
    <w:p w14:paraId="106B21A0" w14:textId="77777777" w:rsidR="00C737AD" w:rsidRDefault="00C737AD">
      <w:pPr>
        <w:spacing w:before="0" w:after="200" w:line="276" w:lineRule="auto"/>
        <w:rPr>
          <w:b/>
          <w:szCs w:val="20"/>
        </w:rPr>
      </w:pPr>
      <w:r>
        <w:br w:type="page"/>
      </w:r>
    </w:p>
    <w:p w14:paraId="623D722E" w14:textId="56F2B90A" w:rsidR="002053F2" w:rsidRPr="00C737AD" w:rsidRDefault="009C03FB" w:rsidP="00C737AD">
      <w:pPr>
        <w:pStyle w:val="Heading2"/>
      </w:pPr>
      <w:r w:rsidRPr="00154B00">
        <w:lastRenderedPageBreak/>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w:t>
      </w:r>
      <w:proofErr w:type="gramStart"/>
      <w:r w:rsidR="00F33F1A" w:rsidRPr="00154B00">
        <w:t>as a consequence of</w:t>
      </w:r>
      <w:proofErr w:type="gramEnd"/>
      <w:r w:rsidR="00F33F1A" w:rsidRPr="00154B00">
        <w:t xml:space="preserve">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0EA8695F" w14:textId="786D171C" w:rsidR="00C0690D" w:rsidRPr="00C737AD" w:rsidRDefault="00C0690D" w:rsidP="00C737AD">
      <w:pPr>
        <w:pStyle w:val="ListParagraph"/>
        <w:ind w:left="360"/>
        <w:rPr>
          <w:bCs/>
          <w:szCs w:val="20"/>
        </w:rPr>
      </w:pPr>
      <w:r w:rsidRPr="00C0690D">
        <w:rPr>
          <w:bCs/>
          <w:szCs w:val="20"/>
        </w:rPr>
        <w:t>There is no expected change to clinical management pathways</w:t>
      </w:r>
      <w:r w:rsidR="00F42132">
        <w:rPr>
          <w:bCs/>
          <w:szCs w:val="20"/>
        </w:rPr>
        <w:t xml:space="preserve"> post service delivery</w:t>
      </w:r>
      <w:r w:rsidRPr="00C0690D">
        <w:rPr>
          <w:bCs/>
          <w:szCs w:val="20"/>
        </w:rPr>
        <w:t xml:space="preserve"> </w:t>
      </w:r>
      <w:proofErr w:type="gramStart"/>
      <w:r w:rsidRPr="00C0690D">
        <w:rPr>
          <w:bCs/>
          <w:szCs w:val="20"/>
        </w:rPr>
        <w:t>as a result of</w:t>
      </w:r>
      <w:proofErr w:type="gramEnd"/>
      <w:r w:rsidRPr="00C0690D">
        <w:rPr>
          <w:bCs/>
          <w:szCs w:val="20"/>
        </w:rPr>
        <w:t xml:space="preserve"> the introduction of Echolight</w:t>
      </w:r>
      <w:r w:rsidR="005F47E9">
        <w:rPr>
          <w:bCs/>
          <w:szCs w:val="20"/>
        </w:rPr>
        <w:t>/REMS</w:t>
      </w:r>
      <w:r w:rsidRPr="00C0690D">
        <w:rPr>
          <w:bCs/>
          <w:szCs w:val="20"/>
        </w:rPr>
        <w:t xml:space="preserve">. </w:t>
      </w:r>
    </w:p>
    <w:p w14:paraId="6E93E7C0" w14:textId="77777777" w:rsidR="00DF0D47" w:rsidRPr="00881F93" w:rsidRDefault="005C3AE7" w:rsidP="00C737AD">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3B2EB466"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7618210A" w14:textId="0C1C7CF8" w:rsidR="00C0690D" w:rsidRPr="00C737AD" w:rsidRDefault="00C0690D" w:rsidP="00C737AD">
      <w:pPr>
        <w:ind w:left="426"/>
      </w:pPr>
      <w:r>
        <w:t>Use of Echolight</w:t>
      </w:r>
      <w:r w:rsidR="005F47E9">
        <w:t>/REMS</w:t>
      </w:r>
      <w:r>
        <w:t xml:space="preserve"> scans instead of DXA provides a similar level of effectiveness (i.e. diagnostic accuracy). There is a </w:t>
      </w:r>
      <w:r w:rsidR="009923D0">
        <w:t xml:space="preserve">similar level of safety during the procedure, with a potential for </w:t>
      </w:r>
      <w:r>
        <w:t xml:space="preserve">reduction in </w:t>
      </w:r>
      <w:r w:rsidR="009923D0">
        <w:t xml:space="preserve">longer-term, cumulative </w:t>
      </w:r>
      <w:r>
        <w:t>harms due to the avoidance of ionising radiation as part of the process.</w:t>
      </w:r>
    </w:p>
    <w:p w14:paraId="60D7874B"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476E2395" w14:textId="55EA59A0" w:rsidR="001B29A1" w:rsidRPr="001B29A1" w:rsidRDefault="00C0690D" w:rsidP="001B29A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6757F513" w14:textId="61F3E0C5" w:rsidR="004E3CC7" w:rsidRDefault="00C0690D"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D63788">
        <w:rPr>
          <w:szCs w:val="20"/>
        </w:rPr>
      </w:r>
      <w:r w:rsidR="00D63788">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0B9911C7" w14:textId="0A4BC07C" w:rsidR="00C0690D" w:rsidRDefault="00C0690D" w:rsidP="001B29A1">
      <w:pPr>
        <w:spacing w:before="0" w:after="0"/>
        <w:ind w:left="426"/>
        <w:rPr>
          <w:szCs w:val="20"/>
        </w:rPr>
      </w:pPr>
    </w:p>
    <w:p w14:paraId="17240993" w14:textId="08ECAFCC" w:rsidR="00C0690D" w:rsidRDefault="00C0690D" w:rsidP="001B29A1">
      <w:pPr>
        <w:spacing w:before="0" w:after="0"/>
        <w:ind w:left="426"/>
        <w:rPr>
          <w:szCs w:val="20"/>
        </w:rPr>
      </w:pPr>
      <w:r>
        <w:rPr>
          <w:szCs w:val="20"/>
        </w:rPr>
        <w:t>Note that while use of Echolight reduces the need for ionising radiation to be used</w:t>
      </w:r>
      <w:r w:rsidR="009923D0">
        <w:rPr>
          <w:szCs w:val="20"/>
        </w:rPr>
        <w:t xml:space="preserve"> (providing a potential long-term safety benefit), only </w:t>
      </w:r>
      <w:r>
        <w:rPr>
          <w:szCs w:val="20"/>
        </w:rPr>
        <w:t xml:space="preserve">equivalent efficacy and </w:t>
      </w:r>
      <w:r w:rsidR="009923D0">
        <w:rPr>
          <w:szCs w:val="20"/>
        </w:rPr>
        <w:t xml:space="preserve">safety (i.e. </w:t>
      </w:r>
      <w:r w:rsidR="00F42132">
        <w:rPr>
          <w:szCs w:val="20"/>
        </w:rPr>
        <w:t xml:space="preserve">assessed </w:t>
      </w:r>
      <w:r w:rsidR="009923D0">
        <w:rPr>
          <w:szCs w:val="20"/>
        </w:rPr>
        <w:t>during the procedure) is claimed.</w:t>
      </w:r>
    </w:p>
    <w:p w14:paraId="3461D3F6"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280D5A16" w14:textId="45FAE805"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2345D00A" w14:textId="79BDB614" w:rsidR="001B29A1" w:rsidRPr="00313081" w:rsidRDefault="00313081" w:rsidP="001B29A1">
      <w:pPr>
        <w:pBdr>
          <w:top w:val="single" w:sz="4" w:space="1" w:color="auto"/>
          <w:left w:val="single" w:sz="4" w:space="4" w:color="auto"/>
          <w:bottom w:val="single" w:sz="4" w:space="1" w:color="auto"/>
          <w:right w:val="single" w:sz="4" w:space="4" w:color="auto"/>
        </w:pBdr>
        <w:rPr>
          <w:bCs/>
          <w:szCs w:val="20"/>
        </w:rPr>
      </w:pPr>
      <w:r w:rsidRPr="00313081">
        <w:rPr>
          <w:bCs/>
          <w:szCs w:val="20"/>
        </w:rPr>
        <w:t>Safety outcomes not reported in the comparative trials.</w:t>
      </w:r>
    </w:p>
    <w:p w14:paraId="484AE580" w14:textId="45A3D36B"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p>
    <w:p w14:paraId="5DA2F62B" w14:textId="7102D731" w:rsidR="000F15F3" w:rsidRDefault="000F15F3" w:rsidP="001B29A1">
      <w:pPr>
        <w:pBdr>
          <w:top w:val="single" w:sz="4" w:space="1" w:color="auto"/>
          <w:left w:val="single" w:sz="4" w:space="4" w:color="auto"/>
          <w:bottom w:val="single" w:sz="4" w:space="1" w:color="auto"/>
          <w:right w:val="single" w:sz="4" w:space="4" w:color="auto"/>
        </w:pBdr>
        <w:rPr>
          <w:bCs/>
          <w:szCs w:val="20"/>
        </w:rPr>
      </w:pPr>
      <w:r>
        <w:rPr>
          <w:bCs/>
          <w:szCs w:val="20"/>
        </w:rPr>
        <w:t>Key clinical effectiveness outcomes compare outcomes for the same patients at the same anatomical sites.</w:t>
      </w:r>
    </w:p>
    <w:p w14:paraId="7A9F3F04" w14:textId="0D1DED8C" w:rsidR="00071595" w:rsidRPr="0033631B" w:rsidRDefault="00071595" w:rsidP="001B29A1">
      <w:pPr>
        <w:pBdr>
          <w:top w:val="single" w:sz="4" w:space="1" w:color="auto"/>
          <w:left w:val="single" w:sz="4" w:space="4" w:color="auto"/>
          <w:bottom w:val="single" w:sz="4" w:space="1" w:color="auto"/>
          <w:right w:val="single" w:sz="4" w:space="4" w:color="auto"/>
        </w:pBdr>
        <w:rPr>
          <w:b/>
          <w:color w:val="7030A0"/>
          <w:szCs w:val="20"/>
        </w:rPr>
      </w:pPr>
      <w:r w:rsidRPr="0033631B">
        <w:rPr>
          <w:b/>
          <w:color w:val="7030A0"/>
          <w:szCs w:val="20"/>
        </w:rPr>
        <w:t>Correlation</w:t>
      </w:r>
      <w:r w:rsidR="0033631B">
        <w:rPr>
          <w:b/>
          <w:color w:val="7030A0"/>
          <w:szCs w:val="20"/>
        </w:rPr>
        <w:t>/agreement</w:t>
      </w:r>
      <w:r w:rsidRPr="0033631B">
        <w:rPr>
          <w:b/>
          <w:color w:val="7030A0"/>
          <w:szCs w:val="20"/>
        </w:rPr>
        <w:t xml:space="preserve"> between REMS and BMD </w:t>
      </w:r>
      <w:r w:rsidR="001B4F7F">
        <w:rPr>
          <w:b/>
          <w:color w:val="7030A0"/>
          <w:szCs w:val="20"/>
        </w:rPr>
        <w:t>(g/cm</w:t>
      </w:r>
      <w:r w:rsidR="001B4F7F" w:rsidRPr="001B4F7F">
        <w:rPr>
          <w:b/>
          <w:color w:val="7030A0"/>
          <w:szCs w:val="20"/>
          <w:vertAlign w:val="superscript"/>
        </w:rPr>
        <w:t>2</w:t>
      </w:r>
      <w:r w:rsidR="001B4F7F">
        <w:rPr>
          <w:b/>
          <w:color w:val="7030A0"/>
          <w:szCs w:val="20"/>
        </w:rPr>
        <w:t>)</w:t>
      </w:r>
      <w:r w:rsidRPr="0033631B">
        <w:rPr>
          <w:b/>
          <w:color w:val="7030A0"/>
          <w:szCs w:val="20"/>
        </w:rPr>
        <w:t xml:space="preserve"> </w:t>
      </w:r>
      <w:r w:rsidR="00D31195">
        <w:rPr>
          <w:b/>
          <w:color w:val="7030A0"/>
          <w:szCs w:val="20"/>
        </w:rPr>
        <w:t xml:space="preserve">and/or T-scores </w:t>
      </w:r>
      <w:r w:rsidRPr="0033631B">
        <w:rPr>
          <w:b/>
          <w:color w:val="7030A0"/>
          <w:szCs w:val="20"/>
        </w:rPr>
        <w:t>at lumbar spine and femoral neck sites:</w:t>
      </w:r>
    </w:p>
    <w:p w14:paraId="2FAC61ED" w14:textId="07595D4F" w:rsidR="009553B3" w:rsidRDefault="00071595" w:rsidP="001B29A1">
      <w:pPr>
        <w:pBdr>
          <w:top w:val="single" w:sz="4" w:space="1" w:color="auto"/>
          <w:left w:val="single" w:sz="4" w:space="4" w:color="auto"/>
          <w:bottom w:val="single" w:sz="4" w:space="1" w:color="auto"/>
          <w:right w:val="single" w:sz="4" w:space="4" w:color="auto"/>
        </w:pBdr>
        <w:rPr>
          <w:bCs/>
          <w:szCs w:val="20"/>
        </w:rPr>
      </w:pPr>
      <w:r>
        <w:rPr>
          <w:bCs/>
          <w:szCs w:val="20"/>
        </w:rPr>
        <w:t xml:space="preserve">- </w:t>
      </w:r>
      <w:r w:rsidR="009553B3">
        <w:rPr>
          <w:bCs/>
          <w:szCs w:val="20"/>
        </w:rPr>
        <w:t xml:space="preserve">Correlation between REMS and DXA BMD values determined by calculating the slope of the regression line, Pearson’s correlation coefficient </w:t>
      </w:r>
      <w:r>
        <w:rPr>
          <w:bCs/>
          <w:szCs w:val="20"/>
        </w:rPr>
        <w:t xml:space="preserve">(r), </w:t>
      </w:r>
      <w:r w:rsidR="009553B3">
        <w:rPr>
          <w:bCs/>
          <w:szCs w:val="20"/>
        </w:rPr>
        <w:t>the coefficient of determination (r</w:t>
      </w:r>
      <w:r w:rsidR="009553B3" w:rsidRPr="009553B3">
        <w:rPr>
          <w:bCs/>
          <w:szCs w:val="20"/>
          <w:vertAlign w:val="superscript"/>
        </w:rPr>
        <w:t>2</w:t>
      </w:r>
      <w:r w:rsidR="009553B3">
        <w:rPr>
          <w:bCs/>
          <w:szCs w:val="20"/>
        </w:rPr>
        <w:t>)</w:t>
      </w:r>
      <w:r>
        <w:rPr>
          <w:bCs/>
          <w:szCs w:val="20"/>
        </w:rPr>
        <w:t xml:space="preserve"> and the standard error of the estimate (SEE)</w:t>
      </w:r>
      <w:r w:rsidR="00313081">
        <w:rPr>
          <w:bCs/>
          <w:szCs w:val="20"/>
        </w:rPr>
        <w:t>.</w:t>
      </w:r>
      <w:r w:rsidR="009553B3">
        <w:rPr>
          <w:bCs/>
          <w:szCs w:val="20"/>
        </w:rPr>
        <w:t xml:space="preserve"> </w:t>
      </w:r>
    </w:p>
    <w:p w14:paraId="4AD72E8A" w14:textId="15066212" w:rsidR="00071595" w:rsidRDefault="0033631B" w:rsidP="009553B3">
      <w:pPr>
        <w:pBdr>
          <w:top w:val="single" w:sz="4" w:space="1" w:color="auto"/>
          <w:left w:val="single" w:sz="4" w:space="4" w:color="auto"/>
          <w:bottom w:val="single" w:sz="4" w:space="1" w:color="auto"/>
          <w:right w:val="single" w:sz="4" w:space="4" w:color="auto"/>
        </w:pBdr>
        <w:rPr>
          <w:bCs/>
          <w:szCs w:val="20"/>
        </w:rPr>
      </w:pPr>
      <w:r>
        <w:rPr>
          <w:bCs/>
          <w:szCs w:val="20"/>
        </w:rPr>
        <w:t xml:space="preserve">- some studies </w:t>
      </w:r>
      <w:r w:rsidR="001B4F7F">
        <w:rPr>
          <w:bCs/>
          <w:szCs w:val="20"/>
        </w:rPr>
        <w:t xml:space="preserve">also </w:t>
      </w:r>
      <w:r>
        <w:rPr>
          <w:bCs/>
          <w:szCs w:val="20"/>
        </w:rPr>
        <w:t xml:space="preserve">reported these values for patient </w:t>
      </w:r>
      <w:r w:rsidR="001B4F7F">
        <w:rPr>
          <w:bCs/>
          <w:szCs w:val="20"/>
        </w:rPr>
        <w:t>sub-</w:t>
      </w:r>
      <w:r>
        <w:rPr>
          <w:bCs/>
          <w:szCs w:val="20"/>
        </w:rPr>
        <w:t>populations with previous fracture history and those without previous fracture history (e.g. Adami et al. 2020).</w:t>
      </w:r>
    </w:p>
    <w:p w14:paraId="197528B9" w14:textId="0803AF15" w:rsidR="00071595" w:rsidRPr="0033631B" w:rsidRDefault="00071595" w:rsidP="009553B3">
      <w:pPr>
        <w:pBdr>
          <w:top w:val="single" w:sz="4" w:space="1" w:color="auto"/>
          <w:left w:val="single" w:sz="4" w:space="4" w:color="auto"/>
          <w:bottom w:val="single" w:sz="4" w:space="1" w:color="auto"/>
          <w:right w:val="single" w:sz="4" w:space="4" w:color="auto"/>
        </w:pBdr>
        <w:rPr>
          <w:b/>
          <w:color w:val="7030A0"/>
          <w:szCs w:val="20"/>
        </w:rPr>
      </w:pPr>
      <w:r w:rsidRPr="0033631B">
        <w:rPr>
          <w:b/>
          <w:color w:val="7030A0"/>
          <w:szCs w:val="20"/>
        </w:rPr>
        <w:t>Diagnostic accuracy of REMS vs. DXA based on categorisation of patients</w:t>
      </w:r>
      <w:r w:rsidR="000F15F3" w:rsidRPr="0033631B">
        <w:rPr>
          <w:b/>
          <w:color w:val="7030A0"/>
          <w:szCs w:val="20"/>
        </w:rPr>
        <w:t xml:space="preserve"> at lumbar spine and femoral neck </w:t>
      </w:r>
      <w:r w:rsidR="000F15F3" w:rsidRPr="00313081">
        <w:rPr>
          <w:b/>
          <w:color w:val="7030A0"/>
          <w:szCs w:val="20"/>
        </w:rPr>
        <w:t>sites</w:t>
      </w:r>
      <w:r w:rsidR="00313081" w:rsidRPr="00313081">
        <w:rPr>
          <w:b/>
          <w:color w:val="7030A0"/>
          <w:szCs w:val="20"/>
        </w:rPr>
        <w:t xml:space="preserve"> - </w:t>
      </w:r>
      <w:r w:rsidR="00313081" w:rsidRPr="00313081">
        <w:rPr>
          <w:bCs/>
          <w:color w:val="7030A0"/>
          <w:szCs w:val="20"/>
        </w:rPr>
        <w:t>comparison of patients with and without osteoporosis</w:t>
      </w:r>
      <w:r w:rsidR="001B4F7F">
        <w:rPr>
          <w:bCs/>
          <w:color w:val="7030A0"/>
          <w:szCs w:val="20"/>
        </w:rPr>
        <w:t xml:space="preserve"> based on T-score</w:t>
      </w:r>
    </w:p>
    <w:p w14:paraId="07C9A0AB" w14:textId="651FACD9" w:rsidR="00071595" w:rsidRDefault="000F15F3" w:rsidP="009553B3">
      <w:pPr>
        <w:pBdr>
          <w:top w:val="single" w:sz="4" w:space="1" w:color="auto"/>
          <w:left w:val="single" w:sz="4" w:space="4" w:color="auto"/>
          <w:bottom w:val="single" w:sz="4" w:space="1" w:color="auto"/>
          <w:right w:val="single" w:sz="4" w:space="4" w:color="auto"/>
        </w:pBdr>
        <w:rPr>
          <w:bCs/>
          <w:szCs w:val="20"/>
        </w:rPr>
      </w:pPr>
      <w:r>
        <w:rPr>
          <w:bCs/>
          <w:szCs w:val="20"/>
        </w:rPr>
        <w:t>(</w:t>
      </w:r>
      <w:r w:rsidR="00313081">
        <w:rPr>
          <w:bCs/>
          <w:szCs w:val="20"/>
        </w:rPr>
        <w:t>C</w:t>
      </w:r>
      <w:r w:rsidR="00071595">
        <w:rPr>
          <w:bCs/>
          <w:szCs w:val="20"/>
        </w:rPr>
        <w:t xml:space="preserve">ategorisation as % patients with osteoporosis (T-score </w:t>
      </w:r>
      <w:r w:rsidR="00071595">
        <w:rPr>
          <w:rFonts w:cstheme="minorHAnsi"/>
          <w:bCs/>
          <w:szCs w:val="20"/>
        </w:rPr>
        <w:t xml:space="preserve">≤ </w:t>
      </w:r>
      <w:r w:rsidR="00071595">
        <w:rPr>
          <w:bCs/>
          <w:szCs w:val="20"/>
        </w:rPr>
        <w:t xml:space="preserve">-2.5) or osteopenia (-2.5 &lt; T-score &lt;-1.0) or ‘healthy patient’ (T-score </w:t>
      </w:r>
      <w:r w:rsidR="00071595">
        <w:rPr>
          <w:rFonts w:cstheme="minorHAnsi"/>
          <w:bCs/>
          <w:szCs w:val="20"/>
        </w:rPr>
        <w:t xml:space="preserve">≥ </w:t>
      </w:r>
      <w:r w:rsidR="00071595">
        <w:rPr>
          <w:bCs/>
          <w:szCs w:val="20"/>
        </w:rPr>
        <w:t>-1.0)</w:t>
      </w:r>
      <w:r>
        <w:rPr>
          <w:bCs/>
          <w:szCs w:val="20"/>
        </w:rPr>
        <w:t>)</w:t>
      </w:r>
    </w:p>
    <w:p w14:paraId="013241DC" w14:textId="1AF0D86B" w:rsidR="00071595" w:rsidRDefault="000F15F3" w:rsidP="009553B3">
      <w:pPr>
        <w:pBdr>
          <w:top w:val="single" w:sz="4" w:space="1" w:color="auto"/>
          <w:left w:val="single" w:sz="4" w:space="4" w:color="auto"/>
          <w:bottom w:val="single" w:sz="4" w:space="1" w:color="auto"/>
          <w:right w:val="single" w:sz="4" w:space="4" w:color="auto"/>
        </w:pBdr>
        <w:rPr>
          <w:bCs/>
          <w:szCs w:val="20"/>
        </w:rPr>
      </w:pPr>
      <w:r>
        <w:rPr>
          <w:bCs/>
          <w:szCs w:val="20"/>
        </w:rPr>
        <w:t>- Sensitivity (%)</w:t>
      </w:r>
    </w:p>
    <w:p w14:paraId="790474DF" w14:textId="10605D6C" w:rsidR="000F15F3" w:rsidRDefault="000F15F3" w:rsidP="009553B3">
      <w:pPr>
        <w:pBdr>
          <w:top w:val="single" w:sz="4" w:space="1" w:color="auto"/>
          <w:left w:val="single" w:sz="4" w:space="4" w:color="auto"/>
          <w:bottom w:val="single" w:sz="4" w:space="1" w:color="auto"/>
          <w:right w:val="single" w:sz="4" w:space="4" w:color="auto"/>
        </w:pBdr>
        <w:rPr>
          <w:bCs/>
          <w:szCs w:val="20"/>
        </w:rPr>
      </w:pPr>
      <w:r>
        <w:rPr>
          <w:bCs/>
          <w:szCs w:val="20"/>
        </w:rPr>
        <w:t>- Specificity (%)</w:t>
      </w:r>
    </w:p>
    <w:p w14:paraId="4D75AC7C" w14:textId="18D0EF72" w:rsidR="00071595" w:rsidRDefault="001B4F7F" w:rsidP="009553B3">
      <w:pPr>
        <w:pBdr>
          <w:top w:val="single" w:sz="4" w:space="1" w:color="auto"/>
          <w:left w:val="single" w:sz="4" w:space="4" w:color="auto"/>
          <w:bottom w:val="single" w:sz="4" w:space="1" w:color="auto"/>
          <w:right w:val="single" w:sz="4" w:space="4" w:color="auto"/>
        </w:pBdr>
        <w:rPr>
          <w:bCs/>
          <w:szCs w:val="20"/>
        </w:rPr>
      </w:pPr>
      <w:r>
        <w:rPr>
          <w:bCs/>
          <w:szCs w:val="20"/>
        </w:rPr>
        <w:t>- Positive/negative predictive value (PPV, NPV) (%)</w:t>
      </w:r>
    </w:p>
    <w:p w14:paraId="7C67F8A8" w14:textId="67516715" w:rsidR="009553B3" w:rsidRPr="0033631B" w:rsidRDefault="000F15F3" w:rsidP="001B29A1">
      <w:pPr>
        <w:pBdr>
          <w:top w:val="single" w:sz="4" w:space="1" w:color="auto"/>
          <w:left w:val="single" w:sz="4" w:space="4" w:color="auto"/>
          <w:bottom w:val="single" w:sz="4" w:space="1" w:color="auto"/>
          <w:right w:val="single" w:sz="4" w:space="4" w:color="auto"/>
        </w:pBdr>
        <w:rPr>
          <w:b/>
          <w:color w:val="7030A0"/>
          <w:szCs w:val="20"/>
        </w:rPr>
      </w:pPr>
      <w:r w:rsidRPr="0033631B">
        <w:rPr>
          <w:b/>
          <w:color w:val="7030A0"/>
          <w:szCs w:val="20"/>
        </w:rPr>
        <w:t>T-score based analysis for REMS vs. DXA:</w:t>
      </w:r>
    </w:p>
    <w:p w14:paraId="7C5FA157" w14:textId="57B10A61" w:rsidR="000F15F3" w:rsidRDefault="000F15F3" w:rsidP="000F15F3">
      <w:pPr>
        <w:pBdr>
          <w:top w:val="single" w:sz="4" w:space="1" w:color="auto"/>
          <w:left w:val="single" w:sz="4" w:space="4" w:color="auto"/>
          <w:bottom w:val="single" w:sz="4" w:space="1" w:color="auto"/>
          <w:right w:val="single" w:sz="4" w:space="4" w:color="auto"/>
        </w:pBdr>
        <w:rPr>
          <w:bCs/>
          <w:szCs w:val="20"/>
        </w:rPr>
      </w:pPr>
      <w:r>
        <w:rPr>
          <w:bCs/>
          <w:szCs w:val="20"/>
        </w:rPr>
        <w:t>- T score</w:t>
      </w:r>
      <w:r w:rsidR="0033631B">
        <w:rPr>
          <w:bCs/>
          <w:szCs w:val="20"/>
        </w:rPr>
        <w:t xml:space="preserve"> value distributions</w:t>
      </w:r>
      <w:r>
        <w:rPr>
          <w:bCs/>
          <w:szCs w:val="20"/>
        </w:rPr>
        <w:t xml:space="preserve"> </w:t>
      </w:r>
      <w:r w:rsidR="0033631B">
        <w:rPr>
          <w:bCs/>
          <w:szCs w:val="20"/>
        </w:rPr>
        <w:t xml:space="preserve">for each treatment </w:t>
      </w:r>
      <w:r>
        <w:rPr>
          <w:bCs/>
          <w:szCs w:val="20"/>
        </w:rPr>
        <w:t>with statistical treatment difference (p value)</w:t>
      </w:r>
    </w:p>
    <w:p w14:paraId="0D991C34" w14:textId="77777777" w:rsidR="000F15F3" w:rsidRPr="009553B3" w:rsidRDefault="000F15F3" w:rsidP="000F15F3">
      <w:pPr>
        <w:pBdr>
          <w:top w:val="single" w:sz="4" w:space="1" w:color="auto"/>
          <w:left w:val="single" w:sz="4" w:space="4" w:color="auto"/>
          <w:bottom w:val="single" w:sz="4" w:space="1" w:color="auto"/>
          <w:right w:val="single" w:sz="4" w:space="4" w:color="auto"/>
        </w:pBdr>
        <w:rPr>
          <w:bCs/>
          <w:szCs w:val="20"/>
        </w:rPr>
      </w:pPr>
      <w:r w:rsidRPr="009553B3">
        <w:rPr>
          <w:bCs/>
          <w:szCs w:val="20"/>
        </w:rPr>
        <w:t>Sensitivity in discriminating patients with and without previous osteoporotic fractures</w:t>
      </w:r>
      <w:r>
        <w:rPr>
          <w:bCs/>
          <w:szCs w:val="20"/>
        </w:rPr>
        <w:t xml:space="preserve"> (%)</w:t>
      </w:r>
    </w:p>
    <w:p w14:paraId="45DBAD4A" w14:textId="77777777" w:rsidR="000F15F3" w:rsidRDefault="000F15F3" w:rsidP="000F15F3">
      <w:pPr>
        <w:pBdr>
          <w:top w:val="single" w:sz="4" w:space="1" w:color="auto"/>
          <w:left w:val="single" w:sz="4" w:space="4" w:color="auto"/>
          <w:bottom w:val="single" w:sz="4" w:space="1" w:color="auto"/>
          <w:right w:val="single" w:sz="4" w:space="4" w:color="auto"/>
        </w:pBdr>
        <w:rPr>
          <w:bCs/>
          <w:szCs w:val="20"/>
        </w:rPr>
      </w:pPr>
      <w:r w:rsidRPr="009553B3">
        <w:rPr>
          <w:bCs/>
          <w:szCs w:val="20"/>
        </w:rPr>
        <w:t>Specificity in discriminating patients with and without previous osteoporotic fractures</w:t>
      </w:r>
      <w:r>
        <w:rPr>
          <w:bCs/>
          <w:szCs w:val="20"/>
        </w:rPr>
        <w:t xml:space="preserve"> (%)</w:t>
      </w:r>
    </w:p>
    <w:p w14:paraId="20B745AD" w14:textId="77777777" w:rsidR="00C776B1" w:rsidRPr="00C776B1" w:rsidRDefault="003433D1" w:rsidP="0056015F">
      <w:pPr>
        <w:pStyle w:val="Heading1"/>
      </w:pPr>
      <w:r>
        <w:rPr>
          <w:b/>
          <w:sz w:val="32"/>
        </w:rPr>
        <w:br w:type="page"/>
      </w:r>
      <w:bookmarkStart w:id="4" w:name="_Hlk61348321"/>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31F8B838"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72C1C6C7" w14:textId="4BCD5E51" w:rsidR="009553B3" w:rsidRDefault="004C0681" w:rsidP="004C0681">
      <w:pPr>
        <w:ind w:left="426"/>
      </w:pPr>
      <w:r>
        <w:t xml:space="preserve">An estimated 924,000 Australians have osteoporosis, based on self-reported data from the Australian Bureau of Statistics (ABS) 2017–18 National Health Survey (NHS) and 20% of people aged 75 years and over have osteoporosis, with this definition of osteoporosis including people who had osteoporosis or osteopenia </w:t>
      </w:r>
      <w:r>
        <w:fldChar w:fldCharType="begin"/>
      </w:r>
      <w:r>
        <w:instrText xml:space="preserve"> ADDIN EN.CITE &lt;EndNote&gt;&lt;Cite&gt;&lt;Author&gt;AIHW&lt;/Author&gt;&lt;Year&gt;2020&lt;/Year&gt;&lt;RecNum&gt;7&lt;/RecNum&gt;&lt;DisplayText&gt;(AIHW 2020)&lt;/DisplayText&gt;&lt;record&gt;&lt;rec-number&gt;7&lt;/rec-number&gt;&lt;foreign-keys&gt;&lt;key app="EN" db-id="ez5xftsfjtxsr1etze3vfta19tss2fv2tsts" timestamp="1610425018"&gt;7&lt;/key&gt;&lt;/foreign-keys&gt;&lt;ref-type name="Journal Article"&gt;17&lt;/ref-type&gt;&lt;contributors&gt;&lt;authors&gt;&lt;author&gt;AIHW,&lt;/author&gt;&lt;/authors&gt;&lt;/contributors&gt;&lt;titles&gt;&lt;title&gt;Australian Institute of Health and Welfare 2020. Osteoporosis. Cat. no. PHE 233. Canberra: AIHW. Viewed 08 January 2021, https://www.aihw.gov.au/reports/chronic-musculoskeletal-conditions/osteoporos&lt;/title&gt;&lt;/titles&gt;&lt;dates&gt;&lt;year&gt;2020&lt;/year&gt;&lt;/dates&gt;&lt;urls&gt;&lt;/urls&gt;&lt;/record&gt;&lt;/Cite&gt;&lt;/EndNote&gt;</w:instrText>
      </w:r>
      <w:r>
        <w:fldChar w:fldCharType="separate"/>
      </w:r>
      <w:r>
        <w:rPr>
          <w:noProof/>
        </w:rPr>
        <w:t>(AIHW 2020)</w:t>
      </w:r>
      <w:r>
        <w:fldChar w:fldCharType="end"/>
      </w:r>
      <w:r>
        <w:t xml:space="preserve">. </w:t>
      </w:r>
    </w:p>
    <w:p w14:paraId="6E95E8EE" w14:textId="49D02D14" w:rsidR="004C0681" w:rsidRDefault="004C0681" w:rsidP="004C0681">
      <w:pPr>
        <w:ind w:left="426"/>
      </w:pPr>
      <w:r>
        <w:t>According to an audit of Australian general practice</w:t>
      </w:r>
      <w:r w:rsidR="005F54FF">
        <w:t xml:space="preserve"> only 29% of patients with risk factors for osteoporosis had been screened for osteoporosis </w:t>
      </w:r>
      <w:r w:rsidR="005F54FF">
        <w:fldChar w:fldCharType="begin"/>
      </w:r>
      <w:r w:rsidR="005F54FF">
        <w:instrText xml:space="preserve"> ADDIN EN.CITE &lt;EndNote&gt;&lt;Cite&gt;&lt;Author&gt;Parker&lt;/Author&gt;&lt;Year&gt;2013&lt;/Year&gt;&lt;RecNum&gt;8&lt;/RecNum&gt;&lt;DisplayText&gt;(Parker 2013)&lt;/DisplayText&gt;&lt;record&gt;&lt;rec-number&gt;8&lt;/rec-number&gt;&lt;foreign-keys&gt;&lt;key app="EN" db-id="ez5xftsfjtxsr1etze3vfta19tss2fv2tsts" timestamp="1610425680"&gt;8&lt;/key&gt;&lt;/foreign-keys&gt;&lt;ref-type name="Journal Article"&gt;17&lt;/ref-type&gt;&lt;contributors&gt;&lt;authors&gt;&lt;author&gt;Parker, D.&lt;/author&gt;&lt;/authors&gt;&lt;/contributors&gt;&lt;titles&gt;&lt;title&gt;An audit of osteoporotic patients in an Australian general practice&lt;/title&gt;&lt;secondary-title&gt;Australian Family Physician&lt;/secondary-title&gt;&lt;/titles&gt;&lt;periodical&gt;&lt;full-title&gt;Australian Family Physician&lt;/full-title&gt;&lt;/periodical&gt;&lt;pages&gt;423-427&lt;/pages&gt;&lt;volume&gt;42&lt;/volume&gt;&lt;keywords&gt;&lt;keyword&gt;australian, family, physician, afp, 2013, june, osteoporosis, clinical audit, general practice&lt;/keyword&gt;&lt;/keywords&gt;&lt;dates&gt;&lt;year&gt;2013&lt;/year&gt;&lt;pub-dates&gt;&lt;date&gt;6/01&lt;/date&gt;&lt;/pub-dates&gt;&lt;/dates&gt;&lt;publisher&gt;The Royal Australian College of General Practitioners (RACGP)&lt;/publisher&gt;&lt;urls&gt;&lt;related-urls&gt;&lt;url&gt;http://www.racgp.org.au/afp/2013/june/osteoporotic-patients/&lt;/url&gt;&lt;/related-urls&gt;&lt;/urls&gt;&lt;/record&gt;&lt;/Cite&gt;&lt;/EndNote&gt;</w:instrText>
      </w:r>
      <w:r w:rsidR="005F54FF">
        <w:fldChar w:fldCharType="separate"/>
      </w:r>
      <w:r w:rsidR="005F54FF">
        <w:rPr>
          <w:noProof/>
        </w:rPr>
        <w:t>(Parker 2013)</w:t>
      </w:r>
      <w:r w:rsidR="005F54FF">
        <w:fldChar w:fldCharType="end"/>
      </w:r>
      <w:r w:rsidR="005F54FF">
        <w:t xml:space="preserve">. Additionally, </w:t>
      </w:r>
      <w:r>
        <w:t xml:space="preserve">48% </w:t>
      </w:r>
      <w:r w:rsidR="005F54FF">
        <w:t xml:space="preserve">of patients </w:t>
      </w:r>
      <w:r>
        <w:t>with a previous scan for low BMD had not had recommended follow-up scans</w:t>
      </w:r>
      <w:r w:rsidR="005F54FF">
        <w:t xml:space="preserve"> </w:t>
      </w:r>
      <w:r w:rsidR="005F54FF">
        <w:fldChar w:fldCharType="begin"/>
      </w:r>
      <w:r w:rsidR="005F54FF">
        <w:instrText xml:space="preserve"> ADDIN EN.CITE &lt;EndNote&gt;&lt;Cite&gt;&lt;Author&gt;Parker&lt;/Author&gt;&lt;Year&gt;2013&lt;/Year&gt;&lt;RecNum&gt;8&lt;/RecNum&gt;&lt;DisplayText&gt;(Parker 2013)&lt;/DisplayText&gt;&lt;record&gt;&lt;rec-number&gt;8&lt;/rec-number&gt;&lt;foreign-keys&gt;&lt;key app="EN" db-id="ez5xftsfjtxsr1etze3vfta19tss2fv2tsts" timestamp="1610425680"&gt;8&lt;/key&gt;&lt;/foreign-keys&gt;&lt;ref-type name="Journal Article"&gt;17&lt;/ref-type&gt;&lt;contributors&gt;&lt;authors&gt;&lt;author&gt;Parker, D.&lt;/author&gt;&lt;/authors&gt;&lt;/contributors&gt;&lt;titles&gt;&lt;title&gt;An audit of osteoporotic patients in an Australian general practice&lt;/title&gt;&lt;secondary-title&gt;Australian Family Physician&lt;/secondary-title&gt;&lt;/titles&gt;&lt;periodical&gt;&lt;full-title&gt;Australian Family Physician&lt;/full-title&gt;&lt;/periodical&gt;&lt;pages&gt;423-427&lt;/pages&gt;&lt;volume&gt;42&lt;/volume&gt;&lt;keywords&gt;&lt;keyword&gt;australian, family, physician, afp, 2013, june, osteoporosis, clinical audit, general practice&lt;/keyword&gt;&lt;/keywords&gt;&lt;dates&gt;&lt;year&gt;2013&lt;/year&gt;&lt;pub-dates&gt;&lt;date&gt;6/01&lt;/date&gt;&lt;/pub-dates&gt;&lt;/dates&gt;&lt;publisher&gt;The Royal Australian College of General Practitioners (RACGP)&lt;/publisher&gt;&lt;urls&gt;&lt;related-urls&gt;&lt;url&gt;http://www.racgp.org.au/afp/2013/june/osteoporotic-patients/&lt;/url&gt;&lt;/related-urls&gt;&lt;/urls&gt;&lt;/record&gt;&lt;/Cite&gt;&lt;/EndNote&gt;</w:instrText>
      </w:r>
      <w:r w:rsidR="005F54FF">
        <w:fldChar w:fldCharType="separate"/>
      </w:r>
      <w:r w:rsidR="005F54FF">
        <w:rPr>
          <w:noProof/>
        </w:rPr>
        <w:t>(Parker 2013)</w:t>
      </w:r>
      <w:r w:rsidR="005F54FF">
        <w:fldChar w:fldCharType="end"/>
      </w:r>
      <w:r>
        <w:t>.</w:t>
      </w:r>
      <w:r w:rsidR="005F54FF">
        <w:t xml:space="preserve"> </w:t>
      </w:r>
    </w:p>
    <w:p w14:paraId="395A6C3B" w14:textId="227EB358" w:rsidR="009553B3" w:rsidRPr="00C737AD" w:rsidRDefault="005F54FF" w:rsidP="00C737AD">
      <w:pPr>
        <w:ind w:left="426"/>
      </w:pPr>
      <w:proofErr w:type="gramStart"/>
      <w:r>
        <w:t>Thus</w:t>
      </w:r>
      <w:proofErr w:type="gramEnd"/>
      <w:r>
        <w:t xml:space="preserve"> while the prevalence of osteoporosis in Australia is high in older age groups, only a proportion are currently accessing single or repeated DXA scans.</w:t>
      </w:r>
    </w:p>
    <w:p w14:paraId="3A3D1BFC"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1B1D8432" w14:textId="1B65167B" w:rsidR="009553B3" w:rsidRDefault="004E51DB" w:rsidP="00AE1188">
      <w:pPr>
        <w:ind w:left="426"/>
      </w:pPr>
      <w:r>
        <w:t>The proposed MBS item descriptions limit use by a patient to once per 12 or 24 months or 5 years (</w:t>
      </w:r>
      <w:r>
        <w:fldChar w:fldCharType="begin"/>
      </w:r>
      <w:r>
        <w:instrText xml:space="preserve"> REF _Ref61355363 \h </w:instrText>
      </w:r>
      <w:r>
        <w:fldChar w:fldCharType="separate"/>
      </w:r>
      <w:r w:rsidR="00B363E0">
        <w:t xml:space="preserve">Table </w:t>
      </w:r>
      <w:r w:rsidR="00B363E0">
        <w:rPr>
          <w:noProof/>
        </w:rPr>
        <w:t>2</w:t>
      </w:r>
      <w:r>
        <w:fldChar w:fldCharType="end"/>
      </w:r>
      <w:r>
        <w:t>), with the same criteria proposed for Echolight scans. Hence no patient would be expected to have more than 1 scan per year, with scans allowed only every 2 or 5 years for some patients.</w:t>
      </w:r>
    </w:p>
    <w:p w14:paraId="0580C6CB" w14:textId="71B30305" w:rsidR="009553B3" w:rsidRDefault="00CA6DAD" w:rsidP="00C737AD">
      <w:pPr>
        <w:ind w:left="426"/>
      </w:pPr>
      <w:r w:rsidRPr="00CA6DAD">
        <w:t>This is because bone density loss is considered a relatively slow process and repeat testing within 24 months is unlikely to assist in clinical decision making.</w:t>
      </w:r>
      <w:r>
        <w:t xml:space="preserve"> </w:t>
      </w:r>
      <w:r w:rsidRPr="00CA6DAD">
        <w:t>For specific medical conditions or particular treatments that may cause more rapid bone loss, a Medicare rebate is available for repeat testing at 12 monthly intervals</w:t>
      </w:r>
      <w:r>
        <w:t xml:space="preserve"> (Source: </w:t>
      </w:r>
      <w:hyperlink r:id="rId29" w:history="1">
        <w:r w:rsidRPr="004D4881">
          <w:rPr>
            <w:rStyle w:val="Hyperlink"/>
          </w:rPr>
          <w:t>https://www1.health.gov.au/internet/main/publishing.nsf/Content/diagnosticimaging-bd.htm</w:t>
        </w:r>
      </w:hyperlink>
      <w:r>
        <w:t>)</w:t>
      </w:r>
    </w:p>
    <w:p w14:paraId="07147A29" w14:textId="2D544B48" w:rsidR="004E51DB" w:rsidRDefault="004E51DB" w:rsidP="00C737AD">
      <w:pPr>
        <w:pStyle w:val="Caption"/>
        <w:ind w:firstLine="426"/>
      </w:pPr>
      <w:bookmarkStart w:id="5" w:name="_Ref61355363"/>
      <w:r>
        <w:t xml:space="preserve">Table </w:t>
      </w:r>
      <w:r w:rsidR="00D63788">
        <w:fldChar w:fldCharType="begin"/>
      </w:r>
      <w:r w:rsidR="00D63788">
        <w:instrText xml:space="preserve"> SEQ Table \* ARABIC </w:instrText>
      </w:r>
      <w:r w:rsidR="00D63788">
        <w:fldChar w:fldCharType="separate"/>
      </w:r>
      <w:r w:rsidR="00B363E0">
        <w:rPr>
          <w:noProof/>
        </w:rPr>
        <w:t>2</w:t>
      </w:r>
      <w:r w:rsidR="00D63788">
        <w:rPr>
          <w:noProof/>
        </w:rPr>
        <w:fldChar w:fldCharType="end"/>
      </w:r>
      <w:bookmarkEnd w:id="5"/>
      <w:r>
        <w:t>: Services allowed per year for existing DXA scan MBS items</w:t>
      </w:r>
    </w:p>
    <w:tbl>
      <w:tblPr>
        <w:tblStyle w:val="TableGrid"/>
        <w:tblW w:w="8788" w:type="dxa"/>
        <w:tblInd w:w="421" w:type="dxa"/>
        <w:tblLook w:val="04A0" w:firstRow="1" w:lastRow="0" w:firstColumn="1" w:lastColumn="0" w:noHBand="0" w:noVBand="1"/>
      </w:tblPr>
      <w:tblGrid>
        <w:gridCol w:w="1780"/>
        <w:gridCol w:w="1196"/>
        <w:gridCol w:w="1134"/>
        <w:gridCol w:w="1134"/>
        <w:gridCol w:w="1134"/>
        <w:gridCol w:w="1184"/>
        <w:gridCol w:w="1226"/>
      </w:tblGrid>
      <w:tr w:rsidR="00D63788" w14:paraId="102DF8AD" w14:textId="77777777" w:rsidTr="001F42A5">
        <w:trPr>
          <w:trHeight w:val="300"/>
        </w:trPr>
        <w:tc>
          <w:tcPr>
            <w:tcW w:w="17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86B97F" w14:textId="77777777" w:rsidR="00D63788" w:rsidRDefault="00D63788">
            <w:pPr>
              <w:ind w:left="426"/>
              <w:rPr>
                <w:b/>
                <w:bCs/>
              </w:rPr>
            </w:pPr>
            <w:r>
              <w:rPr>
                <w:b/>
                <w:bCs/>
              </w:rPr>
              <w:t> </w:t>
            </w:r>
          </w:p>
        </w:tc>
        <w:tc>
          <w:tcPr>
            <w:tcW w:w="700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86F9E7" w14:textId="77777777" w:rsidR="00D63788" w:rsidRDefault="00D63788">
            <w:pPr>
              <w:ind w:left="426"/>
              <w:jc w:val="center"/>
              <w:rPr>
                <w:b/>
                <w:bCs/>
              </w:rPr>
            </w:pPr>
            <w:r>
              <w:rPr>
                <w:b/>
                <w:bCs/>
              </w:rPr>
              <w:t>MBS item</w:t>
            </w:r>
          </w:p>
        </w:tc>
      </w:tr>
      <w:tr w:rsidR="00D63788" w14:paraId="5FF46E22" w14:textId="77777777" w:rsidTr="001F42A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9ABBC" w14:textId="77777777" w:rsidR="00D63788" w:rsidRDefault="00D63788">
            <w:pPr>
              <w:spacing w:before="0" w:after="0"/>
              <w:rPr>
                <w:b/>
                <w:bCs/>
              </w:rPr>
            </w:pPr>
          </w:p>
        </w:tc>
        <w:tc>
          <w:tcPr>
            <w:tcW w:w="1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2E2F8D" w14:textId="77777777" w:rsidR="00D63788" w:rsidRDefault="00D63788" w:rsidP="00D63788">
            <w:pPr>
              <w:ind w:left="-49" w:right="-66"/>
              <w:jc w:val="center"/>
              <w:rPr>
                <w:b/>
                <w:bCs/>
              </w:rPr>
            </w:pPr>
            <w:r>
              <w:rPr>
                <w:b/>
                <w:bCs/>
              </w:rPr>
              <w:t>12306</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E30F69" w14:textId="77777777" w:rsidR="00D63788" w:rsidRDefault="00D63788">
            <w:pPr>
              <w:jc w:val="center"/>
              <w:rPr>
                <w:b/>
                <w:bCs/>
              </w:rPr>
            </w:pPr>
            <w:r>
              <w:rPr>
                <w:b/>
                <w:bCs/>
              </w:rPr>
              <w:t>12312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D30B29" w14:textId="77777777" w:rsidR="00D63788" w:rsidRDefault="00D63788">
            <w:pPr>
              <w:jc w:val="center"/>
              <w:rPr>
                <w:b/>
                <w:bCs/>
              </w:rPr>
            </w:pPr>
            <w:r>
              <w:rPr>
                <w:b/>
                <w:bCs/>
              </w:rPr>
              <w:t>12315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5FD978" w14:textId="77777777" w:rsidR="00D63788" w:rsidRDefault="00D63788">
            <w:pPr>
              <w:jc w:val="center"/>
              <w:rPr>
                <w:b/>
                <w:bCs/>
              </w:rPr>
            </w:pPr>
            <w:r>
              <w:rPr>
                <w:b/>
                <w:bCs/>
              </w:rPr>
              <w:t>12320</w:t>
            </w:r>
          </w:p>
        </w:tc>
        <w:tc>
          <w:tcPr>
            <w:tcW w:w="1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6A590" w14:textId="77777777" w:rsidR="00D63788" w:rsidRDefault="00D63788">
            <w:pPr>
              <w:jc w:val="center"/>
              <w:rPr>
                <w:b/>
                <w:bCs/>
              </w:rPr>
            </w:pPr>
            <w:r>
              <w:rPr>
                <w:b/>
                <w:bCs/>
              </w:rPr>
              <w:t>12321</w:t>
            </w:r>
          </w:p>
        </w:tc>
        <w:tc>
          <w:tcPr>
            <w:tcW w:w="1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AA5E67" w14:textId="77777777" w:rsidR="00D63788" w:rsidRDefault="00D63788">
            <w:pPr>
              <w:jc w:val="center"/>
              <w:rPr>
                <w:b/>
                <w:bCs/>
              </w:rPr>
            </w:pPr>
            <w:r>
              <w:rPr>
                <w:b/>
                <w:bCs/>
              </w:rPr>
              <w:t>12322</w:t>
            </w:r>
          </w:p>
        </w:tc>
      </w:tr>
      <w:tr w:rsidR="00D63788" w14:paraId="49C5CD55" w14:textId="77777777" w:rsidTr="001F42A5">
        <w:trPr>
          <w:trHeight w:val="765"/>
        </w:trPr>
        <w:tc>
          <w:tcPr>
            <w:tcW w:w="1780" w:type="dxa"/>
            <w:tcBorders>
              <w:top w:val="single" w:sz="4" w:space="0" w:color="auto"/>
              <w:left w:val="single" w:sz="4" w:space="0" w:color="auto"/>
              <w:bottom w:val="single" w:sz="4" w:space="0" w:color="auto"/>
              <w:right w:val="single" w:sz="4" w:space="0" w:color="auto"/>
            </w:tcBorders>
            <w:hideMark/>
          </w:tcPr>
          <w:p w14:paraId="3F31EA97" w14:textId="77777777" w:rsidR="00D63788" w:rsidRDefault="00D63788">
            <w:pPr>
              <w:ind w:left="22"/>
              <w:rPr>
                <w:b/>
                <w:bCs/>
              </w:rPr>
            </w:pPr>
            <w:r>
              <w:rPr>
                <w:b/>
                <w:bCs/>
              </w:rPr>
              <w:t>One service allowed per patient in:</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9016D55" w14:textId="77777777" w:rsidR="00D63788" w:rsidRDefault="00D63788" w:rsidP="00D63788">
            <w:pPr>
              <w:spacing w:before="0" w:after="0"/>
              <w:ind w:left="-49" w:right="-66"/>
            </w:pPr>
            <w:r>
              <w:t>24 months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CC44D9" w14:textId="77777777" w:rsidR="00D63788" w:rsidRDefault="00D63788" w:rsidP="00D63788">
            <w:pPr>
              <w:spacing w:before="0" w:after="0"/>
              <w:ind w:left="59"/>
            </w:pPr>
            <w:r>
              <w:t>12 months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A131F" w14:textId="77777777" w:rsidR="00D63788" w:rsidRDefault="00D63788" w:rsidP="00D63788">
            <w:pPr>
              <w:spacing w:before="0" w:after="0"/>
              <w:ind w:left="59"/>
            </w:pPr>
            <w:r>
              <w:t>24 months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3C6161" w14:textId="6EE84BBE" w:rsidR="00D63788" w:rsidRDefault="00D63788" w:rsidP="00D63788">
            <w:pPr>
              <w:spacing w:before="0" w:after="0"/>
              <w:ind w:left="59"/>
            </w:pPr>
            <w:r>
              <w:t xml:space="preserve">5 </w:t>
            </w:r>
            <w:r>
              <w:br/>
              <w:t>years</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270AD44" w14:textId="77777777" w:rsidR="00D63788" w:rsidRDefault="00D63788" w:rsidP="00D63788">
            <w:pPr>
              <w:spacing w:before="0" w:after="0"/>
              <w:ind w:left="59"/>
            </w:pPr>
            <w:r>
              <w:t>12 months</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7B3DA2C" w14:textId="0E94B8FF" w:rsidR="00D63788" w:rsidRDefault="00D63788" w:rsidP="00D63788">
            <w:pPr>
              <w:spacing w:before="0" w:after="0"/>
              <w:ind w:left="59"/>
            </w:pPr>
            <w:r>
              <w:t>2</w:t>
            </w:r>
            <w:r>
              <w:br/>
              <w:t>years</w:t>
            </w:r>
          </w:p>
        </w:tc>
      </w:tr>
    </w:tbl>
    <w:p w14:paraId="7962DE67"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3E45C6D7" w14:textId="7B87BEAA" w:rsidR="009553B3" w:rsidRPr="00C737AD" w:rsidRDefault="004E51DB" w:rsidP="00C737AD">
      <w:pPr>
        <w:ind w:left="426"/>
      </w:pPr>
      <w:r>
        <w:t xml:space="preserve">Echolight scans would be performed according to clinical need at the maximum frequency described in </w:t>
      </w:r>
      <w:r>
        <w:fldChar w:fldCharType="begin"/>
      </w:r>
      <w:r>
        <w:instrText xml:space="preserve"> REF _Ref61355363 \h </w:instrText>
      </w:r>
      <w:r>
        <w:fldChar w:fldCharType="separate"/>
      </w:r>
      <w:r w:rsidR="00B363E0">
        <w:t xml:space="preserve">Table </w:t>
      </w:r>
      <w:r w:rsidR="00B363E0">
        <w:rPr>
          <w:noProof/>
        </w:rPr>
        <w:t>2</w:t>
      </w:r>
      <w:r>
        <w:fldChar w:fldCharType="end"/>
      </w:r>
      <w:r>
        <w:t xml:space="preserve">. Most patients once diagnosed would </w:t>
      </w:r>
      <w:r w:rsidR="005F54FF">
        <w:t xml:space="preserve">be requested to </w:t>
      </w:r>
      <w:r>
        <w:t xml:space="preserve">undergo repeat scans </w:t>
      </w:r>
      <w:r w:rsidR="00CA6DAD">
        <w:t>for the remainder of their life</w:t>
      </w:r>
      <w:r w:rsidR="005F54FF">
        <w:t xml:space="preserve">, however this may only occur in </w:t>
      </w:r>
      <w:r w:rsidR="00F42132">
        <w:t>less than</w:t>
      </w:r>
      <w:r w:rsidR="005F54FF">
        <w:t xml:space="preserve"> 50% of patients (as described under point 46.).</w:t>
      </w:r>
    </w:p>
    <w:p w14:paraId="1CC3D7B7"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5C6D249" w14:textId="47F1A9D4" w:rsidR="005F54FF" w:rsidRDefault="005F54FF" w:rsidP="005F54FF">
      <w:pPr>
        <w:ind w:left="426"/>
      </w:pPr>
      <w:r>
        <w:t xml:space="preserve">Information on the number of MBS services for DXA scans over the last 5 years is provided in </w:t>
      </w:r>
      <w:r>
        <w:fldChar w:fldCharType="begin"/>
      </w:r>
      <w:r>
        <w:instrText xml:space="preserve"> REF _Ref61357977 \h </w:instrText>
      </w:r>
      <w:r>
        <w:fldChar w:fldCharType="separate"/>
      </w:r>
      <w:r w:rsidR="00B363E0">
        <w:t xml:space="preserve">Table </w:t>
      </w:r>
      <w:r w:rsidR="00B363E0">
        <w:rPr>
          <w:noProof/>
        </w:rPr>
        <w:t>3</w:t>
      </w:r>
      <w:r>
        <w:fldChar w:fldCharType="end"/>
      </w:r>
      <w:r>
        <w:t>.</w:t>
      </w:r>
    </w:p>
    <w:p w14:paraId="7467DA94" w14:textId="720AA5AF" w:rsidR="009E6697" w:rsidRDefault="009E6697" w:rsidP="00AE1188">
      <w:pPr>
        <w:ind w:left="426"/>
      </w:pPr>
      <w:r>
        <w:t xml:space="preserve">Based on the MBS services for DXA scans in </w:t>
      </w:r>
      <w:r w:rsidR="005F54FF">
        <w:t xml:space="preserve">the 2019/20 </w:t>
      </w:r>
      <w:r>
        <w:t xml:space="preserve">financial year, the projected number of patients </w:t>
      </w:r>
      <w:r w:rsidR="00F42132">
        <w:t xml:space="preserve">likely to undergo Echolight scanning </w:t>
      </w:r>
      <w:r>
        <w:t xml:space="preserve">is estimated in </w:t>
      </w:r>
      <w:r>
        <w:fldChar w:fldCharType="begin"/>
      </w:r>
      <w:r>
        <w:instrText xml:space="preserve"> REF _Ref61356704 \h </w:instrText>
      </w:r>
      <w:r>
        <w:fldChar w:fldCharType="separate"/>
      </w:r>
      <w:r w:rsidR="00B363E0">
        <w:t xml:space="preserve">Table </w:t>
      </w:r>
      <w:r w:rsidR="00B363E0">
        <w:rPr>
          <w:noProof/>
        </w:rPr>
        <w:t>4</w:t>
      </w:r>
      <w:r>
        <w:fldChar w:fldCharType="end"/>
      </w:r>
      <w:r>
        <w:t>. Since patients can only have a scan a maximum of once per year, or for some proposed MBS items only every 2-5 years, the proposed number of patients is li</w:t>
      </w:r>
      <w:r w:rsidR="005F54FF">
        <w:t>kely to be the same as the proposed number of services.</w:t>
      </w:r>
    </w:p>
    <w:p w14:paraId="13A08BAF" w14:textId="77777777" w:rsidR="001F42A5" w:rsidRDefault="001F42A5">
      <w:pPr>
        <w:spacing w:before="0" w:after="200" w:line="276" w:lineRule="auto"/>
        <w:rPr>
          <w:i/>
          <w:iCs/>
          <w:color w:val="1F497D" w:themeColor="text2"/>
          <w:sz w:val="18"/>
          <w:szCs w:val="18"/>
        </w:rPr>
      </w:pPr>
      <w:bookmarkStart w:id="6" w:name="_Ref61357977"/>
      <w:r>
        <w:br w:type="page"/>
      </w:r>
    </w:p>
    <w:p w14:paraId="603ED668" w14:textId="54DBE9AE" w:rsidR="009E6697" w:rsidRDefault="009E6697" w:rsidP="001F42A5">
      <w:pPr>
        <w:pStyle w:val="Caption"/>
        <w:keepNext/>
        <w:ind w:left="284" w:firstLine="142"/>
      </w:pPr>
      <w:r>
        <w:lastRenderedPageBreak/>
        <w:t xml:space="preserve">Table </w:t>
      </w:r>
      <w:r w:rsidR="00D63788">
        <w:fldChar w:fldCharType="begin"/>
      </w:r>
      <w:r w:rsidR="00D63788">
        <w:instrText xml:space="preserve"> SEQ Table \* ARABIC </w:instrText>
      </w:r>
      <w:r w:rsidR="00D63788">
        <w:fldChar w:fldCharType="separate"/>
      </w:r>
      <w:r w:rsidR="00B363E0">
        <w:rPr>
          <w:noProof/>
        </w:rPr>
        <w:t>3</w:t>
      </w:r>
      <w:r w:rsidR="00D63788">
        <w:rPr>
          <w:noProof/>
        </w:rPr>
        <w:fldChar w:fldCharType="end"/>
      </w:r>
      <w:bookmarkEnd w:id="6"/>
      <w:r>
        <w:t>: MBS Services for DXA scans</w:t>
      </w:r>
    </w:p>
    <w:tbl>
      <w:tblPr>
        <w:tblStyle w:val="TableGrid"/>
        <w:tblW w:w="8727" w:type="dxa"/>
        <w:tblInd w:w="421" w:type="dxa"/>
        <w:tblLook w:val="04A0" w:firstRow="1" w:lastRow="0" w:firstColumn="1" w:lastColumn="0" w:noHBand="0" w:noVBand="1"/>
      </w:tblPr>
      <w:tblGrid>
        <w:gridCol w:w="1780"/>
        <w:gridCol w:w="973"/>
        <w:gridCol w:w="973"/>
        <w:gridCol w:w="973"/>
        <w:gridCol w:w="973"/>
        <w:gridCol w:w="973"/>
        <w:gridCol w:w="973"/>
        <w:gridCol w:w="1109"/>
      </w:tblGrid>
      <w:tr w:rsidR="001F42A5" w14:paraId="0F2C1E9E" w14:textId="77777777" w:rsidTr="001F42A5">
        <w:trPr>
          <w:trHeight w:val="340"/>
        </w:trPr>
        <w:tc>
          <w:tcPr>
            <w:tcW w:w="17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38B887" w14:textId="77777777" w:rsidR="001F42A5" w:rsidRDefault="001F42A5">
            <w:pPr>
              <w:ind w:left="164"/>
              <w:rPr>
                <w:b/>
                <w:bCs/>
                <w:sz w:val="18"/>
                <w:szCs w:val="20"/>
              </w:rPr>
            </w:pPr>
            <w:r>
              <w:rPr>
                <w:b/>
                <w:bCs/>
                <w:sz w:val="18"/>
                <w:szCs w:val="20"/>
              </w:rPr>
              <w:t>Year</w:t>
            </w:r>
          </w:p>
        </w:tc>
        <w:tc>
          <w:tcPr>
            <w:tcW w:w="583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0BCA6A" w14:textId="77777777" w:rsidR="001F42A5" w:rsidRDefault="001F42A5">
            <w:pPr>
              <w:ind w:left="164"/>
              <w:jc w:val="center"/>
              <w:rPr>
                <w:b/>
                <w:bCs/>
                <w:sz w:val="18"/>
                <w:szCs w:val="20"/>
              </w:rPr>
            </w:pPr>
            <w:r>
              <w:rPr>
                <w:b/>
                <w:bCs/>
                <w:sz w:val="18"/>
                <w:szCs w:val="20"/>
              </w:rPr>
              <w:t>Services by MBS item</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29612744" w14:textId="77777777" w:rsidR="001F42A5" w:rsidRDefault="001F42A5">
            <w:pPr>
              <w:ind w:left="164"/>
              <w:rPr>
                <w:sz w:val="18"/>
                <w:szCs w:val="20"/>
              </w:rPr>
            </w:pPr>
            <w:r>
              <w:rPr>
                <w:b/>
                <w:bCs/>
                <w:sz w:val="18"/>
                <w:szCs w:val="20"/>
              </w:rPr>
              <w:t>Total</w:t>
            </w:r>
          </w:p>
        </w:tc>
      </w:tr>
      <w:tr w:rsidR="001F42A5" w14:paraId="61FD9812" w14:textId="77777777" w:rsidTr="001F42A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F4EBE" w14:textId="77777777" w:rsidR="001F42A5" w:rsidRDefault="001F42A5">
            <w:pPr>
              <w:spacing w:before="0" w:after="0"/>
              <w:rPr>
                <w:b/>
                <w:bCs/>
                <w:sz w:val="18"/>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9CA378" w14:textId="77777777" w:rsidR="001F42A5" w:rsidRDefault="001F42A5">
            <w:pPr>
              <w:ind w:left="164"/>
              <w:rPr>
                <w:b/>
                <w:bCs/>
                <w:sz w:val="18"/>
                <w:szCs w:val="20"/>
              </w:rPr>
            </w:pPr>
            <w:r>
              <w:rPr>
                <w:b/>
                <w:bCs/>
                <w:sz w:val="18"/>
                <w:szCs w:val="20"/>
              </w:rPr>
              <w:t>12306</w:t>
            </w:r>
          </w:p>
        </w:tc>
        <w:tc>
          <w:tcPr>
            <w:tcW w:w="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380144" w14:textId="77777777" w:rsidR="001F42A5" w:rsidRDefault="001F42A5">
            <w:pPr>
              <w:ind w:left="164"/>
              <w:rPr>
                <w:b/>
                <w:bCs/>
                <w:sz w:val="18"/>
                <w:szCs w:val="20"/>
              </w:rPr>
            </w:pPr>
            <w:r>
              <w:rPr>
                <w:b/>
                <w:bCs/>
                <w:sz w:val="18"/>
                <w:szCs w:val="20"/>
              </w:rPr>
              <w:t>12312</w:t>
            </w:r>
          </w:p>
        </w:tc>
        <w:tc>
          <w:tcPr>
            <w:tcW w:w="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958344" w14:textId="77777777" w:rsidR="001F42A5" w:rsidRDefault="001F42A5">
            <w:pPr>
              <w:ind w:left="164"/>
              <w:rPr>
                <w:b/>
                <w:bCs/>
                <w:sz w:val="18"/>
                <w:szCs w:val="20"/>
              </w:rPr>
            </w:pPr>
            <w:r>
              <w:rPr>
                <w:b/>
                <w:bCs/>
                <w:sz w:val="18"/>
                <w:szCs w:val="20"/>
              </w:rPr>
              <w:t>12315</w:t>
            </w:r>
          </w:p>
        </w:tc>
        <w:tc>
          <w:tcPr>
            <w:tcW w:w="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D9A152" w14:textId="77777777" w:rsidR="001F42A5" w:rsidRDefault="001F42A5">
            <w:pPr>
              <w:ind w:left="164"/>
              <w:rPr>
                <w:b/>
                <w:bCs/>
                <w:sz w:val="18"/>
                <w:szCs w:val="20"/>
              </w:rPr>
            </w:pPr>
            <w:r>
              <w:rPr>
                <w:b/>
                <w:bCs/>
                <w:sz w:val="18"/>
                <w:szCs w:val="20"/>
              </w:rPr>
              <w:t>12320</w:t>
            </w:r>
          </w:p>
        </w:tc>
        <w:tc>
          <w:tcPr>
            <w:tcW w:w="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0E838F" w14:textId="77777777" w:rsidR="001F42A5" w:rsidRDefault="001F42A5">
            <w:pPr>
              <w:ind w:left="164"/>
              <w:rPr>
                <w:b/>
                <w:bCs/>
                <w:sz w:val="18"/>
                <w:szCs w:val="20"/>
              </w:rPr>
            </w:pPr>
            <w:r>
              <w:rPr>
                <w:b/>
                <w:bCs/>
                <w:sz w:val="18"/>
                <w:szCs w:val="20"/>
              </w:rPr>
              <w:t>12321</w:t>
            </w:r>
          </w:p>
        </w:tc>
        <w:tc>
          <w:tcPr>
            <w:tcW w:w="9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D9C458" w14:textId="77777777" w:rsidR="001F42A5" w:rsidRDefault="001F42A5">
            <w:pPr>
              <w:ind w:left="164"/>
              <w:rPr>
                <w:b/>
                <w:bCs/>
                <w:sz w:val="18"/>
                <w:szCs w:val="20"/>
              </w:rPr>
            </w:pPr>
            <w:r>
              <w:rPr>
                <w:b/>
                <w:bCs/>
                <w:sz w:val="18"/>
                <w:szCs w:val="20"/>
              </w:rPr>
              <w:t>12322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E0AB6" w14:textId="77777777" w:rsidR="001F42A5" w:rsidRDefault="001F42A5">
            <w:pPr>
              <w:spacing w:before="0" w:after="0"/>
              <w:rPr>
                <w:sz w:val="18"/>
                <w:szCs w:val="20"/>
              </w:rPr>
            </w:pPr>
          </w:p>
        </w:tc>
      </w:tr>
      <w:tr w:rsidR="001F42A5" w14:paraId="42CF53C1" w14:textId="77777777" w:rsidTr="001F42A5">
        <w:trPr>
          <w:trHeight w:val="340"/>
        </w:trPr>
        <w:tc>
          <w:tcPr>
            <w:tcW w:w="1780" w:type="dxa"/>
            <w:tcBorders>
              <w:top w:val="single" w:sz="4" w:space="0" w:color="auto"/>
              <w:left w:val="single" w:sz="4" w:space="0" w:color="auto"/>
              <w:bottom w:val="single" w:sz="4" w:space="0" w:color="auto"/>
              <w:right w:val="single" w:sz="4" w:space="0" w:color="auto"/>
            </w:tcBorders>
            <w:hideMark/>
          </w:tcPr>
          <w:p w14:paraId="58BFCDF8" w14:textId="77777777" w:rsidR="001F42A5" w:rsidRDefault="001F42A5" w:rsidP="001F42A5">
            <w:pPr>
              <w:spacing w:before="60" w:after="60"/>
              <w:ind w:left="164"/>
              <w:rPr>
                <w:b/>
                <w:bCs/>
                <w:sz w:val="18"/>
                <w:szCs w:val="20"/>
              </w:rPr>
            </w:pPr>
            <w:r>
              <w:rPr>
                <w:b/>
                <w:bCs/>
                <w:sz w:val="18"/>
                <w:szCs w:val="20"/>
              </w:rPr>
              <w:t>2015/2016</w:t>
            </w:r>
          </w:p>
        </w:tc>
        <w:tc>
          <w:tcPr>
            <w:tcW w:w="973" w:type="dxa"/>
            <w:tcBorders>
              <w:top w:val="single" w:sz="4" w:space="0" w:color="auto"/>
              <w:left w:val="single" w:sz="4" w:space="0" w:color="auto"/>
              <w:bottom w:val="single" w:sz="4" w:space="0" w:color="auto"/>
              <w:right w:val="single" w:sz="4" w:space="0" w:color="auto"/>
            </w:tcBorders>
            <w:hideMark/>
          </w:tcPr>
          <w:p w14:paraId="514D7E5B" w14:textId="77777777" w:rsidR="001F42A5" w:rsidRDefault="001F42A5" w:rsidP="001F42A5">
            <w:pPr>
              <w:spacing w:before="60" w:after="60"/>
              <w:ind w:left="164"/>
              <w:rPr>
                <w:sz w:val="18"/>
                <w:szCs w:val="20"/>
              </w:rPr>
            </w:pPr>
            <w:r>
              <w:rPr>
                <w:sz w:val="18"/>
                <w:szCs w:val="20"/>
              </w:rPr>
              <w:t>87,285</w:t>
            </w:r>
          </w:p>
        </w:tc>
        <w:tc>
          <w:tcPr>
            <w:tcW w:w="973" w:type="dxa"/>
            <w:tcBorders>
              <w:top w:val="single" w:sz="4" w:space="0" w:color="auto"/>
              <w:left w:val="single" w:sz="4" w:space="0" w:color="auto"/>
              <w:bottom w:val="single" w:sz="4" w:space="0" w:color="auto"/>
              <w:right w:val="single" w:sz="4" w:space="0" w:color="auto"/>
            </w:tcBorders>
            <w:hideMark/>
          </w:tcPr>
          <w:p w14:paraId="24F54C0A" w14:textId="77777777" w:rsidR="001F42A5" w:rsidRDefault="001F42A5" w:rsidP="001F42A5">
            <w:pPr>
              <w:spacing w:before="60" w:after="60"/>
              <w:ind w:left="164"/>
              <w:rPr>
                <w:sz w:val="18"/>
                <w:szCs w:val="20"/>
              </w:rPr>
            </w:pPr>
            <w:r>
              <w:rPr>
                <w:sz w:val="18"/>
                <w:szCs w:val="20"/>
              </w:rPr>
              <w:t>65,294</w:t>
            </w:r>
          </w:p>
        </w:tc>
        <w:tc>
          <w:tcPr>
            <w:tcW w:w="973" w:type="dxa"/>
            <w:tcBorders>
              <w:top w:val="single" w:sz="4" w:space="0" w:color="auto"/>
              <w:left w:val="single" w:sz="4" w:space="0" w:color="auto"/>
              <w:bottom w:val="single" w:sz="4" w:space="0" w:color="auto"/>
              <w:right w:val="single" w:sz="4" w:space="0" w:color="auto"/>
            </w:tcBorders>
            <w:hideMark/>
          </w:tcPr>
          <w:p w14:paraId="7172F372" w14:textId="77777777" w:rsidR="001F42A5" w:rsidRDefault="001F42A5" w:rsidP="001F42A5">
            <w:pPr>
              <w:spacing w:before="60" w:after="60"/>
              <w:ind w:left="164"/>
              <w:rPr>
                <w:sz w:val="18"/>
                <w:szCs w:val="20"/>
              </w:rPr>
            </w:pPr>
            <w:r>
              <w:rPr>
                <w:sz w:val="18"/>
                <w:szCs w:val="20"/>
              </w:rPr>
              <w:t>34,341</w:t>
            </w:r>
          </w:p>
        </w:tc>
        <w:tc>
          <w:tcPr>
            <w:tcW w:w="973" w:type="dxa"/>
            <w:tcBorders>
              <w:top w:val="single" w:sz="4" w:space="0" w:color="auto"/>
              <w:left w:val="single" w:sz="4" w:space="0" w:color="auto"/>
              <w:bottom w:val="single" w:sz="4" w:space="0" w:color="auto"/>
              <w:right w:val="single" w:sz="4" w:space="0" w:color="auto"/>
            </w:tcBorders>
            <w:hideMark/>
          </w:tcPr>
          <w:p w14:paraId="61F2581E" w14:textId="77777777" w:rsidR="001F42A5" w:rsidRDefault="001F42A5" w:rsidP="001F42A5">
            <w:pPr>
              <w:spacing w:before="60" w:after="60"/>
              <w:ind w:left="164"/>
              <w:rPr>
                <w:sz w:val="18"/>
                <w:szCs w:val="20"/>
              </w:rPr>
            </w:pPr>
            <w:r>
              <w:rPr>
                <w:sz w:val="18"/>
                <w:szCs w:val="20"/>
              </w:rPr>
              <w:t>0</w:t>
            </w:r>
          </w:p>
        </w:tc>
        <w:tc>
          <w:tcPr>
            <w:tcW w:w="973" w:type="dxa"/>
            <w:tcBorders>
              <w:top w:val="single" w:sz="4" w:space="0" w:color="auto"/>
              <w:left w:val="single" w:sz="4" w:space="0" w:color="auto"/>
              <w:bottom w:val="single" w:sz="4" w:space="0" w:color="auto"/>
              <w:right w:val="single" w:sz="4" w:space="0" w:color="auto"/>
            </w:tcBorders>
            <w:hideMark/>
          </w:tcPr>
          <w:p w14:paraId="292B72E8" w14:textId="77777777" w:rsidR="001F42A5" w:rsidRDefault="001F42A5" w:rsidP="001F42A5">
            <w:pPr>
              <w:spacing w:before="60" w:after="60"/>
              <w:ind w:left="164"/>
              <w:rPr>
                <w:sz w:val="18"/>
                <w:szCs w:val="20"/>
              </w:rPr>
            </w:pPr>
            <w:r>
              <w:rPr>
                <w:sz w:val="18"/>
                <w:szCs w:val="20"/>
              </w:rPr>
              <w:t>17,722</w:t>
            </w:r>
          </w:p>
        </w:tc>
        <w:tc>
          <w:tcPr>
            <w:tcW w:w="973" w:type="dxa"/>
            <w:tcBorders>
              <w:top w:val="single" w:sz="4" w:space="0" w:color="auto"/>
              <w:left w:val="single" w:sz="4" w:space="0" w:color="auto"/>
              <w:bottom w:val="single" w:sz="4" w:space="0" w:color="auto"/>
              <w:right w:val="single" w:sz="4" w:space="0" w:color="auto"/>
            </w:tcBorders>
            <w:hideMark/>
          </w:tcPr>
          <w:p w14:paraId="02E3F95D" w14:textId="77777777" w:rsidR="001F42A5" w:rsidRDefault="001F42A5" w:rsidP="001F42A5">
            <w:pPr>
              <w:spacing w:before="60" w:after="60"/>
              <w:ind w:left="164"/>
              <w:rPr>
                <w:sz w:val="18"/>
                <w:szCs w:val="20"/>
              </w:rPr>
            </w:pPr>
            <w:r>
              <w:rPr>
                <w:sz w:val="18"/>
                <w:szCs w:val="20"/>
              </w:rPr>
              <w:t>0</w:t>
            </w:r>
          </w:p>
        </w:tc>
        <w:tc>
          <w:tcPr>
            <w:tcW w:w="1109" w:type="dxa"/>
            <w:tcBorders>
              <w:top w:val="single" w:sz="4" w:space="0" w:color="auto"/>
              <w:left w:val="single" w:sz="4" w:space="0" w:color="auto"/>
              <w:bottom w:val="single" w:sz="4" w:space="0" w:color="auto"/>
              <w:right w:val="single" w:sz="4" w:space="0" w:color="auto"/>
            </w:tcBorders>
            <w:hideMark/>
          </w:tcPr>
          <w:p w14:paraId="7EE21868" w14:textId="77777777" w:rsidR="001F42A5" w:rsidRDefault="001F42A5" w:rsidP="001F42A5">
            <w:pPr>
              <w:spacing w:before="60" w:after="60"/>
              <w:ind w:left="164"/>
              <w:rPr>
                <w:sz w:val="18"/>
                <w:szCs w:val="20"/>
              </w:rPr>
            </w:pPr>
            <w:r>
              <w:rPr>
                <w:sz w:val="18"/>
                <w:szCs w:val="20"/>
              </w:rPr>
              <w:t>204,642</w:t>
            </w:r>
          </w:p>
        </w:tc>
      </w:tr>
      <w:tr w:rsidR="001F42A5" w14:paraId="6F5A030F" w14:textId="77777777" w:rsidTr="001F42A5">
        <w:trPr>
          <w:trHeight w:val="340"/>
        </w:trPr>
        <w:tc>
          <w:tcPr>
            <w:tcW w:w="1780" w:type="dxa"/>
            <w:tcBorders>
              <w:top w:val="single" w:sz="4" w:space="0" w:color="auto"/>
              <w:left w:val="single" w:sz="4" w:space="0" w:color="auto"/>
              <w:bottom w:val="single" w:sz="4" w:space="0" w:color="auto"/>
              <w:right w:val="single" w:sz="4" w:space="0" w:color="auto"/>
            </w:tcBorders>
            <w:hideMark/>
          </w:tcPr>
          <w:p w14:paraId="26CCFB57" w14:textId="77777777" w:rsidR="001F42A5" w:rsidRDefault="001F42A5" w:rsidP="001F42A5">
            <w:pPr>
              <w:spacing w:before="60" w:after="60"/>
              <w:ind w:left="164"/>
              <w:rPr>
                <w:b/>
                <w:bCs/>
                <w:sz w:val="18"/>
                <w:szCs w:val="20"/>
              </w:rPr>
            </w:pPr>
            <w:r>
              <w:rPr>
                <w:b/>
                <w:bCs/>
                <w:sz w:val="18"/>
                <w:szCs w:val="20"/>
              </w:rPr>
              <w:t>2016/2017</w:t>
            </w:r>
          </w:p>
        </w:tc>
        <w:tc>
          <w:tcPr>
            <w:tcW w:w="973" w:type="dxa"/>
            <w:tcBorders>
              <w:top w:val="single" w:sz="4" w:space="0" w:color="auto"/>
              <w:left w:val="single" w:sz="4" w:space="0" w:color="auto"/>
              <w:bottom w:val="single" w:sz="4" w:space="0" w:color="auto"/>
              <w:right w:val="single" w:sz="4" w:space="0" w:color="auto"/>
            </w:tcBorders>
            <w:hideMark/>
          </w:tcPr>
          <w:p w14:paraId="20D3057C" w14:textId="77777777" w:rsidR="001F42A5" w:rsidRDefault="001F42A5" w:rsidP="001F42A5">
            <w:pPr>
              <w:spacing w:before="60" w:after="60"/>
              <w:ind w:left="164"/>
              <w:rPr>
                <w:sz w:val="18"/>
                <w:szCs w:val="20"/>
              </w:rPr>
            </w:pPr>
            <w:r>
              <w:rPr>
                <w:sz w:val="18"/>
                <w:szCs w:val="20"/>
              </w:rPr>
              <w:t>89,504</w:t>
            </w:r>
          </w:p>
        </w:tc>
        <w:tc>
          <w:tcPr>
            <w:tcW w:w="973" w:type="dxa"/>
            <w:tcBorders>
              <w:top w:val="single" w:sz="4" w:space="0" w:color="auto"/>
              <w:left w:val="single" w:sz="4" w:space="0" w:color="auto"/>
              <w:bottom w:val="single" w:sz="4" w:space="0" w:color="auto"/>
              <w:right w:val="single" w:sz="4" w:space="0" w:color="auto"/>
            </w:tcBorders>
            <w:hideMark/>
          </w:tcPr>
          <w:p w14:paraId="5A862775" w14:textId="77777777" w:rsidR="001F42A5" w:rsidRDefault="001F42A5" w:rsidP="001F42A5">
            <w:pPr>
              <w:spacing w:before="60" w:after="60"/>
              <w:ind w:left="164"/>
              <w:rPr>
                <w:sz w:val="18"/>
                <w:szCs w:val="20"/>
              </w:rPr>
            </w:pPr>
            <w:r>
              <w:rPr>
                <w:sz w:val="18"/>
                <w:szCs w:val="20"/>
              </w:rPr>
              <w:t>66,109</w:t>
            </w:r>
          </w:p>
        </w:tc>
        <w:tc>
          <w:tcPr>
            <w:tcW w:w="973" w:type="dxa"/>
            <w:tcBorders>
              <w:top w:val="single" w:sz="4" w:space="0" w:color="auto"/>
              <w:left w:val="single" w:sz="4" w:space="0" w:color="auto"/>
              <w:bottom w:val="single" w:sz="4" w:space="0" w:color="auto"/>
              <w:right w:val="single" w:sz="4" w:space="0" w:color="auto"/>
            </w:tcBorders>
            <w:hideMark/>
          </w:tcPr>
          <w:p w14:paraId="67A4A34B" w14:textId="77777777" w:rsidR="001F42A5" w:rsidRDefault="001F42A5" w:rsidP="001F42A5">
            <w:pPr>
              <w:spacing w:before="60" w:after="60"/>
              <w:ind w:left="164"/>
              <w:rPr>
                <w:sz w:val="18"/>
                <w:szCs w:val="20"/>
              </w:rPr>
            </w:pPr>
            <w:r>
              <w:rPr>
                <w:sz w:val="18"/>
                <w:szCs w:val="20"/>
              </w:rPr>
              <w:t>36,021</w:t>
            </w:r>
          </w:p>
        </w:tc>
        <w:tc>
          <w:tcPr>
            <w:tcW w:w="973" w:type="dxa"/>
            <w:tcBorders>
              <w:top w:val="single" w:sz="4" w:space="0" w:color="auto"/>
              <w:left w:val="single" w:sz="4" w:space="0" w:color="auto"/>
              <w:bottom w:val="single" w:sz="4" w:space="0" w:color="auto"/>
              <w:right w:val="single" w:sz="4" w:space="0" w:color="auto"/>
            </w:tcBorders>
            <w:hideMark/>
          </w:tcPr>
          <w:p w14:paraId="321974C0" w14:textId="77777777" w:rsidR="001F42A5" w:rsidRDefault="001F42A5" w:rsidP="001F42A5">
            <w:pPr>
              <w:spacing w:before="60" w:after="60"/>
              <w:ind w:left="164"/>
              <w:rPr>
                <w:sz w:val="18"/>
                <w:szCs w:val="20"/>
              </w:rPr>
            </w:pPr>
            <w:r>
              <w:rPr>
                <w:sz w:val="18"/>
                <w:szCs w:val="20"/>
              </w:rPr>
              <w:t>0</w:t>
            </w:r>
          </w:p>
        </w:tc>
        <w:tc>
          <w:tcPr>
            <w:tcW w:w="973" w:type="dxa"/>
            <w:tcBorders>
              <w:top w:val="single" w:sz="4" w:space="0" w:color="auto"/>
              <w:left w:val="single" w:sz="4" w:space="0" w:color="auto"/>
              <w:bottom w:val="single" w:sz="4" w:space="0" w:color="auto"/>
              <w:right w:val="single" w:sz="4" w:space="0" w:color="auto"/>
            </w:tcBorders>
            <w:hideMark/>
          </w:tcPr>
          <w:p w14:paraId="15A0B0EF" w14:textId="77777777" w:rsidR="001F42A5" w:rsidRDefault="001F42A5" w:rsidP="001F42A5">
            <w:pPr>
              <w:spacing w:before="60" w:after="60"/>
              <w:ind w:left="164"/>
              <w:rPr>
                <w:sz w:val="18"/>
                <w:szCs w:val="20"/>
              </w:rPr>
            </w:pPr>
            <w:r>
              <w:rPr>
                <w:sz w:val="18"/>
                <w:szCs w:val="20"/>
              </w:rPr>
              <w:t>17,696</w:t>
            </w:r>
          </w:p>
        </w:tc>
        <w:tc>
          <w:tcPr>
            <w:tcW w:w="973" w:type="dxa"/>
            <w:tcBorders>
              <w:top w:val="single" w:sz="4" w:space="0" w:color="auto"/>
              <w:left w:val="single" w:sz="4" w:space="0" w:color="auto"/>
              <w:bottom w:val="single" w:sz="4" w:space="0" w:color="auto"/>
              <w:right w:val="single" w:sz="4" w:space="0" w:color="auto"/>
            </w:tcBorders>
            <w:hideMark/>
          </w:tcPr>
          <w:p w14:paraId="50B089BB" w14:textId="77777777" w:rsidR="001F42A5" w:rsidRDefault="001F42A5" w:rsidP="001F42A5">
            <w:pPr>
              <w:spacing w:before="60" w:after="60"/>
              <w:ind w:left="164"/>
              <w:rPr>
                <w:sz w:val="18"/>
                <w:szCs w:val="20"/>
              </w:rPr>
            </w:pPr>
            <w:r>
              <w:rPr>
                <w:sz w:val="18"/>
                <w:szCs w:val="20"/>
              </w:rPr>
              <w:t>0</w:t>
            </w:r>
          </w:p>
        </w:tc>
        <w:tc>
          <w:tcPr>
            <w:tcW w:w="1109" w:type="dxa"/>
            <w:tcBorders>
              <w:top w:val="single" w:sz="4" w:space="0" w:color="auto"/>
              <w:left w:val="single" w:sz="4" w:space="0" w:color="auto"/>
              <w:bottom w:val="single" w:sz="4" w:space="0" w:color="auto"/>
              <w:right w:val="single" w:sz="4" w:space="0" w:color="auto"/>
            </w:tcBorders>
            <w:hideMark/>
          </w:tcPr>
          <w:p w14:paraId="1FA09AA9" w14:textId="77777777" w:rsidR="001F42A5" w:rsidRDefault="001F42A5" w:rsidP="001F42A5">
            <w:pPr>
              <w:spacing w:before="60" w:after="60"/>
              <w:ind w:left="164"/>
              <w:rPr>
                <w:sz w:val="18"/>
                <w:szCs w:val="20"/>
              </w:rPr>
            </w:pPr>
            <w:r>
              <w:rPr>
                <w:sz w:val="18"/>
                <w:szCs w:val="20"/>
              </w:rPr>
              <w:t>209,330</w:t>
            </w:r>
          </w:p>
        </w:tc>
      </w:tr>
      <w:tr w:rsidR="001F42A5" w14:paraId="169EFC39" w14:textId="77777777" w:rsidTr="001F42A5">
        <w:trPr>
          <w:trHeight w:val="340"/>
        </w:trPr>
        <w:tc>
          <w:tcPr>
            <w:tcW w:w="1780" w:type="dxa"/>
            <w:tcBorders>
              <w:top w:val="single" w:sz="4" w:space="0" w:color="auto"/>
              <w:left w:val="single" w:sz="4" w:space="0" w:color="auto"/>
              <w:bottom w:val="single" w:sz="4" w:space="0" w:color="auto"/>
              <w:right w:val="single" w:sz="4" w:space="0" w:color="auto"/>
            </w:tcBorders>
            <w:hideMark/>
          </w:tcPr>
          <w:p w14:paraId="6B344318" w14:textId="77777777" w:rsidR="001F42A5" w:rsidRDefault="001F42A5" w:rsidP="001F42A5">
            <w:pPr>
              <w:spacing w:before="60" w:after="60"/>
              <w:ind w:left="164"/>
              <w:rPr>
                <w:b/>
                <w:bCs/>
                <w:sz w:val="18"/>
                <w:szCs w:val="20"/>
              </w:rPr>
            </w:pPr>
            <w:r>
              <w:rPr>
                <w:b/>
                <w:bCs/>
                <w:sz w:val="18"/>
                <w:szCs w:val="20"/>
              </w:rPr>
              <w:t>2017/2018</w:t>
            </w:r>
          </w:p>
        </w:tc>
        <w:tc>
          <w:tcPr>
            <w:tcW w:w="973" w:type="dxa"/>
            <w:tcBorders>
              <w:top w:val="single" w:sz="4" w:space="0" w:color="auto"/>
              <w:left w:val="single" w:sz="4" w:space="0" w:color="auto"/>
              <w:bottom w:val="single" w:sz="4" w:space="0" w:color="auto"/>
              <w:right w:val="single" w:sz="4" w:space="0" w:color="auto"/>
            </w:tcBorders>
            <w:hideMark/>
          </w:tcPr>
          <w:p w14:paraId="4EFED83E" w14:textId="77777777" w:rsidR="001F42A5" w:rsidRDefault="001F42A5" w:rsidP="001F42A5">
            <w:pPr>
              <w:spacing w:before="60" w:after="60"/>
              <w:ind w:left="164"/>
              <w:rPr>
                <w:sz w:val="18"/>
                <w:szCs w:val="20"/>
              </w:rPr>
            </w:pPr>
            <w:r>
              <w:rPr>
                <w:sz w:val="18"/>
                <w:szCs w:val="20"/>
              </w:rPr>
              <w:t>117,800</w:t>
            </w:r>
          </w:p>
        </w:tc>
        <w:tc>
          <w:tcPr>
            <w:tcW w:w="973" w:type="dxa"/>
            <w:tcBorders>
              <w:top w:val="single" w:sz="4" w:space="0" w:color="auto"/>
              <w:left w:val="single" w:sz="4" w:space="0" w:color="auto"/>
              <w:bottom w:val="single" w:sz="4" w:space="0" w:color="auto"/>
              <w:right w:val="single" w:sz="4" w:space="0" w:color="auto"/>
            </w:tcBorders>
            <w:hideMark/>
          </w:tcPr>
          <w:p w14:paraId="21BAAB5A" w14:textId="77777777" w:rsidR="001F42A5" w:rsidRDefault="001F42A5" w:rsidP="001F42A5">
            <w:pPr>
              <w:spacing w:before="60" w:after="60"/>
              <w:ind w:left="164"/>
              <w:rPr>
                <w:sz w:val="18"/>
                <w:szCs w:val="20"/>
              </w:rPr>
            </w:pPr>
            <w:r>
              <w:rPr>
                <w:sz w:val="18"/>
                <w:szCs w:val="20"/>
              </w:rPr>
              <w:t>81,320</w:t>
            </w:r>
          </w:p>
        </w:tc>
        <w:tc>
          <w:tcPr>
            <w:tcW w:w="973" w:type="dxa"/>
            <w:tcBorders>
              <w:top w:val="single" w:sz="4" w:space="0" w:color="auto"/>
              <w:left w:val="single" w:sz="4" w:space="0" w:color="auto"/>
              <w:bottom w:val="single" w:sz="4" w:space="0" w:color="auto"/>
              <w:right w:val="single" w:sz="4" w:space="0" w:color="auto"/>
            </w:tcBorders>
            <w:hideMark/>
          </w:tcPr>
          <w:p w14:paraId="114C5398" w14:textId="77777777" w:rsidR="001F42A5" w:rsidRDefault="001F42A5" w:rsidP="001F42A5">
            <w:pPr>
              <w:spacing w:before="60" w:after="60"/>
              <w:ind w:left="164"/>
              <w:rPr>
                <w:sz w:val="18"/>
                <w:szCs w:val="20"/>
              </w:rPr>
            </w:pPr>
            <w:r>
              <w:rPr>
                <w:sz w:val="18"/>
                <w:szCs w:val="20"/>
              </w:rPr>
              <w:t>44,567</w:t>
            </w:r>
          </w:p>
        </w:tc>
        <w:tc>
          <w:tcPr>
            <w:tcW w:w="973" w:type="dxa"/>
            <w:tcBorders>
              <w:top w:val="single" w:sz="4" w:space="0" w:color="auto"/>
              <w:left w:val="single" w:sz="4" w:space="0" w:color="auto"/>
              <w:bottom w:val="single" w:sz="4" w:space="0" w:color="auto"/>
              <w:right w:val="single" w:sz="4" w:space="0" w:color="auto"/>
            </w:tcBorders>
            <w:hideMark/>
          </w:tcPr>
          <w:p w14:paraId="382FB507" w14:textId="77777777" w:rsidR="001F42A5" w:rsidRDefault="001F42A5" w:rsidP="001F42A5">
            <w:pPr>
              <w:spacing w:before="60" w:after="60"/>
              <w:ind w:left="164"/>
              <w:rPr>
                <w:sz w:val="18"/>
                <w:szCs w:val="20"/>
              </w:rPr>
            </w:pPr>
            <w:r>
              <w:rPr>
                <w:sz w:val="18"/>
                <w:szCs w:val="20"/>
              </w:rPr>
              <w:t>94,543</w:t>
            </w:r>
          </w:p>
        </w:tc>
        <w:tc>
          <w:tcPr>
            <w:tcW w:w="973" w:type="dxa"/>
            <w:tcBorders>
              <w:top w:val="single" w:sz="4" w:space="0" w:color="auto"/>
              <w:left w:val="single" w:sz="4" w:space="0" w:color="auto"/>
              <w:bottom w:val="single" w:sz="4" w:space="0" w:color="auto"/>
              <w:right w:val="single" w:sz="4" w:space="0" w:color="auto"/>
            </w:tcBorders>
            <w:hideMark/>
          </w:tcPr>
          <w:p w14:paraId="194099F9" w14:textId="77777777" w:rsidR="001F42A5" w:rsidRDefault="001F42A5" w:rsidP="001F42A5">
            <w:pPr>
              <w:spacing w:before="60" w:after="60"/>
              <w:ind w:left="164"/>
              <w:rPr>
                <w:sz w:val="18"/>
                <w:szCs w:val="20"/>
              </w:rPr>
            </w:pPr>
            <w:r>
              <w:rPr>
                <w:sz w:val="18"/>
                <w:szCs w:val="20"/>
              </w:rPr>
              <w:t>25,099</w:t>
            </w:r>
          </w:p>
        </w:tc>
        <w:tc>
          <w:tcPr>
            <w:tcW w:w="973" w:type="dxa"/>
            <w:tcBorders>
              <w:top w:val="single" w:sz="4" w:space="0" w:color="auto"/>
              <w:left w:val="single" w:sz="4" w:space="0" w:color="auto"/>
              <w:bottom w:val="single" w:sz="4" w:space="0" w:color="auto"/>
              <w:right w:val="single" w:sz="4" w:space="0" w:color="auto"/>
            </w:tcBorders>
            <w:hideMark/>
          </w:tcPr>
          <w:p w14:paraId="5E5FA36C" w14:textId="77777777" w:rsidR="001F42A5" w:rsidRDefault="001F42A5" w:rsidP="001F42A5">
            <w:pPr>
              <w:spacing w:before="60" w:after="60"/>
              <w:ind w:left="164"/>
              <w:rPr>
                <w:sz w:val="18"/>
                <w:szCs w:val="20"/>
              </w:rPr>
            </w:pPr>
            <w:r>
              <w:rPr>
                <w:sz w:val="18"/>
                <w:szCs w:val="20"/>
              </w:rPr>
              <w:t>28,496</w:t>
            </w:r>
          </w:p>
        </w:tc>
        <w:tc>
          <w:tcPr>
            <w:tcW w:w="1109" w:type="dxa"/>
            <w:tcBorders>
              <w:top w:val="single" w:sz="4" w:space="0" w:color="auto"/>
              <w:left w:val="single" w:sz="4" w:space="0" w:color="auto"/>
              <w:bottom w:val="single" w:sz="4" w:space="0" w:color="auto"/>
              <w:right w:val="single" w:sz="4" w:space="0" w:color="auto"/>
            </w:tcBorders>
            <w:hideMark/>
          </w:tcPr>
          <w:p w14:paraId="160D4865" w14:textId="77777777" w:rsidR="001F42A5" w:rsidRDefault="001F42A5" w:rsidP="001F42A5">
            <w:pPr>
              <w:spacing w:before="60" w:after="60"/>
              <w:ind w:left="164"/>
              <w:rPr>
                <w:sz w:val="18"/>
                <w:szCs w:val="20"/>
              </w:rPr>
            </w:pPr>
            <w:r>
              <w:rPr>
                <w:sz w:val="18"/>
                <w:szCs w:val="20"/>
              </w:rPr>
              <w:t>391,825</w:t>
            </w:r>
          </w:p>
        </w:tc>
      </w:tr>
      <w:tr w:rsidR="001F42A5" w14:paraId="1684F378" w14:textId="77777777" w:rsidTr="001F42A5">
        <w:trPr>
          <w:trHeight w:val="340"/>
        </w:trPr>
        <w:tc>
          <w:tcPr>
            <w:tcW w:w="1780" w:type="dxa"/>
            <w:tcBorders>
              <w:top w:val="single" w:sz="4" w:space="0" w:color="auto"/>
              <w:left w:val="single" w:sz="4" w:space="0" w:color="auto"/>
              <w:bottom w:val="single" w:sz="4" w:space="0" w:color="auto"/>
              <w:right w:val="single" w:sz="4" w:space="0" w:color="auto"/>
            </w:tcBorders>
            <w:hideMark/>
          </w:tcPr>
          <w:p w14:paraId="6C3ECCA7" w14:textId="77777777" w:rsidR="001F42A5" w:rsidRDefault="001F42A5" w:rsidP="001F42A5">
            <w:pPr>
              <w:spacing w:before="60" w:after="60"/>
              <w:ind w:left="164"/>
              <w:rPr>
                <w:b/>
                <w:bCs/>
                <w:sz w:val="18"/>
                <w:szCs w:val="20"/>
              </w:rPr>
            </w:pPr>
            <w:r>
              <w:rPr>
                <w:b/>
                <w:bCs/>
                <w:sz w:val="18"/>
                <w:szCs w:val="20"/>
              </w:rPr>
              <w:t>2018/2019</w:t>
            </w:r>
          </w:p>
        </w:tc>
        <w:tc>
          <w:tcPr>
            <w:tcW w:w="973" w:type="dxa"/>
            <w:tcBorders>
              <w:top w:val="single" w:sz="4" w:space="0" w:color="auto"/>
              <w:left w:val="single" w:sz="4" w:space="0" w:color="auto"/>
              <w:bottom w:val="single" w:sz="4" w:space="0" w:color="auto"/>
              <w:right w:val="single" w:sz="4" w:space="0" w:color="auto"/>
            </w:tcBorders>
            <w:hideMark/>
          </w:tcPr>
          <w:p w14:paraId="403E1A7B" w14:textId="77777777" w:rsidR="001F42A5" w:rsidRDefault="001F42A5" w:rsidP="001F42A5">
            <w:pPr>
              <w:spacing w:before="60" w:after="60"/>
              <w:ind w:left="164"/>
              <w:rPr>
                <w:sz w:val="18"/>
                <w:szCs w:val="20"/>
              </w:rPr>
            </w:pPr>
            <w:r>
              <w:rPr>
                <w:sz w:val="18"/>
                <w:szCs w:val="20"/>
              </w:rPr>
              <w:t>141,270</w:t>
            </w:r>
          </w:p>
        </w:tc>
        <w:tc>
          <w:tcPr>
            <w:tcW w:w="973" w:type="dxa"/>
            <w:tcBorders>
              <w:top w:val="single" w:sz="4" w:space="0" w:color="auto"/>
              <w:left w:val="single" w:sz="4" w:space="0" w:color="auto"/>
              <w:bottom w:val="single" w:sz="4" w:space="0" w:color="auto"/>
              <w:right w:val="single" w:sz="4" w:space="0" w:color="auto"/>
            </w:tcBorders>
            <w:hideMark/>
          </w:tcPr>
          <w:p w14:paraId="298AA53F" w14:textId="77777777" w:rsidR="001F42A5" w:rsidRDefault="001F42A5" w:rsidP="001F42A5">
            <w:pPr>
              <w:spacing w:before="60" w:after="60"/>
              <w:ind w:left="164"/>
              <w:rPr>
                <w:sz w:val="18"/>
                <w:szCs w:val="20"/>
              </w:rPr>
            </w:pPr>
            <w:r>
              <w:rPr>
                <w:sz w:val="18"/>
                <w:szCs w:val="20"/>
              </w:rPr>
              <w:t>93,534</w:t>
            </w:r>
          </w:p>
        </w:tc>
        <w:tc>
          <w:tcPr>
            <w:tcW w:w="973" w:type="dxa"/>
            <w:tcBorders>
              <w:top w:val="single" w:sz="4" w:space="0" w:color="auto"/>
              <w:left w:val="single" w:sz="4" w:space="0" w:color="auto"/>
              <w:bottom w:val="single" w:sz="4" w:space="0" w:color="auto"/>
              <w:right w:val="single" w:sz="4" w:space="0" w:color="auto"/>
            </w:tcBorders>
            <w:hideMark/>
          </w:tcPr>
          <w:p w14:paraId="46F21D14" w14:textId="77777777" w:rsidR="001F42A5" w:rsidRDefault="001F42A5" w:rsidP="001F42A5">
            <w:pPr>
              <w:spacing w:before="60" w:after="60"/>
              <w:ind w:left="164"/>
              <w:rPr>
                <w:sz w:val="18"/>
                <w:szCs w:val="20"/>
              </w:rPr>
            </w:pPr>
            <w:r>
              <w:rPr>
                <w:sz w:val="18"/>
                <w:szCs w:val="20"/>
              </w:rPr>
              <w:t>50,957</w:t>
            </w:r>
          </w:p>
        </w:tc>
        <w:tc>
          <w:tcPr>
            <w:tcW w:w="973" w:type="dxa"/>
            <w:tcBorders>
              <w:top w:val="single" w:sz="4" w:space="0" w:color="auto"/>
              <w:left w:val="single" w:sz="4" w:space="0" w:color="auto"/>
              <w:bottom w:val="single" w:sz="4" w:space="0" w:color="auto"/>
              <w:right w:val="single" w:sz="4" w:space="0" w:color="auto"/>
            </w:tcBorders>
            <w:hideMark/>
          </w:tcPr>
          <w:p w14:paraId="51527523" w14:textId="77777777" w:rsidR="001F42A5" w:rsidRDefault="001F42A5" w:rsidP="001F42A5">
            <w:pPr>
              <w:spacing w:before="60" w:after="60"/>
              <w:ind w:left="164"/>
              <w:rPr>
                <w:sz w:val="18"/>
                <w:szCs w:val="20"/>
              </w:rPr>
            </w:pPr>
            <w:r>
              <w:rPr>
                <w:sz w:val="18"/>
                <w:szCs w:val="20"/>
              </w:rPr>
              <w:t>152,676</w:t>
            </w:r>
          </w:p>
        </w:tc>
        <w:tc>
          <w:tcPr>
            <w:tcW w:w="973" w:type="dxa"/>
            <w:tcBorders>
              <w:top w:val="single" w:sz="4" w:space="0" w:color="auto"/>
              <w:left w:val="single" w:sz="4" w:space="0" w:color="auto"/>
              <w:bottom w:val="single" w:sz="4" w:space="0" w:color="auto"/>
              <w:right w:val="single" w:sz="4" w:space="0" w:color="auto"/>
            </w:tcBorders>
            <w:hideMark/>
          </w:tcPr>
          <w:p w14:paraId="636496A1" w14:textId="77777777" w:rsidR="001F42A5" w:rsidRDefault="001F42A5" w:rsidP="001F42A5">
            <w:pPr>
              <w:spacing w:before="60" w:after="60"/>
              <w:ind w:left="164"/>
              <w:rPr>
                <w:sz w:val="18"/>
                <w:szCs w:val="20"/>
              </w:rPr>
            </w:pPr>
            <w:r>
              <w:rPr>
                <w:sz w:val="18"/>
                <w:szCs w:val="20"/>
              </w:rPr>
              <w:t>31,396</w:t>
            </w:r>
          </w:p>
        </w:tc>
        <w:tc>
          <w:tcPr>
            <w:tcW w:w="973" w:type="dxa"/>
            <w:tcBorders>
              <w:top w:val="single" w:sz="4" w:space="0" w:color="auto"/>
              <w:left w:val="single" w:sz="4" w:space="0" w:color="auto"/>
              <w:bottom w:val="single" w:sz="4" w:space="0" w:color="auto"/>
              <w:right w:val="single" w:sz="4" w:space="0" w:color="auto"/>
            </w:tcBorders>
            <w:hideMark/>
          </w:tcPr>
          <w:p w14:paraId="24F3934E" w14:textId="77777777" w:rsidR="001F42A5" w:rsidRDefault="001F42A5" w:rsidP="001F42A5">
            <w:pPr>
              <w:spacing w:before="60" w:after="60"/>
              <w:ind w:left="164"/>
              <w:rPr>
                <w:sz w:val="18"/>
                <w:szCs w:val="20"/>
              </w:rPr>
            </w:pPr>
            <w:r>
              <w:rPr>
                <w:sz w:val="18"/>
                <w:szCs w:val="20"/>
              </w:rPr>
              <w:t>52,013</w:t>
            </w:r>
          </w:p>
        </w:tc>
        <w:tc>
          <w:tcPr>
            <w:tcW w:w="1109" w:type="dxa"/>
            <w:tcBorders>
              <w:top w:val="single" w:sz="4" w:space="0" w:color="auto"/>
              <w:left w:val="single" w:sz="4" w:space="0" w:color="auto"/>
              <w:bottom w:val="single" w:sz="4" w:space="0" w:color="auto"/>
              <w:right w:val="single" w:sz="4" w:space="0" w:color="auto"/>
            </w:tcBorders>
            <w:hideMark/>
          </w:tcPr>
          <w:p w14:paraId="2F66D1A2" w14:textId="77777777" w:rsidR="001F42A5" w:rsidRDefault="001F42A5" w:rsidP="001F42A5">
            <w:pPr>
              <w:spacing w:before="60" w:after="60"/>
              <w:ind w:left="164"/>
              <w:rPr>
                <w:sz w:val="18"/>
                <w:szCs w:val="20"/>
              </w:rPr>
            </w:pPr>
            <w:r>
              <w:rPr>
                <w:sz w:val="18"/>
                <w:szCs w:val="20"/>
              </w:rPr>
              <w:t>521,846</w:t>
            </w:r>
          </w:p>
        </w:tc>
      </w:tr>
      <w:tr w:rsidR="001F42A5" w14:paraId="6B108DB5" w14:textId="77777777" w:rsidTr="001F42A5">
        <w:trPr>
          <w:trHeight w:val="340"/>
        </w:trPr>
        <w:tc>
          <w:tcPr>
            <w:tcW w:w="1780" w:type="dxa"/>
            <w:tcBorders>
              <w:top w:val="single" w:sz="4" w:space="0" w:color="auto"/>
              <w:left w:val="single" w:sz="4" w:space="0" w:color="auto"/>
              <w:bottom w:val="single" w:sz="4" w:space="0" w:color="auto"/>
              <w:right w:val="single" w:sz="4" w:space="0" w:color="auto"/>
            </w:tcBorders>
            <w:hideMark/>
          </w:tcPr>
          <w:p w14:paraId="057CFE3E" w14:textId="77777777" w:rsidR="001F42A5" w:rsidRDefault="001F42A5" w:rsidP="001F42A5">
            <w:pPr>
              <w:spacing w:before="60" w:after="60"/>
              <w:ind w:left="164"/>
              <w:rPr>
                <w:b/>
                <w:bCs/>
                <w:sz w:val="18"/>
                <w:szCs w:val="20"/>
              </w:rPr>
            </w:pPr>
            <w:r>
              <w:rPr>
                <w:b/>
                <w:bCs/>
                <w:sz w:val="18"/>
                <w:szCs w:val="20"/>
              </w:rPr>
              <w:t>2019/2020</w:t>
            </w:r>
          </w:p>
        </w:tc>
        <w:tc>
          <w:tcPr>
            <w:tcW w:w="973" w:type="dxa"/>
            <w:tcBorders>
              <w:top w:val="single" w:sz="4" w:space="0" w:color="auto"/>
              <w:left w:val="single" w:sz="4" w:space="0" w:color="auto"/>
              <w:bottom w:val="single" w:sz="4" w:space="0" w:color="auto"/>
              <w:right w:val="single" w:sz="4" w:space="0" w:color="auto"/>
            </w:tcBorders>
            <w:hideMark/>
          </w:tcPr>
          <w:p w14:paraId="2732341E" w14:textId="77777777" w:rsidR="001F42A5" w:rsidRDefault="001F42A5" w:rsidP="001F42A5">
            <w:pPr>
              <w:spacing w:before="60" w:after="60"/>
              <w:ind w:left="164"/>
              <w:rPr>
                <w:sz w:val="18"/>
                <w:szCs w:val="20"/>
              </w:rPr>
            </w:pPr>
            <w:r>
              <w:rPr>
                <w:sz w:val="18"/>
                <w:szCs w:val="20"/>
              </w:rPr>
              <w:t>141,351</w:t>
            </w:r>
          </w:p>
        </w:tc>
        <w:tc>
          <w:tcPr>
            <w:tcW w:w="973" w:type="dxa"/>
            <w:tcBorders>
              <w:top w:val="single" w:sz="4" w:space="0" w:color="auto"/>
              <w:left w:val="single" w:sz="4" w:space="0" w:color="auto"/>
              <w:bottom w:val="single" w:sz="4" w:space="0" w:color="auto"/>
              <w:right w:val="single" w:sz="4" w:space="0" w:color="auto"/>
            </w:tcBorders>
            <w:hideMark/>
          </w:tcPr>
          <w:p w14:paraId="4C062117" w14:textId="77777777" w:rsidR="001F42A5" w:rsidRDefault="001F42A5" w:rsidP="001F42A5">
            <w:pPr>
              <w:spacing w:before="60" w:after="60"/>
              <w:ind w:left="164"/>
              <w:rPr>
                <w:sz w:val="18"/>
                <w:szCs w:val="20"/>
              </w:rPr>
            </w:pPr>
            <w:r>
              <w:rPr>
                <w:sz w:val="18"/>
                <w:szCs w:val="20"/>
              </w:rPr>
              <w:t>89,593</w:t>
            </w:r>
          </w:p>
        </w:tc>
        <w:tc>
          <w:tcPr>
            <w:tcW w:w="973" w:type="dxa"/>
            <w:tcBorders>
              <w:top w:val="single" w:sz="4" w:space="0" w:color="auto"/>
              <w:left w:val="single" w:sz="4" w:space="0" w:color="auto"/>
              <w:bottom w:val="single" w:sz="4" w:space="0" w:color="auto"/>
              <w:right w:val="single" w:sz="4" w:space="0" w:color="auto"/>
            </w:tcBorders>
            <w:hideMark/>
          </w:tcPr>
          <w:p w14:paraId="2230400E" w14:textId="77777777" w:rsidR="001F42A5" w:rsidRDefault="001F42A5" w:rsidP="001F42A5">
            <w:pPr>
              <w:spacing w:before="60" w:after="60"/>
              <w:ind w:left="164"/>
              <w:rPr>
                <w:sz w:val="18"/>
                <w:szCs w:val="20"/>
              </w:rPr>
            </w:pPr>
            <w:r>
              <w:rPr>
                <w:sz w:val="18"/>
                <w:szCs w:val="20"/>
              </w:rPr>
              <w:t>50,533</w:t>
            </w:r>
          </w:p>
        </w:tc>
        <w:tc>
          <w:tcPr>
            <w:tcW w:w="973" w:type="dxa"/>
            <w:tcBorders>
              <w:top w:val="single" w:sz="4" w:space="0" w:color="auto"/>
              <w:left w:val="single" w:sz="4" w:space="0" w:color="auto"/>
              <w:bottom w:val="single" w:sz="4" w:space="0" w:color="auto"/>
              <w:right w:val="single" w:sz="4" w:space="0" w:color="auto"/>
            </w:tcBorders>
            <w:hideMark/>
          </w:tcPr>
          <w:p w14:paraId="3016249D" w14:textId="77777777" w:rsidR="001F42A5" w:rsidRDefault="001F42A5" w:rsidP="001F42A5">
            <w:pPr>
              <w:spacing w:before="60" w:after="60"/>
              <w:ind w:left="164"/>
              <w:rPr>
                <w:sz w:val="18"/>
                <w:szCs w:val="20"/>
              </w:rPr>
            </w:pPr>
            <w:r>
              <w:rPr>
                <w:sz w:val="18"/>
                <w:szCs w:val="20"/>
              </w:rPr>
              <w:t>135,749</w:t>
            </w:r>
          </w:p>
        </w:tc>
        <w:tc>
          <w:tcPr>
            <w:tcW w:w="973" w:type="dxa"/>
            <w:tcBorders>
              <w:top w:val="single" w:sz="4" w:space="0" w:color="auto"/>
              <w:left w:val="single" w:sz="4" w:space="0" w:color="auto"/>
              <w:bottom w:val="single" w:sz="4" w:space="0" w:color="auto"/>
              <w:right w:val="single" w:sz="4" w:space="0" w:color="auto"/>
            </w:tcBorders>
            <w:hideMark/>
          </w:tcPr>
          <w:p w14:paraId="5C877878" w14:textId="77777777" w:rsidR="001F42A5" w:rsidRDefault="001F42A5" w:rsidP="001F42A5">
            <w:pPr>
              <w:spacing w:before="60" w:after="60"/>
              <w:ind w:left="164"/>
              <w:rPr>
                <w:sz w:val="18"/>
                <w:szCs w:val="20"/>
              </w:rPr>
            </w:pPr>
            <w:r>
              <w:rPr>
                <w:sz w:val="18"/>
                <w:szCs w:val="20"/>
              </w:rPr>
              <w:t>30,768</w:t>
            </w:r>
          </w:p>
        </w:tc>
        <w:tc>
          <w:tcPr>
            <w:tcW w:w="973" w:type="dxa"/>
            <w:tcBorders>
              <w:top w:val="single" w:sz="4" w:space="0" w:color="auto"/>
              <w:left w:val="single" w:sz="4" w:space="0" w:color="auto"/>
              <w:bottom w:val="single" w:sz="4" w:space="0" w:color="auto"/>
              <w:right w:val="single" w:sz="4" w:space="0" w:color="auto"/>
            </w:tcBorders>
            <w:hideMark/>
          </w:tcPr>
          <w:p w14:paraId="542580D7" w14:textId="77777777" w:rsidR="001F42A5" w:rsidRDefault="001F42A5" w:rsidP="001F42A5">
            <w:pPr>
              <w:spacing w:before="60" w:after="60"/>
              <w:ind w:left="164"/>
              <w:rPr>
                <w:sz w:val="18"/>
                <w:szCs w:val="20"/>
              </w:rPr>
            </w:pPr>
            <w:r>
              <w:rPr>
                <w:sz w:val="18"/>
                <w:szCs w:val="20"/>
              </w:rPr>
              <w:t>53,237</w:t>
            </w:r>
          </w:p>
        </w:tc>
        <w:tc>
          <w:tcPr>
            <w:tcW w:w="1109" w:type="dxa"/>
            <w:tcBorders>
              <w:top w:val="single" w:sz="4" w:space="0" w:color="auto"/>
              <w:left w:val="single" w:sz="4" w:space="0" w:color="auto"/>
              <w:bottom w:val="single" w:sz="4" w:space="0" w:color="auto"/>
              <w:right w:val="single" w:sz="4" w:space="0" w:color="auto"/>
            </w:tcBorders>
            <w:hideMark/>
          </w:tcPr>
          <w:p w14:paraId="3DCC8B80" w14:textId="77777777" w:rsidR="001F42A5" w:rsidRDefault="001F42A5" w:rsidP="001F42A5">
            <w:pPr>
              <w:spacing w:before="60" w:after="60"/>
              <w:ind w:left="164"/>
              <w:rPr>
                <w:sz w:val="18"/>
                <w:szCs w:val="20"/>
              </w:rPr>
            </w:pPr>
            <w:r>
              <w:rPr>
                <w:sz w:val="18"/>
                <w:szCs w:val="20"/>
              </w:rPr>
              <w:t>501,231</w:t>
            </w:r>
          </w:p>
        </w:tc>
      </w:tr>
      <w:tr w:rsidR="001F42A5" w14:paraId="24A863A5" w14:textId="77777777" w:rsidTr="001F42A5">
        <w:trPr>
          <w:trHeight w:val="340"/>
        </w:trPr>
        <w:tc>
          <w:tcPr>
            <w:tcW w:w="1780" w:type="dxa"/>
            <w:tcBorders>
              <w:top w:val="single" w:sz="4" w:space="0" w:color="auto"/>
              <w:left w:val="single" w:sz="4" w:space="0" w:color="auto"/>
              <w:bottom w:val="single" w:sz="4" w:space="0" w:color="auto"/>
              <w:right w:val="single" w:sz="4" w:space="0" w:color="auto"/>
            </w:tcBorders>
            <w:hideMark/>
          </w:tcPr>
          <w:p w14:paraId="75193B48" w14:textId="77777777" w:rsidR="001F42A5" w:rsidRDefault="001F42A5" w:rsidP="001F42A5">
            <w:pPr>
              <w:spacing w:before="60" w:after="60"/>
              <w:ind w:left="164"/>
              <w:rPr>
                <w:b/>
                <w:bCs/>
                <w:sz w:val="18"/>
                <w:szCs w:val="20"/>
              </w:rPr>
            </w:pPr>
            <w:r>
              <w:rPr>
                <w:b/>
                <w:bCs/>
                <w:sz w:val="18"/>
                <w:szCs w:val="20"/>
              </w:rPr>
              <w:t>Total</w:t>
            </w:r>
          </w:p>
        </w:tc>
        <w:tc>
          <w:tcPr>
            <w:tcW w:w="973" w:type="dxa"/>
            <w:tcBorders>
              <w:top w:val="single" w:sz="4" w:space="0" w:color="auto"/>
              <w:left w:val="single" w:sz="4" w:space="0" w:color="auto"/>
              <w:bottom w:val="single" w:sz="4" w:space="0" w:color="auto"/>
              <w:right w:val="single" w:sz="4" w:space="0" w:color="auto"/>
            </w:tcBorders>
            <w:hideMark/>
          </w:tcPr>
          <w:p w14:paraId="640433F6" w14:textId="77777777" w:rsidR="001F42A5" w:rsidRDefault="001F42A5" w:rsidP="001F42A5">
            <w:pPr>
              <w:spacing w:before="60" w:after="60"/>
              <w:ind w:left="164"/>
              <w:rPr>
                <w:sz w:val="18"/>
                <w:szCs w:val="20"/>
              </w:rPr>
            </w:pPr>
            <w:r>
              <w:rPr>
                <w:sz w:val="18"/>
                <w:szCs w:val="20"/>
              </w:rPr>
              <w:t>577,210</w:t>
            </w:r>
          </w:p>
        </w:tc>
        <w:tc>
          <w:tcPr>
            <w:tcW w:w="973" w:type="dxa"/>
            <w:tcBorders>
              <w:top w:val="single" w:sz="4" w:space="0" w:color="auto"/>
              <w:left w:val="single" w:sz="4" w:space="0" w:color="auto"/>
              <w:bottom w:val="single" w:sz="4" w:space="0" w:color="auto"/>
              <w:right w:val="single" w:sz="4" w:space="0" w:color="auto"/>
            </w:tcBorders>
            <w:hideMark/>
          </w:tcPr>
          <w:p w14:paraId="104A597C" w14:textId="77777777" w:rsidR="001F42A5" w:rsidRDefault="001F42A5" w:rsidP="001F42A5">
            <w:pPr>
              <w:spacing w:before="60" w:after="60"/>
              <w:ind w:left="164"/>
              <w:rPr>
                <w:sz w:val="18"/>
                <w:szCs w:val="20"/>
              </w:rPr>
            </w:pPr>
            <w:r>
              <w:rPr>
                <w:sz w:val="18"/>
                <w:szCs w:val="20"/>
              </w:rPr>
              <w:t>395,850</w:t>
            </w:r>
          </w:p>
        </w:tc>
        <w:tc>
          <w:tcPr>
            <w:tcW w:w="973" w:type="dxa"/>
            <w:tcBorders>
              <w:top w:val="single" w:sz="4" w:space="0" w:color="auto"/>
              <w:left w:val="single" w:sz="4" w:space="0" w:color="auto"/>
              <w:bottom w:val="single" w:sz="4" w:space="0" w:color="auto"/>
              <w:right w:val="single" w:sz="4" w:space="0" w:color="auto"/>
            </w:tcBorders>
            <w:hideMark/>
          </w:tcPr>
          <w:p w14:paraId="0F5799DB" w14:textId="77777777" w:rsidR="001F42A5" w:rsidRDefault="001F42A5" w:rsidP="001F42A5">
            <w:pPr>
              <w:spacing w:before="60" w:after="60"/>
              <w:ind w:left="164"/>
              <w:rPr>
                <w:sz w:val="18"/>
                <w:szCs w:val="20"/>
              </w:rPr>
            </w:pPr>
            <w:r>
              <w:rPr>
                <w:sz w:val="18"/>
                <w:szCs w:val="20"/>
              </w:rPr>
              <w:t>216,419</w:t>
            </w:r>
          </w:p>
        </w:tc>
        <w:tc>
          <w:tcPr>
            <w:tcW w:w="973" w:type="dxa"/>
            <w:tcBorders>
              <w:top w:val="single" w:sz="4" w:space="0" w:color="auto"/>
              <w:left w:val="single" w:sz="4" w:space="0" w:color="auto"/>
              <w:bottom w:val="single" w:sz="4" w:space="0" w:color="auto"/>
              <w:right w:val="single" w:sz="4" w:space="0" w:color="auto"/>
            </w:tcBorders>
            <w:hideMark/>
          </w:tcPr>
          <w:p w14:paraId="2EB615B1" w14:textId="77777777" w:rsidR="001F42A5" w:rsidRDefault="001F42A5" w:rsidP="001F42A5">
            <w:pPr>
              <w:spacing w:before="60" w:after="60"/>
              <w:ind w:left="164"/>
              <w:rPr>
                <w:sz w:val="18"/>
                <w:szCs w:val="20"/>
              </w:rPr>
            </w:pPr>
            <w:r>
              <w:rPr>
                <w:sz w:val="18"/>
                <w:szCs w:val="20"/>
              </w:rPr>
              <w:t>382,968</w:t>
            </w:r>
          </w:p>
        </w:tc>
        <w:tc>
          <w:tcPr>
            <w:tcW w:w="973" w:type="dxa"/>
            <w:tcBorders>
              <w:top w:val="single" w:sz="4" w:space="0" w:color="auto"/>
              <w:left w:val="single" w:sz="4" w:space="0" w:color="auto"/>
              <w:bottom w:val="single" w:sz="4" w:space="0" w:color="auto"/>
              <w:right w:val="single" w:sz="4" w:space="0" w:color="auto"/>
            </w:tcBorders>
            <w:hideMark/>
          </w:tcPr>
          <w:p w14:paraId="1A6AE472" w14:textId="77777777" w:rsidR="001F42A5" w:rsidRDefault="001F42A5" w:rsidP="001F42A5">
            <w:pPr>
              <w:spacing w:before="60" w:after="60"/>
              <w:ind w:left="164"/>
              <w:rPr>
                <w:sz w:val="18"/>
                <w:szCs w:val="20"/>
              </w:rPr>
            </w:pPr>
            <w:r>
              <w:rPr>
                <w:sz w:val="18"/>
                <w:szCs w:val="20"/>
              </w:rPr>
              <w:t>122,681</w:t>
            </w:r>
          </w:p>
        </w:tc>
        <w:tc>
          <w:tcPr>
            <w:tcW w:w="973" w:type="dxa"/>
            <w:tcBorders>
              <w:top w:val="single" w:sz="4" w:space="0" w:color="auto"/>
              <w:left w:val="single" w:sz="4" w:space="0" w:color="auto"/>
              <w:bottom w:val="single" w:sz="4" w:space="0" w:color="auto"/>
              <w:right w:val="single" w:sz="4" w:space="0" w:color="auto"/>
            </w:tcBorders>
            <w:hideMark/>
          </w:tcPr>
          <w:p w14:paraId="11CAA549" w14:textId="77777777" w:rsidR="001F42A5" w:rsidRDefault="001F42A5" w:rsidP="001F42A5">
            <w:pPr>
              <w:spacing w:before="60" w:after="60"/>
              <w:ind w:left="164"/>
              <w:rPr>
                <w:sz w:val="18"/>
                <w:szCs w:val="20"/>
              </w:rPr>
            </w:pPr>
            <w:r>
              <w:rPr>
                <w:sz w:val="18"/>
                <w:szCs w:val="20"/>
              </w:rPr>
              <w:t>133,746</w:t>
            </w:r>
          </w:p>
        </w:tc>
        <w:tc>
          <w:tcPr>
            <w:tcW w:w="1109" w:type="dxa"/>
            <w:tcBorders>
              <w:top w:val="single" w:sz="4" w:space="0" w:color="auto"/>
              <w:left w:val="single" w:sz="4" w:space="0" w:color="auto"/>
              <w:bottom w:val="single" w:sz="4" w:space="0" w:color="auto"/>
              <w:right w:val="single" w:sz="4" w:space="0" w:color="auto"/>
            </w:tcBorders>
            <w:hideMark/>
          </w:tcPr>
          <w:p w14:paraId="26339A04" w14:textId="77777777" w:rsidR="001F42A5" w:rsidRDefault="001F42A5" w:rsidP="001F42A5">
            <w:pPr>
              <w:spacing w:before="60" w:after="60"/>
              <w:ind w:left="164"/>
              <w:rPr>
                <w:sz w:val="18"/>
                <w:szCs w:val="20"/>
              </w:rPr>
            </w:pPr>
            <w:r>
              <w:rPr>
                <w:sz w:val="18"/>
                <w:szCs w:val="20"/>
              </w:rPr>
              <w:t>1,828,874</w:t>
            </w:r>
          </w:p>
        </w:tc>
      </w:tr>
    </w:tbl>
    <w:p w14:paraId="68E0EF55" w14:textId="35BD4B3F" w:rsidR="009553B3" w:rsidRPr="00C737AD" w:rsidRDefault="00CA6DAD" w:rsidP="00C737AD">
      <w:pPr>
        <w:ind w:left="426"/>
        <w:rPr>
          <w:sz w:val="18"/>
          <w:szCs w:val="20"/>
        </w:rPr>
      </w:pPr>
      <w:r w:rsidRPr="009E6697">
        <w:rPr>
          <w:sz w:val="18"/>
          <w:szCs w:val="20"/>
        </w:rPr>
        <w:t>Note, item 12323 was discontinued in November 2017 and replaced by items 12320 and 12320 that are time-restricted and based on BMD.</w:t>
      </w:r>
    </w:p>
    <w:p w14:paraId="01DABACF"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bookmarkEnd w:id="4"/>
    <w:p w14:paraId="2FFAB6C3" w14:textId="6943B629" w:rsidR="005F54FF" w:rsidRPr="001F42A5" w:rsidRDefault="005F54FF" w:rsidP="00AE1188">
      <w:pPr>
        <w:ind w:left="426"/>
      </w:pPr>
      <w:r>
        <w:t xml:space="preserve">The anticipated uptake of Echolight scans is provided in </w:t>
      </w:r>
      <w:r>
        <w:fldChar w:fldCharType="begin"/>
      </w:r>
      <w:r>
        <w:instrText xml:space="preserve"> REF _Ref61356704 \h </w:instrText>
      </w:r>
      <w:r>
        <w:fldChar w:fldCharType="separate"/>
      </w:r>
      <w:r w:rsidR="00B363E0">
        <w:t xml:space="preserve">Table </w:t>
      </w:r>
      <w:r w:rsidR="00B363E0">
        <w:rPr>
          <w:noProof/>
        </w:rPr>
        <w:t>4</w:t>
      </w:r>
      <w:r>
        <w:fldChar w:fldCharType="end"/>
      </w:r>
      <w:r>
        <w:t xml:space="preserve">. Uptake will be constrained by the availability of the service, as Clinicians become aware of, </w:t>
      </w:r>
      <w:proofErr w:type="gramStart"/>
      <w:r>
        <w:t>investigate</w:t>
      </w:r>
      <w:proofErr w:type="gramEnd"/>
      <w:r>
        <w:t xml:space="preserve"> and then potentially start requesting REMS scans.</w:t>
      </w:r>
      <w:r w:rsidR="00872CCF">
        <w:t xml:space="preserve"> </w:t>
      </w:r>
      <w:r w:rsidR="001160D5">
        <w:t xml:space="preserve">Estimated uptake </w:t>
      </w:r>
      <w:r w:rsidR="001F42A5" w:rsidRPr="001F42A5">
        <w:rPr>
          <w:b/>
          <w:bCs/>
        </w:rPr>
        <w:t>REDACTED</w:t>
      </w:r>
      <w:r w:rsidR="001F42A5">
        <w:t>.</w:t>
      </w:r>
    </w:p>
    <w:p w14:paraId="5E81754A" w14:textId="23976227" w:rsidR="00EC6FC6" w:rsidRDefault="00227AA8" w:rsidP="00C737AD">
      <w:pPr>
        <w:ind w:left="426"/>
      </w:pPr>
      <w:r>
        <w:t>Some patients who undergo DXA scans face ‘out of pocket’ costs. Depending on the level of subsidy provided following the proposed MBS listing, it is possible that some providers may also apply an ‘out of pocket’ cost to REMS services.</w:t>
      </w:r>
    </w:p>
    <w:p w14:paraId="16079D00" w14:textId="4837F787" w:rsidR="00F65E10" w:rsidRDefault="00F65E10" w:rsidP="00AE1188">
      <w:pPr>
        <w:ind w:left="426"/>
      </w:pPr>
      <w:r>
        <w:t>The greater portability of REMS compared with DXA means usage in rural and remote settings (e.g. remote indigenous communities) is likely. REMS may also be suitable for people who, because of disability or physical limitations, cannot undertake a DXA scan, but are suitable for REMS. While these factors may increase the population in whom it could be used, it is not expected to result in a substantial increase (this will be considered and estimated in the submission, based on expert advice or literature that can help quantify this).</w:t>
      </w:r>
    </w:p>
    <w:p w14:paraId="5E17B23E" w14:textId="76D26CA7" w:rsidR="00872CCF" w:rsidRDefault="00872CCF" w:rsidP="00AE1188">
      <w:pPr>
        <w:ind w:left="426"/>
      </w:pPr>
      <w:r>
        <w:t>There is a low likelihood of leakage to populations not targeted by the services, with patients currently having to pay privately for DXA scans that do not meet the existing criteria. This is likely to also occur in the future with Echolight scans being also used privately for non-MBS indications.</w:t>
      </w:r>
    </w:p>
    <w:p w14:paraId="019F33E4" w14:textId="5396509F" w:rsidR="00F65E10" w:rsidRDefault="00F65E10" w:rsidP="00AE1188">
      <w:pPr>
        <w:ind w:left="426"/>
      </w:pPr>
    </w:p>
    <w:p w14:paraId="371C1967" w14:textId="019D3874" w:rsidR="005F54FF" w:rsidRPr="00C737AD" w:rsidRDefault="00F65E10" w:rsidP="00C737AD">
      <w:pPr>
        <w:ind w:left="426"/>
        <w:rPr>
          <w:szCs w:val="20"/>
        </w:rPr>
      </w:pPr>
      <w:r>
        <w:rPr>
          <w:szCs w:val="20"/>
        </w:rPr>
        <w:t xml:space="preserve">Echolight is manufactured in Italy. The timelines for obtaining the device are relatively short at </w:t>
      </w:r>
      <w:r w:rsidR="00C6691F">
        <w:rPr>
          <w:szCs w:val="20"/>
        </w:rPr>
        <w:t>1-2</w:t>
      </w:r>
      <w:r>
        <w:rPr>
          <w:szCs w:val="20"/>
        </w:rPr>
        <w:t xml:space="preserve"> months, meaning that if funded, the REMS technology device could be ordered, arrive in Australia and operators could be trained in a timely manner.</w:t>
      </w:r>
    </w:p>
    <w:p w14:paraId="469D9ADA" w14:textId="01F3DB18" w:rsidR="00DE1964" w:rsidRDefault="009E6697" w:rsidP="00DE1964">
      <w:pPr>
        <w:pStyle w:val="Caption"/>
        <w:keepNext/>
        <w:ind w:left="426"/>
      </w:pPr>
      <w:bookmarkStart w:id="7" w:name="_Ref61356704"/>
      <w:r>
        <w:t xml:space="preserve">Table </w:t>
      </w:r>
      <w:r w:rsidR="00D63788">
        <w:fldChar w:fldCharType="begin"/>
      </w:r>
      <w:r w:rsidR="00D63788">
        <w:instrText xml:space="preserve"> SEQ Table \* ARABIC </w:instrText>
      </w:r>
      <w:r w:rsidR="00D63788">
        <w:fldChar w:fldCharType="separate"/>
      </w:r>
      <w:r w:rsidR="00B363E0">
        <w:rPr>
          <w:noProof/>
        </w:rPr>
        <w:t>4</w:t>
      </w:r>
      <w:r w:rsidR="00D63788">
        <w:rPr>
          <w:noProof/>
        </w:rPr>
        <w:fldChar w:fldCharType="end"/>
      </w:r>
      <w:bookmarkEnd w:id="7"/>
      <w:r>
        <w:t>: Anticipated uptake for proposed items consistent with the criteria for the DXA items</w:t>
      </w:r>
    </w:p>
    <w:tbl>
      <w:tblPr>
        <w:tblStyle w:val="TableGrid"/>
        <w:tblW w:w="0" w:type="auto"/>
        <w:tblLook w:val="04A0" w:firstRow="1" w:lastRow="0" w:firstColumn="1" w:lastColumn="0" w:noHBand="0" w:noVBand="1"/>
      </w:tblPr>
      <w:tblGrid>
        <w:gridCol w:w="591"/>
        <w:gridCol w:w="1421"/>
        <w:gridCol w:w="1421"/>
        <w:gridCol w:w="1421"/>
        <w:gridCol w:w="1421"/>
        <w:gridCol w:w="1320"/>
        <w:gridCol w:w="1421"/>
      </w:tblGrid>
      <w:tr w:rsidR="00DE1964" w:rsidRPr="00DE1964" w14:paraId="08E8564B" w14:textId="77777777" w:rsidTr="00796F92">
        <w:trPr>
          <w:trHeight w:val="300"/>
        </w:trPr>
        <w:tc>
          <w:tcPr>
            <w:tcW w:w="591" w:type="dxa"/>
            <w:vMerge w:val="restart"/>
            <w:shd w:val="clear" w:color="auto" w:fill="BFBFBF" w:themeFill="background1" w:themeFillShade="BF"/>
            <w:hideMark/>
          </w:tcPr>
          <w:p w14:paraId="4EA16BC6" w14:textId="77777777" w:rsidR="00DE1964" w:rsidRPr="00DE1964" w:rsidRDefault="00DE1964" w:rsidP="00DE1964">
            <w:pPr>
              <w:jc w:val="center"/>
              <w:rPr>
                <w:b/>
                <w:bCs/>
              </w:rPr>
            </w:pPr>
            <w:r w:rsidRPr="00DE1964">
              <w:rPr>
                <w:b/>
                <w:bCs/>
              </w:rPr>
              <w:t>Year</w:t>
            </w:r>
          </w:p>
        </w:tc>
        <w:tc>
          <w:tcPr>
            <w:tcW w:w="8425" w:type="dxa"/>
            <w:gridSpan w:val="6"/>
            <w:shd w:val="clear" w:color="auto" w:fill="BFBFBF" w:themeFill="background1" w:themeFillShade="BF"/>
            <w:hideMark/>
          </w:tcPr>
          <w:p w14:paraId="21B070E9" w14:textId="77777777" w:rsidR="00DE1964" w:rsidRPr="00DE1964" w:rsidRDefault="00DE1964" w:rsidP="00DE1964">
            <w:pPr>
              <w:ind w:left="-188"/>
              <w:jc w:val="center"/>
              <w:rPr>
                <w:b/>
                <w:bCs/>
              </w:rPr>
            </w:pPr>
            <w:r w:rsidRPr="00DE1964">
              <w:rPr>
                <w:b/>
                <w:bCs/>
              </w:rPr>
              <w:t>Proposed services (analogous to existing MBS items)</w:t>
            </w:r>
          </w:p>
        </w:tc>
      </w:tr>
      <w:tr w:rsidR="00796F92" w:rsidRPr="00DE1964" w14:paraId="41A95B50" w14:textId="77777777" w:rsidTr="00796F92">
        <w:trPr>
          <w:trHeight w:val="300"/>
        </w:trPr>
        <w:tc>
          <w:tcPr>
            <w:tcW w:w="591" w:type="dxa"/>
            <w:vMerge/>
            <w:shd w:val="clear" w:color="auto" w:fill="BFBFBF" w:themeFill="background1" w:themeFillShade="BF"/>
            <w:hideMark/>
          </w:tcPr>
          <w:p w14:paraId="54431ED6" w14:textId="77777777" w:rsidR="00796F92" w:rsidRPr="00DE1964" w:rsidRDefault="00796F92" w:rsidP="00796F92">
            <w:pPr>
              <w:jc w:val="center"/>
              <w:rPr>
                <w:b/>
                <w:bCs/>
              </w:rPr>
            </w:pPr>
          </w:p>
        </w:tc>
        <w:tc>
          <w:tcPr>
            <w:tcW w:w="1421" w:type="dxa"/>
            <w:shd w:val="clear" w:color="auto" w:fill="BFBFBF" w:themeFill="background1" w:themeFillShade="BF"/>
            <w:hideMark/>
          </w:tcPr>
          <w:p w14:paraId="2E02DC4C" w14:textId="38F32889" w:rsidR="00796F92" w:rsidRPr="00DE1964" w:rsidRDefault="00796F92" w:rsidP="00796F92">
            <w:pPr>
              <w:ind w:left="-188"/>
              <w:jc w:val="center"/>
              <w:rPr>
                <w:b/>
                <w:bCs/>
              </w:rPr>
            </w:pPr>
            <w:r w:rsidRPr="00DE1964">
              <w:rPr>
                <w:b/>
                <w:bCs/>
              </w:rPr>
              <w:t>12306</w:t>
            </w:r>
          </w:p>
        </w:tc>
        <w:tc>
          <w:tcPr>
            <w:tcW w:w="1421" w:type="dxa"/>
            <w:shd w:val="clear" w:color="auto" w:fill="BFBFBF" w:themeFill="background1" w:themeFillShade="BF"/>
            <w:hideMark/>
          </w:tcPr>
          <w:p w14:paraId="3ECA204F" w14:textId="1D5AA185" w:rsidR="00796F92" w:rsidRPr="00DE1964" w:rsidRDefault="00796F92" w:rsidP="00796F92">
            <w:pPr>
              <w:ind w:left="-188"/>
              <w:jc w:val="center"/>
              <w:rPr>
                <w:b/>
                <w:bCs/>
              </w:rPr>
            </w:pPr>
            <w:r w:rsidRPr="00DE1964">
              <w:rPr>
                <w:b/>
                <w:bCs/>
              </w:rPr>
              <w:t>12312</w:t>
            </w:r>
          </w:p>
        </w:tc>
        <w:tc>
          <w:tcPr>
            <w:tcW w:w="1421" w:type="dxa"/>
            <w:shd w:val="clear" w:color="auto" w:fill="BFBFBF" w:themeFill="background1" w:themeFillShade="BF"/>
            <w:hideMark/>
          </w:tcPr>
          <w:p w14:paraId="6B46423A" w14:textId="440560AD" w:rsidR="00796F92" w:rsidRPr="00DE1964" w:rsidRDefault="00796F92" w:rsidP="00796F92">
            <w:pPr>
              <w:ind w:left="-188"/>
              <w:jc w:val="center"/>
              <w:rPr>
                <w:b/>
                <w:bCs/>
              </w:rPr>
            </w:pPr>
            <w:r w:rsidRPr="00DE1964">
              <w:rPr>
                <w:b/>
                <w:bCs/>
              </w:rPr>
              <w:t>12315</w:t>
            </w:r>
          </w:p>
        </w:tc>
        <w:tc>
          <w:tcPr>
            <w:tcW w:w="1421" w:type="dxa"/>
            <w:shd w:val="clear" w:color="auto" w:fill="BFBFBF" w:themeFill="background1" w:themeFillShade="BF"/>
            <w:hideMark/>
          </w:tcPr>
          <w:p w14:paraId="01678883" w14:textId="24E36E26" w:rsidR="00796F92" w:rsidRPr="00DE1964" w:rsidRDefault="00796F92" w:rsidP="00796F92">
            <w:pPr>
              <w:ind w:left="-188"/>
              <w:jc w:val="center"/>
              <w:rPr>
                <w:b/>
                <w:bCs/>
              </w:rPr>
            </w:pPr>
            <w:r w:rsidRPr="00DE1964">
              <w:rPr>
                <w:b/>
                <w:bCs/>
              </w:rPr>
              <w:t>12320</w:t>
            </w:r>
          </w:p>
        </w:tc>
        <w:tc>
          <w:tcPr>
            <w:tcW w:w="1320" w:type="dxa"/>
            <w:shd w:val="clear" w:color="auto" w:fill="BFBFBF" w:themeFill="background1" w:themeFillShade="BF"/>
            <w:hideMark/>
          </w:tcPr>
          <w:p w14:paraId="7BECAA2E" w14:textId="27989D9E" w:rsidR="00796F92" w:rsidRPr="00DE1964" w:rsidRDefault="00796F92" w:rsidP="00796F92">
            <w:pPr>
              <w:ind w:left="-188"/>
              <w:jc w:val="center"/>
              <w:rPr>
                <w:b/>
                <w:bCs/>
              </w:rPr>
            </w:pPr>
            <w:r w:rsidRPr="00DE1964">
              <w:rPr>
                <w:b/>
                <w:bCs/>
              </w:rPr>
              <w:t>12321</w:t>
            </w:r>
          </w:p>
        </w:tc>
        <w:tc>
          <w:tcPr>
            <w:tcW w:w="1421" w:type="dxa"/>
            <w:shd w:val="clear" w:color="auto" w:fill="BFBFBF" w:themeFill="background1" w:themeFillShade="BF"/>
            <w:hideMark/>
          </w:tcPr>
          <w:p w14:paraId="4149A770" w14:textId="39FC8575" w:rsidR="00796F92" w:rsidRPr="00DE1964" w:rsidRDefault="00796F92" w:rsidP="00796F92">
            <w:pPr>
              <w:ind w:left="-188"/>
              <w:jc w:val="center"/>
              <w:rPr>
                <w:b/>
                <w:bCs/>
              </w:rPr>
            </w:pPr>
            <w:r w:rsidRPr="00DE1964">
              <w:rPr>
                <w:b/>
                <w:bCs/>
              </w:rPr>
              <w:t>12322</w:t>
            </w:r>
          </w:p>
        </w:tc>
      </w:tr>
      <w:tr w:rsidR="00A3419D" w:rsidRPr="00DE1964" w14:paraId="65F4A925" w14:textId="77777777" w:rsidTr="001F42A5">
        <w:trPr>
          <w:trHeight w:val="300"/>
        </w:trPr>
        <w:tc>
          <w:tcPr>
            <w:tcW w:w="591" w:type="dxa"/>
            <w:hideMark/>
          </w:tcPr>
          <w:p w14:paraId="1920EDEC" w14:textId="77777777" w:rsidR="00A3419D" w:rsidRPr="00DE1964" w:rsidRDefault="00A3419D" w:rsidP="001F42A5">
            <w:pPr>
              <w:spacing w:before="60" w:after="60"/>
              <w:jc w:val="center"/>
              <w:rPr>
                <w:b/>
                <w:bCs/>
              </w:rPr>
            </w:pPr>
            <w:r w:rsidRPr="00DE1964">
              <w:rPr>
                <w:b/>
                <w:bCs/>
              </w:rPr>
              <w:t>1</w:t>
            </w:r>
          </w:p>
        </w:tc>
        <w:tc>
          <w:tcPr>
            <w:tcW w:w="1421" w:type="dxa"/>
            <w:shd w:val="clear" w:color="auto" w:fill="auto"/>
            <w:hideMark/>
          </w:tcPr>
          <w:p w14:paraId="1F5432C1" w14:textId="5DFA4497" w:rsidR="00A3419D" w:rsidRPr="001F42A5" w:rsidRDefault="00A3419D" w:rsidP="001F42A5">
            <w:pPr>
              <w:spacing w:before="60" w:after="60"/>
              <w:ind w:left="-188"/>
              <w:jc w:val="center"/>
              <w:rPr>
                <w:b/>
                <w:bCs/>
              </w:rPr>
            </w:pPr>
            <w:r w:rsidRPr="001F42A5">
              <w:rPr>
                <w:b/>
                <w:bCs/>
              </w:rPr>
              <w:t>REDACTED</w:t>
            </w:r>
          </w:p>
        </w:tc>
        <w:tc>
          <w:tcPr>
            <w:tcW w:w="1421" w:type="dxa"/>
            <w:hideMark/>
          </w:tcPr>
          <w:p w14:paraId="7C2BDC8B" w14:textId="0AC0931E" w:rsidR="00A3419D" w:rsidRPr="00DE1964" w:rsidRDefault="001F42A5" w:rsidP="001F42A5">
            <w:pPr>
              <w:spacing w:before="60" w:after="60"/>
              <w:ind w:left="-188"/>
              <w:jc w:val="center"/>
            </w:pPr>
            <w:r w:rsidRPr="001F42A5">
              <w:rPr>
                <w:b/>
                <w:bCs/>
              </w:rPr>
              <w:t>REDACTED</w:t>
            </w:r>
          </w:p>
        </w:tc>
        <w:tc>
          <w:tcPr>
            <w:tcW w:w="1421" w:type="dxa"/>
            <w:hideMark/>
          </w:tcPr>
          <w:p w14:paraId="39B8B6CF" w14:textId="46A39F04" w:rsidR="00A3419D" w:rsidRPr="00DE1964" w:rsidRDefault="001F42A5" w:rsidP="001F42A5">
            <w:pPr>
              <w:spacing w:before="60" w:after="60"/>
              <w:ind w:left="-188"/>
              <w:jc w:val="center"/>
            </w:pPr>
            <w:r w:rsidRPr="001F42A5">
              <w:rPr>
                <w:b/>
                <w:bCs/>
              </w:rPr>
              <w:t>REDACTED</w:t>
            </w:r>
          </w:p>
        </w:tc>
        <w:tc>
          <w:tcPr>
            <w:tcW w:w="1421" w:type="dxa"/>
            <w:hideMark/>
          </w:tcPr>
          <w:p w14:paraId="7E49F5D7" w14:textId="50DF38D1" w:rsidR="00A3419D" w:rsidRPr="00DE1964" w:rsidRDefault="001F42A5" w:rsidP="001F42A5">
            <w:pPr>
              <w:spacing w:before="60" w:after="60"/>
              <w:ind w:left="-188"/>
              <w:jc w:val="center"/>
            </w:pPr>
            <w:r w:rsidRPr="001F42A5">
              <w:rPr>
                <w:b/>
                <w:bCs/>
              </w:rPr>
              <w:t>REDACTED</w:t>
            </w:r>
          </w:p>
        </w:tc>
        <w:tc>
          <w:tcPr>
            <w:tcW w:w="1320" w:type="dxa"/>
            <w:hideMark/>
          </w:tcPr>
          <w:p w14:paraId="766946B8" w14:textId="1B75106A" w:rsidR="00A3419D" w:rsidRPr="00DE1964" w:rsidRDefault="001F42A5" w:rsidP="001F42A5">
            <w:pPr>
              <w:spacing w:before="60" w:after="60"/>
              <w:ind w:left="-188"/>
              <w:jc w:val="center"/>
            </w:pPr>
            <w:r w:rsidRPr="001F42A5">
              <w:rPr>
                <w:b/>
                <w:bCs/>
              </w:rPr>
              <w:t>REDACTED</w:t>
            </w:r>
          </w:p>
        </w:tc>
        <w:tc>
          <w:tcPr>
            <w:tcW w:w="1421" w:type="dxa"/>
            <w:hideMark/>
          </w:tcPr>
          <w:p w14:paraId="3FCAE65F" w14:textId="1EDF410C" w:rsidR="00A3419D" w:rsidRPr="00DE1964" w:rsidRDefault="001F42A5" w:rsidP="001F42A5">
            <w:pPr>
              <w:spacing w:before="60" w:after="60"/>
              <w:ind w:left="-188"/>
              <w:jc w:val="center"/>
            </w:pPr>
            <w:r w:rsidRPr="001F42A5">
              <w:rPr>
                <w:b/>
                <w:bCs/>
              </w:rPr>
              <w:t>REDACTED</w:t>
            </w:r>
          </w:p>
        </w:tc>
      </w:tr>
      <w:tr w:rsidR="001F42A5" w:rsidRPr="00DE1964" w14:paraId="6A68FA07" w14:textId="77777777" w:rsidTr="001F42A5">
        <w:trPr>
          <w:trHeight w:val="300"/>
        </w:trPr>
        <w:tc>
          <w:tcPr>
            <w:tcW w:w="591" w:type="dxa"/>
            <w:hideMark/>
          </w:tcPr>
          <w:p w14:paraId="7609DA16" w14:textId="77777777" w:rsidR="001F42A5" w:rsidRPr="00DE1964" w:rsidRDefault="001F42A5" w:rsidP="001F42A5">
            <w:pPr>
              <w:spacing w:before="60" w:after="60"/>
              <w:jc w:val="center"/>
              <w:rPr>
                <w:b/>
                <w:bCs/>
              </w:rPr>
            </w:pPr>
            <w:r w:rsidRPr="00DE1964">
              <w:rPr>
                <w:b/>
                <w:bCs/>
              </w:rPr>
              <w:t>2</w:t>
            </w:r>
          </w:p>
        </w:tc>
        <w:tc>
          <w:tcPr>
            <w:tcW w:w="1421" w:type="dxa"/>
          </w:tcPr>
          <w:p w14:paraId="7300828A" w14:textId="2EFE0117" w:rsidR="001F42A5" w:rsidRPr="00DE1964" w:rsidRDefault="001F42A5" w:rsidP="001F42A5">
            <w:pPr>
              <w:spacing w:before="60" w:after="60"/>
              <w:ind w:left="-188"/>
              <w:jc w:val="center"/>
            </w:pPr>
            <w:r w:rsidRPr="00F20934">
              <w:rPr>
                <w:b/>
                <w:bCs/>
              </w:rPr>
              <w:t>REDACTED</w:t>
            </w:r>
          </w:p>
        </w:tc>
        <w:tc>
          <w:tcPr>
            <w:tcW w:w="1421" w:type="dxa"/>
          </w:tcPr>
          <w:p w14:paraId="759CCE68" w14:textId="038E1635" w:rsidR="001F42A5" w:rsidRPr="00DE1964" w:rsidRDefault="001F42A5" w:rsidP="001F42A5">
            <w:pPr>
              <w:spacing w:before="60" w:after="60"/>
              <w:ind w:left="-188"/>
              <w:jc w:val="center"/>
            </w:pPr>
            <w:r w:rsidRPr="00F20934">
              <w:rPr>
                <w:b/>
                <w:bCs/>
              </w:rPr>
              <w:t>REDACTED</w:t>
            </w:r>
          </w:p>
        </w:tc>
        <w:tc>
          <w:tcPr>
            <w:tcW w:w="1421" w:type="dxa"/>
          </w:tcPr>
          <w:p w14:paraId="1BA769BD" w14:textId="1B18C544" w:rsidR="001F42A5" w:rsidRPr="00DE1964" w:rsidRDefault="001F42A5" w:rsidP="001F42A5">
            <w:pPr>
              <w:spacing w:before="60" w:after="60"/>
              <w:ind w:left="-188"/>
              <w:jc w:val="center"/>
            </w:pPr>
            <w:r w:rsidRPr="00F20934">
              <w:rPr>
                <w:b/>
                <w:bCs/>
              </w:rPr>
              <w:t>REDACTED</w:t>
            </w:r>
          </w:p>
        </w:tc>
        <w:tc>
          <w:tcPr>
            <w:tcW w:w="1421" w:type="dxa"/>
          </w:tcPr>
          <w:p w14:paraId="0090382D" w14:textId="64F7A22C" w:rsidR="001F42A5" w:rsidRPr="00DE1964" w:rsidRDefault="001F42A5" w:rsidP="001F42A5">
            <w:pPr>
              <w:spacing w:before="60" w:after="60"/>
              <w:ind w:left="-188"/>
              <w:jc w:val="center"/>
            </w:pPr>
            <w:r w:rsidRPr="00F20934">
              <w:rPr>
                <w:b/>
                <w:bCs/>
              </w:rPr>
              <w:t>REDACTED</w:t>
            </w:r>
          </w:p>
        </w:tc>
        <w:tc>
          <w:tcPr>
            <w:tcW w:w="1320" w:type="dxa"/>
          </w:tcPr>
          <w:p w14:paraId="37C7D8E3" w14:textId="4D2CD6C0" w:rsidR="001F42A5" w:rsidRPr="00DE1964" w:rsidRDefault="001F42A5" w:rsidP="001F42A5">
            <w:pPr>
              <w:spacing w:before="60" w:after="60"/>
              <w:ind w:left="-188"/>
              <w:jc w:val="center"/>
            </w:pPr>
            <w:r w:rsidRPr="00F20934">
              <w:rPr>
                <w:b/>
                <w:bCs/>
              </w:rPr>
              <w:t>REDACTED</w:t>
            </w:r>
          </w:p>
        </w:tc>
        <w:tc>
          <w:tcPr>
            <w:tcW w:w="1421" w:type="dxa"/>
          </w:tcPr>
          <w:p w14:paraId="08D83B56" w14:textId="06611540" w:rsidR="001F42A5" w:rsidRPr="00DE1964" w:rsidRDefault="001F42A5" w:rsidP="001F42A5">
            <w:pPr>
              <w:spacing w:before="60" w:after="60"/>
              <w:ind w:left="-188"/>
              <w:jc w:val="center"/>
            </w:pPr>
            <w:r w:rsidRPr="00F20934">
              <w:rPr>
                <w:b/>
                <w:bCs/>
              </w:rPr>
              <w:t>REDACTED</w:t>
            </w:r>
          </w:p>
        </w:tc>
      </w:tr>
      <w:tr w:rsidR="001F42A5" w:rsidRPr="00DE1964" w14:paraId="634974A0" w14:textId="77777777" w:rsidTr="001F42A5">
        <w:trPr>
          <w:trHeight w:val="300"/>
        </w:trPr>
        <w:tc>
          <w:tcPr>
            <w:tcW w:w="591" w:type="dxa"/>
            <w:hideMark/>
          </w:tcPr>
          <w:p w14:paraId="584CC9B0" w14:textId="77777777" w:rsidR="001F42A5" w:rsidRPr="00DE1964" w:rsidRDefault="001F42A5" w:rsidP="001F42A5">
            <w:pPr>
              <w:spacing w:before="60" w:after="60"/>
              <w:jc w:val="center"/>
              <w:rPr>
                <w:b/>
                <w:bCs/>
              </w:rPr>
            </w:pPr>
            <w:r w:rsidRPr="00DE1964">
              <w:rPr>
                <w:b/>
                <w:bCs/>
              </w:rPr>
              <w:t>3</w:t>
            </w:r>
          </w:p>
        </w:tc>
        <w:tc>
          <w:tcPr>
            <w:tcW w:w="1421" w:type="dxa"/>
          </w:tcPr>
          <w:p w14:paraId="14E25B67" w14:textId="617C95DC" w:rsidR="001F42A5" w:rsidRPr="00DE1964" w:rsidRDefault="001F42A5" w:rsidP="001F42A5">
            <w:pPr>
              <w:spacing w:before="60" w:after="60"/>
              <w:ind w:left="-188"/>
              <w:jc w:val="center"/>
            </w:pPr>
            <w:r w:rsidRPr="00F20934">
              <w:rPr>
                <w:b/>
                <w:bCs/>
              </w:rPr>
              <w:t>REDACTED</w:t>
            </w:r>
          </w:p>
        </w:tc>
        <w:tc>
          <w:tcPr>
            <w:tcW w:w="1421" w:type="dxa"/>
          </w:tcPr>
          <w:p w14:paraId="4AD93890" w14:textId="7CF69756" w:rsidR="001F42A5" w:rsidRPr="00DE1964" w:rsidRDefault="001F42A5" w:rsidP="001F42A5">
            <w:pPr>
              <w:spacing w:before="60" w:after="60"/>
              <w:ind w:left="-188"/>
              <w:jc w:val="center"/>
            </w:pPr>
            <w:r w:rsidRPr="00F20934">
              <w:rPr>
                <w:b/>
                <w:bCs/>
              </w:rPr>
              <w:t>REDACTED</w:t>
            </w:r>
          </w:p>
        </w:tc>
        <w:tc>
          <w:tcPr>
            <w:tcW w:w="1421" w:type="dxa"/>
          </w:tcPr>
          <w:p w14:paraId="0A5BC45B" w14:textId="20548178" w:rsidR="001F42A5" w:rsidRPr="00DE1964" w:rsidRDefault="001F42A5" w:rsidP="001F42A5">
            <w:pPr>
              <w:spacing w:before="60" w:after="60"/>
              <w:ind w:left="-188"/>
              <w:jc w:val="center"/>
            </w:pPr>
            <w:r w:rsidRPr="00F20934">
              <w:rPr>
                <w:b/>
                <w:bCs/>
              </w:rPr>
              <w:t>REDACTED</w:t>
            </w:r>
          </w:p>
        </w:tc>
        <w:tc>
          <w:tcPr>
            <w:tcW w:w="1421" w:type="dxa"/>
          </w:tcPr>
          <w:p w14:paraId="7D889AF1" w14:textId="0B155A10" w:rsidR="001F42A5" w:rsidRPr="00DE1964" w:rsidRDefault="001F42A5" w:rsidP="001F42A5">
            <w:pPr>
              <w:spacing w:before="60" w:after="60"/>
              <w:ind w:left="-188"/>
              <w:jc w:val="center"/>
            </w:pPr>
            <w:r w:rsidRPr="00F20934">
              <w:rPr>
                <w:b/>
                <w:bCs/>
              </w:rPr>
              <w:t>REDACTED</w:t>
            </w:r>
          </w:p>
        </w:tc>
        <w:tc>
          <w:tcPr>
            <w:tcW w:w="1320" w:type="dxa"/>
          </w:tcPr>
          <w:p w14:paraId="7CACFF1E" w14:textId="4C3773C4" w:rsidR="001F42A5" w:rsidRPr="00DE1964" w:rsidRDefault="001F42A5" w:rsidP="001F42A5">
            <w:pPr>
              <w:spacing w:before="60" w:after="60"/>
              <w:ind w:left="-188"/>
              <w:jc w:val="center"/>
            </w:pPr>
            <w:r w:rsidRPr="00F20934">
              <w:rPr>
                <w:b/>
                <w:bCs/>
              </w:rPr>
              <w:t>REDACTED</w:t>
            </w:r>
          </w:p>
        </w:tc>
        <w:tc>
          <w:tcPr>
            <w:tcW w:w="1421" w:type="dxa"/>
          </w:tcPr>
          <w:p w14:paraId="13C40D93" w14:textId="5578F311" w:rsidR="001F42A5" w:rsidRPr="00DE1964" w:rsidRDefault="001F42A5" w:rsidP="001F42A5">
            <w:pPr>
              <w:spacing w:before="60" w:after="60"/>
              <w:ind w:left="-188"/>
              <w:jc w:val="center"/>
            </w:pPr>
            <w:r w:rsidRPr="00F20934">
              <w:rPr>
                <w:b/>
                <w:bCs/>
              </w:rPr>
              <w:t>REDACTED</w:t>
            </w:r>
          </w:p>
        </w:tc>
      </w:tr>
    </w:tbl>
    <w:p w14:paraId="2DF37A30" w14:textId="77777777" w:rsidR="003433D1" w:rsidRDefault="003433D1">
      <w:pPr>
        <w:rPr>
          <w:b/>
          <w:sz w:val="32"/>
          <w:szCs w:val="32"/>
        </w:rPr>
      </w:pPr>
      <w:r>
        <w:rPr>
          <w:b/>
          <w:sz w:val="32"/>
          <w:szCs w:val="32"/>
        </w:rPr>
        <w:br w:type="page"/>
      </w:r>
    </w:p>
    <w:p w14:paraId="70A34359"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1DD5A7E1" w14:textId="75154340" w:rsidR="00872CCF" w:rsidRDefault="006A649A" w:rsidP="00C737AD">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86B06C0" w14:textId="77777777" w:rsidR="004B0DF7" w:rsidRDefault="007F7D11" w:rsidP="00AE1188">
      <w:pPr>
        <w:ind w:left="426"/>
      </w:pPr>
      <w:r>
        <w:t xml:space="preserve">The cost of providing the service is likely to be </w:t>
      </w:r>
      <w:proofErr w:type="gramStart"/>
      <w:r>
        <w:t>similar to</w:t>
      </w:r>
      <w:proofErr w:type="gramEnd"/>
      <w:r>
        <w:t xml:space="preserve"> DXA scans and a similar fee is proposed.</w:t>
      </w:r>
      <w:r w:rsidR="00A80CAC">
        <w:t xml:space="preserve"> Both procedures involve</w:t>
      </w:r>
      <w:r w:rsidR="004B0DF7">
        <w:t>:</w:t>
      </w:r>
    </w:p>
    <w:p w14:paraId="7B1E8035" w14:textId="67F493CC" w:rsidR="004B0DF7" w:rsidRDefault="004B0DF7" w:rsidP="004B0DF7">
      <w:pPr>
        <w:pStyle w:val="ListParagraph"/>
        <w:numPr>
          <w:ilvl w:val="0"/>
          <w:numId w:val="47"/>
        </w:numPr>
      </w:pPr>
      <w:r>
        <w:t>Device purchase</w:t>
      </w:r>
    </w:p>
    <w:p w14:paraId="629E151A" w14:textId="4ABCA418" w:rsidR="004B0DF7" w:rsidRDefault="004B0DF7" w:rsidP="004B0DF7">
      <w:pPr>
        <w:pStyle w:val="ListParagraph"/>
        <w:numPr>
          <w:ilvl w:val="0"/>
          <w:numId w:val="47"/>
        </w:numPr>
      </w:pPr>
      <w:r>
        <w:t>Staff training to competency</w:t>
      </w:r>
    </w:p>
    <w:p w14:paraId="7D71F9E8" w14:textId="11672B15" w:rsidR="004B0DF7" w:rsidRDefault="00A80CAC" w:rsidP="004B0DF7">
      <w:pPr>
        <w:pStyle w:val="ListParagraph"/>
        <w:numPr>
          <w:ilvl w:val="0"/>
          <w:numId w:val="47"/>
        </w:numPr>
      </w:pPr>
      <w:r>
        <w:t>patient preparation</w:t>
      </w:r>
      <w:r w:rsidR="004B0DF7">
        <w:t xml:space="preserve"> and consumables</w:t>
      </w:r>
    </w:p>
    <w:p w14:paraId="34AE9E46" w14:textId="3401F2E5" w:rsidR="004B0DF7" w:rsidRDefault="004B0DF7" w:rsidP="004B0DF7">
      <w:pPr>
        <w:pStyle w:val="ListParagraph"/>
        <w:numPr>
          <w:ilvl w:val="0"/>
          <w:numId w:val="47"/>
        </w:numPr>
      </w:pPr>
      <w:r>
        <w:t xml:space="preserve">Staff salary time to perform </w:t>
      </w:r>
      <w:r w:rsidR="00A80CAC">
        <w:t xml:space="preserve">the scan and </w:t>
      </w:r>
    </w:p>
    <w:p w14:paraId="7C9752A9" w14:textId="76153FAB" w:rsidR="007F7D11" w:rsidRDefault="00A80CAC" w:rsidP="006C7AAD">
      <w:pPr>
        <w:pStyle w:val="ListParagraph"/>
        <w:numPr>
          <w:ilvl w:val="0"/>
          <w:numId w:val="47"/>
        </w:numPr>
      </w:pPr>
      <w:r>
        <w:t>interpretation recording by a Specialist</w:t>
      </w:r>
      <w:r w:rsidR="009D4AA0">
        <w:t>/</w:t>
      </w:r>
      <w:r w:rsidR="00F65E10">
        <w:t>Consultant Physician</w:t>
      </w:r>
      <w:r w:rsidR="009D4AA0">
        <w:t xml:space="preserve"> or trained Medical Practitioner</w:t>
      </w:r>
      <w:r>
        <w:t>.</w:t>
      </w:r>
    </w:p>
    <w:p w14:paraId="5D9F0C3A" w14:textId="611F744A" w:rsidR="007F7D11" w:rsidRDefault="004B0DF7" w:rsidP="00AE1188">
      <w:pPr>
        <w:ind w:left="426"/>
      </w:pPr>
      <w:r>
        <w:t>There may be some small cost savings v</w:t>
      </w:r>
      <w:r w:rsidR="00F01E90">
        <w:t>ersu</w:t>
      </w:r>
      <w:r>
        <w:t>s DXA in that the salary of a nurse is probably less than an ultrasonographer</w:t>
      </w:r>
      <w:r w:rsidR="00F01E90">
        <w:t>.</w:t>
      </w:r>
    </w:p>
    <w:p w14:paraId="3D949760" w14:textId="6764A6A6" w:rsidR="00872CCF" w:rsidRPr="00C737AD" w:rsidRDefault="007C2D1F" w:rsidP="00C737AD">
      <w:pPr>
        <w:ind w:left="426"/>
      </w:pPr>
      <w:r>
        <w:t>Note that t</w:t>
      </w:r>
      <w:r w:rsidR="00872CCF">
        <w:t xml:space="preserve">he </w:t>
      </w:r>
      <w:r>
        <w:t>likely cost breakdown is preliminary and will be</w:t>
      </w:r>
      <w:r w:rsidR="007F7D11">
        <w:t xml:space="preserve"> further</w:t>
      </w:r>
      <w:r>
        <w:t xml:space="preserve"> investigated with </w:t>
      </w:r>
      <w:r w:rsidR="007F7D11">
        <w:t xml:space="preserve">Australian </w:t>
      </w:r>
      <w:r>
        <w:t>Clinicians when preparing the listing submission.</w:t>
      </w:r>
    </w:p>
    <w:p w14:paraId="6A9E1FD4"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44121A9D" w14:textId="047ED258" w:rsidR="00872CCF" w:rsidRDefault="004B0DF7" w:rsidP="00AE1188">
      <w:pPr>
        <w:ind w:left="426"/>
      </w:pPr>
      <w:r>
        <w:t xml:space="preserve">Whilst the actual scan / </w:t>
      </w:r>
      <w:r w:rsidR="00A07671">
        <w:t xml:space="preserve">medical service typically takes around </w:t>
      </w:r>
      <w:r w:rsidR="007C2D1F">
        <w:t xml:space="preserve">2 minutes to perform, </w:t>
      </w:r>
      <w:r>
        <w:t xml:space="preserve">there is significant patient </w:t>
      </w:r>
      <w:r w:rsidR="007C2D1F">
        <w:t>e preparation time required.</w:t>
      </w:r>
      <w:r>
        <w:t xml:space="preserve">  This includes:</w:t>
      </w:r>
    </w:p>
    <w:p w14:paraId="6B68EAF2" w14:textId="2B367118" w:rsidR="004B0DF7" w:rsidRDefault="004B0DF7" w:rsidP="004B0DF7">
      <w:pPr>
        <w:pStyle w:val="ListParagraph"/>
        <w:numPr>
          <w:ilvl w:val="0"/>
          <w:numId w:val="48"/>
        </w:numPr>
      </w:pPr>
      <w:r>
        <w:t>Creating a patient file on the software</w:t>
      </w:r>
    </w:p>
    <w:p w14:paraId="561125F4" w14:textId="33F2E7A5" w:rsidR="004B0DF7" w:rsidRDefault="004B0DF7" w:rsidP="004B0DF7">
      <w:pPr>
        <w:pStyle w:val="ListParagraph"/>
        <w:numPr>
          <w:ilvl w:val="0"/>
          <w:numId w:val="48"/>
        </w:numPr>
      </w:pPr>
      <w:r>
        <w:t>Key risk factor questions</w:t>
      </w:r>
    </w:p>
    <w:p w14:paraId="08AD71D2" w14:textId="668F29AF" w:rsidR="004B0DF7" w:rsidRDefault="004B0DF7" w:rsidP="004B0DF7">
      <w:pPr>
        <w:pStyle w:val="ListParagraph"/>
        <w:numPr>
          <w:ilvl w:val="0"/>
          <w:numId w:val="48"/>
        </w:numPr>
      </w:pPr>
      <w:r>
        <w:t>The patient preparing for the scan and removing some clothing</w:t>
      </w:r>
    </w:p>
    <w:p w14:paraId="1D3F17E3" w14:textId="43C68245" w:rsidR="004B0DF7" w:rsidRDefault="004B0DF7" w:rsidP="004B0DF7">
      <w:pPr>
        <w:pStyle w:val="ListParagraph"/>
        <w:numPr>
          <w:ilvl w:val="0"/>
          <w:numId w:val="48"/>
        </w:numPr>
      </w:pPr>
      <w:r>
        <w:t>Positioning on the examination table (not always easy for elderly or those with mobility issues)</w:t>
      </w:r>
    </w:p>
    <w:p w14:paraId="3180710D" w14:textId="67144DEF" w:rsidR="004B0DF7" w:rsidRDefault="004B0DF7" w:rsidP="004B0DF7">
      <w:pPr>
        <w:pStyle w:val="ListParagraph"/>
        <w:numPr>
          <w:ilvl w:val="0"/>
          <w:numId w:val="48"/>
        </w:numPr>
      </w:pPr>
      <w:r>
        <w:t>Adjusting the REMS settings are accordingly</w:t>
      </w:r>
    </w:p>
    <w:p w14:paraId="10FEAF94" w14:textId="32745CB6" w:rsidR="00C6691F" w:rsidRDefault="00C6691F" w:rsidP="004B0DF7">
      <w:pPr>
        <w:pStyle w:val="ListParagraph"/>
        <w:numPr>
          <w:ilvl w:val="0"/>
          <w:numId w:val="48"/>
        </w:numPr>
      </w:pPr>
      <w:r>
        <w:t>Positioning and re-positioning the probe in the correct position for each scan (1-3 minutes depending on body size/shape/BMI etc.).</w:t>
      </w:r>
    </w:p>
    <w:p w14:paraId="17B08646" w14:textId="0EB21AE2" w:rsidR="004B0DF7" w:rsidRDefault="004B0DF7" w:rsidP="004B0DF7">
      <w:pPr>
        <w:pStyle w:val="ListParagraph"/>
        <w:numPr>
          <w:ilvl w:val="0"/>
          <w:numId w:val="48"/>
        </w:numPr>
      </w:pPr>
      <w:r>
        <w:t xml:space="preserve">Conducting the scan (1-2 minutes per site) </w:t>
      </w:r>
    </w:p>
    <w:p w14:paraId="61BE127C" w14:textId="04F6A335" w:rsidR="009B7020" w:rsidRDefault="009B7020" w:rsidP="009D4AA0">
      <w:pPr>
        <w:pStyle w:val="ListParagraph"/>
        <w:numPr>
          <w:ilvl w:val="1"/>
          <w:numId w:val="48"/>
        </w:numPr>
      </w:pPr>
      <w:r>
        <w:t xml:space="preserve">Importantly, the specialists we have spoken to have suggested that if possible – all three reference sites be scanned and that an average of the final patient’s T-score be determined as the average across multiple sites. </w:t>
      </w:r>
    </w:p>
    <w:p w14:paraId="12EB2E9A" w14:textId="54C6E712" w:rsidR="00872CCF" w:rsidRPr="00C737AD" w:rsidRDefault="004B0DF7" w:rsidP="00C737AD">
      <w:pPr>
        <w:pStyle w:val="ListParagraph"/>
        <w:numPr>
          <w:ilvl w:val="0"/>
          <w:numId w:val="48"/>
        </w:numPr>
      </w:pPr>
      <w:r>
        <w:t>Ensuring the scan is valid and repeating the scan if found to be in-sufficient (this is determined immediately so the operator can repeat the scan without having to ask the patient to return)</w:t>
      </w:r>
    </w:p>
    <w:p w14:paraId="3025061C"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17681EBD" w14:textId="27C94908" w:rsidR="00AE1188" w:rsidRPr="00AE1188" w:rsidRDefault="00AE1188" w:rsidP="00C737AD">
      <w:pPr>
        <w:pBdr>
          <w:top w:val="single" w:sz="4" w:space="1" w:color="auto"/>
          <w:left w:val="single" w:sz="4" w:space="0" w:color="auto"/>
          <w:bottom w:val="single" w:sz="4" w:space="1" w:color="auto"/>
          <w:right w:val="single" w:sz="4" w:space="1" w:color="auto"/>
          <w:between w:val="single" w:sz="4" w:space="1" w:color="auto"/>
          <w:bar w:val="single" w:sz="4" w:color="auto"/>
        </w:pBdr>
        <w:rPr>
          <w:szCs w:val="20"/>
        </w:rPr>
      </w:pPr>
      <w:r>
        <w:rPr>
          <w:szCs w:val="20"/>
        </w:rPr>
        <w:t xml:space="preserve">Category </w:t>
      </w:r>
      <w:r w:rsidR="00A07671">
        <w:rPr>
          <w:szCs w:val="20"/>
        </w:rPr>
        <w:t>2: Diagnostic Procedures and Investigations</w:t>
      </w:r>
      <w:r w:rsidRPr="00AE1188">
        <w:rPr>
          <w:szCs w:val="20"/>
        </w:rPr>
        <w:t xml:space="preserve"> – </w:t>
      </w:r>
      <w:r w:rsidR="00A07671">
        <w:rPr>
          <w:szCs w:val="20"/>
        </w:rPr>
        <w:t>DN.1.18</w:t>
      </w:r>
      <w:r w:rsidR="007C2D1F">
        <w:rPr>
          <w:szCs w:val="20"/>
        </w:rPr>
        <w:t xml:space="preserve"> </w:t>
      </w:r>
      <w:r w:rsidR="00A07671">
        <w:rPr>
          <w:szCs w:val="20"/>
        </w:rPr>
        <w:t>Bone densitometry</w:t>
      </w:r>
    </w:p>
    <w:p w14:paraId="349CC007" w14:textId="6D9B6E76" w:rsidR="00AE1188" w:rsidRPr="00AE1188" w:rsidRDefault="00AE1188" w:rsidP="00C737AD">
      <w:pPr>
        <w:pBdr>
          <w:top w:val="single" w:sz="4" w:space="1" w:color="auto"/>
          <w:left w:val="single" w:sz="4" w:space="0" w:color="auto"/>
          <w:bottom w:val="single" w:sz="4" w:space="1" w:color="auto"/>
          <w:right w:val="single" w:sz="4" w:space="1" w:color="auto"/>
        </w:pBdr>
        <w:rPr>
          <w:szCs w:val="20"/>
        </w:rPr>
      </w:pPr>
      <w:r w:rsidRPr="00AE1188">
        <w:rPr>
          <w:szCs w:val="20"/>
        </w:rPr>
        <w:t>Proposed item descriptor</w:t>
      </w:r>
      <w:r>
        <w:rPr>
          <w:szCs w:val="20"/>
        </w:rPr>
        <w:t xml:space="preserve">: </w:t>
      </w:r>
      <w:r w:rsidR="007C2D1F">
        <w:t xml:space="preserve">See </w:t>
      </w:r>
      <w:r w:rsidR="007F7D11">
        <w:fldChar w:fldCharType="begin"/>
      </w:r>
      <w:r w:rsidR="007F7D11">
        <w:instrText xml:space="preserve"> REF _Ref61359728 \h </w:instrText>
      </w:r>
      <w:r w:rsidR="007F7D11">
        <w:fldChar w:fldCharType="separate"/>
      </w:r>
      <w:r w:rsidR="00B363E0">
        <w:t xml:space="preserve">Table </w:t>
      </w:r>
      <w:r w:rsidR="00B363E0">
        <w:rPr>
          <w:noProof/>
        </w:rPr>
        <w:t>5</w:t>
      </w:r>
      <w:r w:rsidR="007F7D11">
        <w:fldChar w:fldCharType="end"/>
      </w:r>
    </w:p>
    <w:p w14:paraId="4310E992" w14:textId="57F6F04F" w:rsidR="007C2D1F" w:rsidRDefault="00AE1188" w:rsidP="00C737AD">
      <w:pPr>
        <w:pBdr>
          <w:top w:val="single" w:sz="4" w:space="1" w:color="auto"/>
          <w:left w:val="single" w:sz="4" w:space="0" w:color="auto"/>
          <w:bottom w:val="single" w:sz="4" w:space="1" w:color="auto"/>
          <w:right w:val="single" w:sz="4" w:space="1" w:color="auto"/>
        </w:pBdr>
        <w:rPr>
          <w:szCs w:val="20"/>
        </w:rPr>
      </w:pPr>
      <w:r w:rsidRPr="00AE1188">
        <w:rPr>
          <w:szCs w:val="20"/>
        </w:rPr>
        <w:t xml:space="preserve">Fee:  </w:t>
      </w:r>
      <w:r w:rsidR="007F7D11">
        <w:t xml:space="preserve">See  </w:t>
      </w:r>
      <w:r w:rsidR="007F7D11">
        <w:fldChar w:fldCharType="begin"/>
      </w:r>
      <w:r w:rsidR="007F7D11">
        <w:instrText xml:space="preserve"> REF _Ref61359728 \h </w:instrText>
      </w:r>
      <w:r w:rsidR="007F7D11">
        <w:fldChar w:fldCharType="separate"/>
      </w:r>
      <w:r w:rsidR="00B363E0">
        <w:t xml:space="preserve">Table </w:t>
      </w:r>
      <w:r w:rsidR="00B363E0">
        <w:rPr>
          <w:noProof/>
        </w:rPr>
        <w:t>5</w:t>
      </w:r>
      <w:r w:rsidR="007F7D11">
        <w:fldChar w:fldCharType="end"/>
      </w:r>
    </w:p>
    <w:p w14:paraId="7BB4D079" w14:textId="3D81FDF8" w:rsidR="007F7D11" w:rsidRDefault="007F7D11" w:rsidP="007C2D1F">
      <w:pPr>
        <w:ind w:left="426"/>
        <w:rPr>
          <w:szCs w:val="20"/>
        </w:rPr>
      </w:pPr>
      <w:r>
        <w:rPr>
          <w:szCs w:val="20"/>
        </w:rPr>
        <w:t xml:space="preserve">The proposed MBS item descriptors and fees are provided in </w:t>
      </w:r>
      <w:r>
        <w:rPr>
          <w:szCs w:val="20"/>
        </w:rPr>
        <w:fldChar w:fldCharType="begin"/>
      </w:r>
      <w:r>
        <w:rPr>
          <w:szCs w:val="20"/>
        </w:rPr>
        <w:instrText xml:space="preserve"> REF _Ref61359728 \h </w:instrText>
      </w:r>
      <w:r>
        <w:rPr>
          <w:szCs w:val="20"/>
        </w:rPr>
      </w:r>
      <w:r>
        <w:rPr>
          <w:szCs w:val="20"/>
        </w:rPr>
        <w:fldChar w:fldCharType="separate"/>
      </w:r>
      <w:r w:rsidR="00B363E0">
        <w:t xml:space="preserve">Table </w:t>
      </w:r>
      <w:r w:rsidR="00B363E0">
        <w:rPr>
          <w:noProof/>
        </w:rPr>
        <w:t>5</w:t>
      </w:r>
      <w:r>
        <w:rPr>
          <w:szCs w:val="20"/>
        </w:rPr>
        <w:fldChar w:fldCharType="end"/>
      </w:r>
      <w:r>
        <w:rPr>
          <w:szCs w:val="20"/>
        </w:rPr>
        <w:t xml:space="preserve">. The </w:t>
      </w:r>
      <w:r w:rsidR="0098095C">
        <w:rPr>
          <w:szCs w:val="20"/>
        </w:rPr>
        <w:t xml:space="preserve">proposed </w:t>
      </w:r>
      <w:r>
        <w:rPr>
          <w:szCs w:val="20"/>
        </w:rPr>
        <w:t>wording and fee</w:t>
      </w:r>
      <w:r w:rsidR="0098095C">
        <w:rPr>
          <w:szCs w:val="20"/>
        </w:rPr>
        <w:t>s</w:t>
      </w:r>
      <w:r>
        <w:rPr>
          <w:szCs w:val="20"/>
        </w:rPr>
        <w:t xml:space="preserve"> are analogous to the DXA scanning items, with added/substituted wording in grey highlight and deleted wording crossed out.</w:t>
      </w:r>
    </w:p>
    <w:p w14:paraId="64CD0B6E" w14:textId="77777777" w:rsidR="007F7D11" w:rsidRPr="007C2D1F" w:rsidRDefault="007F7D11" w:rsidP="007C2D1F">
      <w:pPr>
        <w:ind w:left="426"/>
        <w:rPr>
          <w:szCs w:val="20"/>
        </w:rPr>
      </w:pPr>
    </w:p>
    <w:p w14:paraId="671C28C8" w14:textId="77777777" w:rsidR="00C737AD" w:rsidRDefault="00C737AD">
      <w:pPr>
        <w:spacing w:before="0" w:after="200" w:line="276" w:lineRule="auto"/>
        <w:rPr>
          <w:i/>
          <w:iCs/>
          <w:color w:val="1F497D" w:themeColor="text2"/>
          <w:sz w:val="18"/>
          <w:szCs w:val="18"/>
        </w:rPr>
      </w:pPr>
      <w:bookmarkStart w:id="8" w:name="_Ref61359728"/>
      <w:r>
        <w:br w:type="page"/>
      </w:r>
    </w:p>
    <w:p w14:paraId="19946DD6" w14:textId="76F9C58A" w:rsidR="007C2D1F" w:rsidRPr="007C2D1F" w:rsidRDefault="007C2D1F" w:rsidP="008332F0">
      <w:pPr>
        <w:pStyle w:val="Caption"/>
        <w:ind w:left="426"/>
        <w:rPr>
          <w:szCs w:val="20"/>
        </w:rPr>
      </w:pPr>
      <w:r>
        <w:lastRenderedPageBreak/>
        <w:t xml:space="preserve">Table </w:t>
      </w:r>
      <w:r w:rsidR="00D63788">
        <w:fldChar w:fldCharType="begin"/>
      </w:r>
      <w:r w:rsidR="00D63788">
        <w:instrText xml:space="preserve"> SEQ Table \* ARABIC </w:instrText>
      </w:r>
      <w:r w:rsidR="00D63788">
        <w:fldChar w:fldCharType="separate"/>
      </w:r>
      <w:r w:rsidR="00B363E0">
        <w:rPr>
          <w:noProof/>
        </w:rPr>
        <w:t>5</w:t>
      </w:r>
      <w:r w:rsidR="00D63788">
        <w:rPr>
          <w:noProof/>
        </w:rPr>
        <w:fldChar w:fldCharType="end"/>
      </w:r>
      <w:bookmarkEnd w:id="8"/>
      <w:r>
        <w:t>: Proposed MBS item descriptors and fees</w:t>
      </w:r>
    </w:p>
    <w:tbl>
      <w:tblPr>
        <w:tblStyle w:val="TableGrid"/>
        <w:tblW w:w="0" w:type="auto"/>
        <w:tblInd w:w="426" w:type="dxa"/>
        <w:tblLook w:val="04A0" w:firstRow="1" w:lastRow="0" w:firstColumn="1" w:lastColumn="0" w:noHBand="0" w:noVBand="1"/>
      </w:tblPr>
      <w:tblGrid>
        <w:gridCol w:w="1124"/>
        <w:gridCol w:w="5705"/>
        <w:gridCol w:w="1761"/>
      </w:tblGrid>
      <w:tr w:rsidR="00137487" w:rsidRPr="007F7D11" w14:paraId="6115EB37" w14:textId="77777777" w:rsidTr="007F7D11">
        <w:trPr>
          <w:tblHeader/>
        </w:trPr>
        <w:tc>
          <w:tcPr>
            <w:tcW w:w="8590" w:type="dxa"/>
            <w:gridSpan w:val="3"/>
            <w:shd w:val="clear" w:color="auto" w:fill="BFBFBF" w:themeFill="background1" w:themeFillShade="BF"/>
          </w:tcPr>
          <w:p w14:paraId="3CE2BA68" w14:textId="2983CB3A" w:rsidR="00137487" w:rsidRPr="007F7D11" w:rsidRDefault="00137487" w:rsidP="00137487">
            <w:pPr>
              <w:rPr>
                <w:b/>
                <w:bCs/>
                <w:szCs w:val="20"/>
              </w:rPr>
            </w:pPr>
            <w:r w:rsidRPr="007F7D11">
              <w:rPr>
                <w:b/>
                <w:bCs/>
                <w:szCs w:val="20"/>
              </w:rPr>
              <w:t xml:space="preserve">Category 2: Diagnostic Procedures and Investigations – DN.1.18 Bone </w:t>
            </w:r>
            <w:r>
              <w:rPr>
                <w:b/>
                <w:bCs/>
                <w:szCs w:val="20"/>
              </w:rPr>
              <w:t>D</w:t>
            </w:r>
            <w:r w:rsidRPr="007F7D11">
              <w:rPr>
                <w:b/>
                <w:bCs/>
                <w:szCs w:val="20"/>
              </w:rPr>
              <w:t>ensitometry</w:t>
            </w:r>
          </w:p>
        </w:tc>
      </w:tr>
      <w:tr w:rsidR="00137487" w:rsidRPr="007F7D11" w14:paraId="393917D9" w14:textId="40B2CF51" w:rsidTr="00137487">
        <w:trPr>
          <w:tblHeader/>
        </w:trPr>
        <w:tc>
          <w:tcPr>
            <w:tcW w:w="1124" w:type="dxa"/>
            <w:shd w:val="clear" w:color="auto" w:fill="BFBFBF" w:themeFill="background1" w:themeFillShade="BF"/>
          </w:tcPr>
          <w:p w14:paraId="6CEE5879" w14:textId="0B3D5BEE" w:rsidR="00137487" w:rsidRPr="007F7D11" w:rsidRDefault="00137487" w:rsidP="00137487">
            <w:pPr>
              <w:rPr>
                <w:b/>
                <w:bCs/>
                <w:szCs w:val="20"/>
              </w:rPr>
            </w:pPr>
            <w:r w:rsidRPr="007F7D11">
              <w:rPr>
                <w:b/>
                <w:bCs/>
                <w:szCs w:val="20"/>
              </w:rPr>
              <w:t>Analogous to MBS DXA item</w:t>
            </w:r>
          </w:p>
        </w:tc>
        <w:tc>
          <w:tcPr>
            <w:tcW w:w="5705" w:type="dxa"/>
            <w:shd w:val="clear" w:color="auto" w:fill="BFBFBF" w:themeFill="background1" w:themeFillShade="BF"/>
          </w:tcPr>
          <w:p w14:paraId="0EC51165" w14:textId="4BFC600C" w:rsidR="00137487" w:rsidRPr="007F7D11" w:rsidRDefault="00137487" w:rsidP="00137487">
            <w:pPr>
              <w:rPr>
                <w:b/>
                <w:bCs/>
                <w:szCs w:val="20"/>
              </w:rPr>
            </w:pPr>
            <w:r w:rsidRPr="007F7D11">
              <w:rPr>
                <w:b/>
                <w:bCs/>
                <w:szCs w:val="20"/>
              </w:rPr>
              <w:t>Proposed item descriptor</w:t>
            </w:r>
          </w:p>
        </w:tc>
        <w:tc>
          <w:tcPr>
            <w:tcW w:w="1761" w:type="dxa"/>
            <w:shd w:val="clear" w:color="auto" w:fill="BFBFBF" w:themeFill="background1" w:themeFillShade="BF"/>
          </w:tcPr>
          <w:p w14:paraId="26C83CEE" w14:textId="2BFD9B1B" w:rsidR="00137487" w:rsidRPr="007F7D11" w:rsidRDefault="00137487" w:rsidP="00137487">
            <w:pPr>
              <w:rPr>
                <w:b/>
                <w:bCs/>
                <w:szCs w:val="20"/>
              </w:rPr>
            </w:pPr>
            <w:r w:rsidRPr="007F7D11">
              <w:rPr>
                <w:b/>
                <w:bCs/>
                <w:szCs w:val="20"/>
              </w:rPr>
              <w:t>Proposed Fee*</w:t>
            </w:r>
          </w:p>
        </w:tc>
      </w:tr>
      <w:tr w:rsidR="00137487" w14:paraId="2D7B5B68" w14:textId="6AD63C84" w:rsidTr="00137487">
        <w:tc>
          <w:tcPr>
            <w:tcW w:w="1124" w:type="dxa"/>
          </w:tcPr>
          <w:p w14:paraId="5E54B699" w14:textId="3B34201E" w:rsidR="00137487" w:rsidRDefault="00137487" w:rsidP="00137487">
            <w:pPr>
              <w:rPr>
                <w:szCs w:val="20"/>
              </w:rPr>
            </w:pPr>
            <w:r>
              <w:rPr>
                <w:szCs w:val="20"/>
              </w:rPr>
              <w:t>12306</w:t>
            </w:r>
          </w:p>
        </w:tc>
        <w:tc>
          <w:tcPr>
            <w:tcW w:w="5705" w:type="dxa"/>
          </w:tcPr>
          <w:p w14:paraId="5148DF82" w14:textId="59C0F969" w:rsidR="00137487" w:rsidRPr="001F42A5" w:rsidRDefault="00137487" w:rsidP="00137487">
            <w:pPr>
              <w:rPr>
                <w:szCs w:val="20"/>
              </w:rPr>
            </w:pPr>
            <w:r w:rsidRPr="001F42A5">
              <w:rPr>
                <w:szCs w:val="20"/>
              </w:rPr>
              <w:t>Bone densitometry, using Radiofrequency Echographic Multi Spectrometry dual energy Xray absorptiometry, involving the measurement of 2 or more sites (including interpretation and reporting), for:</w:t>
            </w:r>
          </w:p>
          <w:p w14:paraId="73B35298" w14:textId="72351958" w:rsidR="00137487" w:rsidRPr="001F42A5" w:rsidRDefault="00137487" w:rsidP="00137487">
            <w:pPr>
              <w:rPr>
                <w:szCs w:val="20"/>
              </w:rPr>
            </w:pPr>
            <w:r w:rsidRPr="001F42A5">
              <w:rPr>
                <w:szCs w:val="20"/>
              </w:rPr>
              <w:t xml:space="preserve">(a) confirmation of a presumptive diagnosis of low bone mineral density made </w:t>
            </w:r>
            <w:proofErr w:type="gramStart"/>
            <w:r w:rsidRPr="001F42A5">
              <w:rPr>
                <w:szCs w:val="20"/>
              </w:rPr>
              <w:t>on the basis of</w:t>
            </w:r>
            <w:proofErr w:type="gramEnd"/>
            <w:r w:rsidRPr="001F42A5">
              <w:rPr>
                <w:szCs w:val="20"/>
              </w:rPr>
              <w:t xml:space="preserve"> one or more fractures occurring after minimal trauma; or</w:t>
            </w:r>
          </w:p>
          <w:p w14:paraId="41747F4A" w14:textId="7A301026" w:rsidR="00137487" w:rsidRPr="001F42A5" w:rsidRDefault="00137487" w:rsidP="00137487">
            <w:pPr>
              <w:rPr>
                <w:szCs w:val="20"/>
              </w:rPr>
            </w:pPr>
            <w:r w:rsidRPr="001F42A5">
              <w:rPr>
                <w:szCs w:val="20"/>
              </w:rPr>
              <w:t xml:space="preserve">(b) monitoring of low bone mineral density proven by bone densitometry at least 12 months </w:t>
            </w:r>
            <w:proofErr w:type="gramStart"/>
            <w:r w:rsidRPr="001F42A5">
              <w:rPr>
                <w:szCs w:val="20"/>
              </w:rPr>
              <w:t>previously;</w:t>
            </w:r>
            <w:proofErr w:type="gramEnd"/>
          </w:p>
          <w:p w14:paraId="2D440D48" w14:textId="544B3694" w:rsidR="00137487" w:rsidRPr="001F42A5" w:rsidRDefault="00137487" w:rsidP="00137487">
            <w:pPr>
              <w:rPr>
                <w:szCs w:val="20"/>
              </w:rPr>
            </w:pPr>
            <w:r w:rsidRPr="001F42A5">
              <w:rPr>
                <w:szCs w:val="20"/>
              </w:rPr>
              <w:t xml:space="preserve">other than a service associated with a service to which item 12312, 12315 or 12321 </w:t>
            </w:r>
            <w:r w:rsidRPr="001F42A5">
              <w:rPr>
                <w:szCs w:val="20"/>
                <w:highlight w:val="lightGray"/>
              </w:rPr>
              <w:t>tbc</w:t>
            </w:r>
            <w:r w:rsidRPr="001F42A5">
              <w:rPr>
                <w:szCs w:val="20"/>
              </w:rPr>
              <w:t xml:space="preserve"> applies</w:t>
            </w:r>
          </w:p>
          <w:p w14:paraId="72EDF275" w14:textId="6479C094" w:rsidR="00137487" w:rsidRPr="001F42A5" w:rsidRDefault="00137487" w:rsidP="00137487">
            <w:pPr>
              <w:rPr>
                <w:szCs w:val="20"/>
              </w:rPr>
            </w:pPr>
            <w:r w:rsidRPr="001F42A5">
              <w:rPr>
                <w:szCs w:val="20"/>
              </w:rPr>
              <w:t xml:space="preserve">For any particular patient, once only in a </w:t>
            </w:r>
            <w:proofErr w:type="gramStart"/>
            <w:r w:rsidRPr="001F42A5">
              <w:rPr>
                <w:szCs w:val="20"/>
              </w:rPr>
              <w:t>24 month</w:t>
            </w:r>
            <w:proofErr w:type="gramEnd"/>
            <w:r w:rsidRPr="001F42A5">
              <w:rPr>
                <w:szCs w:val="20"/>
              </w:rPr>
              <w:t xml:space="preserve"> period</w:t>
            </w:r>
          </w:p>
        </w:tc>
        <w:tc>
          <w:tcPr>
            <w:tcW w:w="1761" w:type="dxa"/>
          </w:tcPr>
          <w:p w14:paraId="37DC8DCA" w14:textId="2BC8668B" w:rsidR="00137487" w:rsidRDefault="00137487" w:rsidP="00137487">
            <w:pPr>
              <w:rPr>
                <w:szCs w:val="20"/>
              </w:rPr>
            </w:pPr>
            <w:r>
              <w:rPr>
                <w:szCs w:val="20"/>
              </w:rPr>
              <w:t>$105.60</w:t>
            </w:r>
          </w:p>
        </w:tc>
      </w:tr>
      <w:tr w:rsidR="00137487" w14:paraId="30AD723A" w14:textId="23383F59" w:rsidTr="00137487">
        <w:tc>
          <w:tcPr>
            <w:tcW w:w="1124" w:type="dxa"/>
          </w:tcPr>
          <w:p w14:paraId="706E63A5" w14:textId="6C781B48" w:rsidR="00137487" w:rsidRDefault="00137487" w:rsidP="00137487">
            <w:pPr>
              <w:rPr>
                <w:szCs w:val="20"/>
              </w:rPr>
            </w:pPr>
            <w:r>
              <w:rPr>
                <w:szCs w:val="20"/>
              </w:rPr>
              <w:t>12312</w:t>
            </w:r>
          </w:p>
        </w:tc>
        <w:tc>
          <w:tcPr>
            <w:tcW w:w="5705" w:type="dxa"/>
          </w:tcPr>
          <w:p w14:paraId="34324506" w14:textId="56BB911E" w:rsidR="00137487" w:rsidRPr="001F42A5" w:rsidRDefault="00137487" w:rsidP="00137487">
            <w:pPr>
              <w:rPr>
                <w:szCs w:val="20"/>
              </w:rPr>
            </w:pPr>
            <w:r w:rsidRPr="001F42A5">
              <w:rPr>
                <w:szCs w:val="20"/>
              </w:rPr>
              <w:t>Bone densitometry, using Echographic Multi Spectrometry dual energy Xray absorptiometry, involving the measurement of 2 or more sites (including interpretation and reporting) for diagnosis</w:t>
            </w:r>
          </w:p>
          <w:p w14:paraId="078EBFA4" w14:textId="38129C67" w:rsidR="00137487" w:rsidRPr="001F42A5" w:rsidRDefault="00137487" w:rsidP="00137487">
            <w:pPr>
              <w:rPr>
                <w:szCs w:val="20"/>
              </w:rPr>
            </w:pPr>
            <w:r w:rsidRPr="001F42A5">
              <w:rPr>
                <w:szCs w:val="20"/>
              </w:rPr>
              <w:t>and monitoring of bone loss associated with one or more of the following:</w:t>
            </w:r>
          </w:p>
          <w:p w14:paraId="0A5A9C7F" w14:textId="29D911E9" w:rsidR="00137487" w:rsidRPr="001F42A5" w:rsidRDefault="00137487" w:rsidP="00137487">
            <w:pPr>
              <w:rPr>
                <w:szCs w:val="20"/>
              </w:rPr>
            </w:pPr>
            <w:r w:rsidRPr="001F42A5">
              <w:rPr>
                <w:szCs w:val="20"/>
              </w:rPr>
              <w:t xml:space="preserve">(a) prolonged glucocorticoid </w:t>
            </w:r>
            <w:proofErr w:type="gramStart"/>
            <w:r w:rsidRPr="001F42A5">
              <w:rPr>
                <w:szCs w:val="20"/>
              </w:rPr>
              <w:t>therapy;</w:t>
            </w:r>
            <w:proofErr w:type="gramEnd"/>
          </w:p>
          <w:p w14:paraId="5132642A" w14:textId="29D78145" w:rsidR="00137487" w:rsidRPr="001F42A5" w:rsidRDefault="00137487" w:rsidP="00137487">
            <w:pPr>
              <w:rPr>
                <w:szCs w:val="20"/>
              </w:rPr>
            </w:pPr>
            <w:r w:rsidRPr="001F42A5">
              <w:rPr>
                <w:szCs w:val="20"/>
              </w:rPr>
              <w:t xml:space="preserve">(b) any condition associated with excess glucocorticoid </w:t>
            </w:r>
            <w:proofErr w:type="gramStart"/>
            <w:r w:rsidRPr="001F42A5">
              <w:rPr>
                <w:szCs w:val="20"/>
              </w:rPr>
              <w:t>secretion;</w:t>
            </w:r>
            <w:proofErr w:type="gramEnd"/>
          </w:p>
          <w:p w14:paraId="153989A9" w14:textId="163BD9D2" w:rsidR="00137487" w:rsidRPr="001F42A5" w:rsidRDefault="00137487" w:rsidP="00137487">
            <w:pPr>
              <w:rPr>
                <w:szCs w:val="20"/>
              </w:rPr>
            </w:pPr>
            <w:r w:rsidRPr="001F42A5">
              <w:rPr>
                <w:szCs w:val="20"/>
              </w:rPr>
              <w:t xml:space="preserve">(c) male </w:t>
            </w:r>
            <w:proofErr w:type="gramStart"/>
            <w:r w:rsidRPr="001F42A5">
              <w:rPr>
                <w:szCs w:val="20"/>
              </w:rPr>
              <w:t>hypogonadism;</w:t>
            </w:r>
            <w:proofErr w:type="gramEnd"/>
          </w:p>
          <w:p w14:paraId="5B62C92C" w14:textId="13DB701A" w:rsidR="00137487" w:rsidRPr="001F42A5" w:rsidRDefault="00137487" w:rsidP="00137487">
            <w:pPr>
              <w:rPr>
                <w:szCs w:val="20"/>
              </w:rPr>
            </w:pPr>
            <w:r w:rsidRPr="001F42A5">
              <w:rPr>
                <w:szCs w:val="20"/>
              </w:rPr>
              <w:t xml:space="preserve">(d) female hypogonadism lasting more than 6 months before the age of </w:t>
            </w:r>
            <w:proofErr w:type="gramStart"/>
            <w:r w:rsidRPr="001F42A5">
              <w:rPr>
                <w:szCs w:val="20"/>
              </w:rPr>
              <w:t>45;</w:t>
            </w:r>
            <w:proofErr w:type="gramEnd"/>
          </w:p>
          <w:p w14:paraId="77CC8056" w14:textId="4622027A" w:rsidR="00137487" w:rsidRPr="001F42A5" w:rsidRDefault="00137487" w:rsidP="00137487">
            <w:pPr>
              <w:rPr>
                <w:szCs w:val="20"/>
              </w:rPr>
            </w:pPr>
            <w:r w:rsidRPr="001F42A5">
              <w:rPr>
                <w:szCs w:val="20"/>
              </w:rPr>
              <w:t>other than a service associated with a service to which item 12306, 12315 or 12321 tbc applies</w:t>
            </w:r>
          </w:p>
          <w:p w14:paraId="55F199FD" w14:textId="3F11BD44" w:rsidR="00137487" w:rsidRPr="001F42A5" w:rsidRDefault="00137487" w:rsidP="00137487">
            <w:pPr>
              <w:rPr>
                <w:szCs w:val="20"/>
              </w:rPr>
            </w:pPr>
            <w:r w:rsidRPr="001F42A5">
              <w:rPr>
                <w:szCs w:val="20"/>
              </w:rPr>
              <w:t xml:space="preserve">For any particular patient, once only in a </w:t>
            </w:r>
            <w:proofErr w:type="gramStart"/>
            <w:r w:rsidRPr="001F42A5">
              <w:rPr>
                <w:szCs w:val="20"/>
              </w:rPr>
              <w:t>12 month</w:t>
            </w:r>
            <w:proofErr w:type="gramEnd"/>
            <w:r w:rsidRPr="001F42A5">
              <w:rPr>
                <w:szCs w:val="20"/>
              </w:rPr>
              <w:t xml:space="preserve"> period</w:t>
            </w:r>
          </w:p>
        </w:tc>
        <w:tc>
          <w:tcPr>
            <w:tcW w:w="1761" w:type="dxa"/>
          </w:tcPr>
          <w:p w14:paraId="3FE2FF51" w14:textId="4212A09D" w:rsidR="00137487" w:rsidRDefault="00137487" w:rsidP="00137487">
            <w:pPr>
              <w:rPr>
                <w:szCs w:val="20"/>
              </w:rPr>
            </w:pPr>
            <w:r>
              <w:rPr>
                <w:szCs w:val="20"/>
              </w:rPr>
              <w:t>$105.60</w:t>
            </w:r>
          </w:p>
        </w:tc>
      </w:tr>
      <w:tr w:rsidR="00137487" w14:paraId="3E807C4B" w14:textId="026992EF" w:rsidTr="00137487">
        <w:tc>
          <w:tcPr>
            <w:tcW w:w="1124" w:type="dxa"/>
          </w:tcPr>
          <w:p w14:paraId="0903E374" w14:textId="51F70DFC" w:rsidR="00137487" w:rsidRDefault="00137487" w:rsidP="00137487">
            <w:pPr>
              <w:rPr>
                <w:szCs w:val="20"/>
              </w:rPr>
            </w:pPr>
            <w:r>
              <w:rPr>
                <w:szCs w:val="20"/>
              </w:rPr>
              <w:t>12315</w:t>
            </w:r>
          </w:p>
        </w:tc>
        <w:tc>
          <w:tcPr>
            <w:tcW w:w="5705" w:type="dxa"/>
          </w:tcPr>
          <w:p w14:paraId="044314CC" w14:textId="0DE04C6C" w:rsidR="00137487" w:rsidRPr="001F42A5" w:rsidRDefault="00137487" w:rsidP="00137487">
            <w:pPr>
              <w:rPr>
                <w:szCs w:val="20"/>
              </w:rPr>
            </w:pPr>
            <w:r w:rsidRPr="001F42A5">
              <w:rPr>
                <w:szCs w:val="20"/>
              </w:rPr>
              <w:t>Bone densitometry, using Echographic Multi Spectrometry dual energy Xray absorptiometry, involving the measurement of 2 or more sites (including interpretation and reporting) for diagnosis and monitoring of bone loss associated with one or more of the following conditions:</w:t>
            </w:r>
          </w:p>
          <w:p w14:paraId="1C819799" w14:textId="181C9D3B" w:rsidR="00137487" w:rsidRPr="001F42A5" w:rsidRDefault="00137487" w:rsidP="00137487">
            <w:pPr>
              <w:rPr>
                <w:szCs w:val="20"/>
              </w:rPr>
            </w:pPr>
            <w:r w:rsidRPr="001F42A5">
              <w:rPr>
                <w:szCs w:val="20"/>
              </w:rPr>
              <w:t xml:space="preserve">(a) primary </w:t>
            </w:r>
            <w:proofErr w:type="gramStart"/>
            <w:r w:rsidRPr="001F42A5">
              <w:rPr>
                <w:szCs w:val="20"/>
              </w:rPr>
              <w:t>hyperparathyroidism;</w:t>
            </w:r>
            <w:proofErr w:type="gramEnd"/>
          </w:p>
          <w:p w14:paraId="32A198FB" w14:textId="59B63716" w:rsidR="00137487" w:rsidRPr="001F42A5" w:rsidRDefault="00137487" w:rsidP="00137487">
            <w:pPr>
              <w:rPr>
                <w:szCs w:val="20"/>
              </w:rPr>
            </w:pPr>
            <w:r w:rsidRPr="001F42A5">
              <w:rPr>
                <w:szCs w:val="20"/>
              </w:rPr>
              <w:t xml:space="preserve">(b) chronic liver </w:t>
            </w:r>
            <w:proofErr w:type="gramStart"/>
            <w:r w:rsidRPr="001F42A5">
              <w:rPr>
                <w:szCs w:val="20"/>
              </w:rPr>
              <w:t>disease;</w:t>
            </w:r>
            <w:proofErr w:type="gramEnd"/>
          </w:p>
          <w:p w14:paraId="7C76AB33" w14:textId="56A44C7F" w:rsidR="00137487" w:rsidRPr="001F42A5" w:rsidRDefault="00137487" w:rsidP="00137487">
            <w:pPr>
              <w:rPr>
                <w:szCs w:val="20"/>
              </w:rPr>
            </w:pPr>
            <w:r w:rsidRPr="001F42A5">
              <w:rPr>
                <w:szCs w:val="20"/>
              </w:rPr>
              <w:t xml:space="preserve">(c) chronic renal </w:t>
            </w:r>
            <w:proofErr w:type="gramStart"/>
            <w:r w:rsidRPr="001F42A5">
              <w:rPr>
                <w:szCs w:val="20"/>
              </w:rPr>
              <w:t>disease;</w:t>
            </w:r>
            <w:proofErr w:type="gramEnd"/>
          </w:p>
          <w:p w14:paraId="6F92B172" w14:textId="655C7ED2" w:rsidR="00137487" w:rsidRPr="001F42A5" w:rsidRDefault="00137487" w:rsidP="00137487">
            <w:pPr>
              <w:rPr>
                <w:szCs w:val="20"/>
              </w:rPr>
            </w:pPr>
            <w:r w:rsidRPr="001F42A5">
              <w:rPr>
                <w:szCs w:val="20"/>
              </w:rPr>
              <w:t xml:space="preserve">(d) any proven malabsorptive </w:t>
            </w:r>
            <w:proofErr w:type="gramStart"/>
            <w:r w:rsidRPr="001F42A5">
              <w:rPr>
                <w:szCs w:val="20"/>
              </w:rPr>
              <w:t>disorder;</w:t>
            </w:r>
            <w:proofErr w:type="gramEnd"/>
          </w:p>
          <w:p w14:paraId="69AE4E3C" w14:textId="741860D0" w:rsidR="00137487" w:rsidRPr="001F42A5" w:rsidRDefault="00137487" w:rsidP="00137487">
            <w:pPr>
              <w:rPr>
                <w:szCs w:val="20"/>
              </w:rPr>
            </w:pPr>
            <w:r w:rsidRPr="001F42A5">
              <w:rPr>
                <w:szCs w:val="20"/>
              </w:rPr>
              <w:t xml:space="preserve">(e) rheumatoid </w:t>
            </w:r>
            <w:proofErr w:type="gramStart"/>
            <w:r w:rsidRPr="001F42A5">
              <w:rPr>
                <w:szCs w:val="20"/>
              </w:rPr>
              <w:t>arthritis;</w:t>
            </w:r>
            <w:proofErr w:type="gramEnd"/>
          </w:p>
          <w:p w14:paraId="5EFC3C52" w14:textId="40361188" w:rsidR="00137487" w:rsidRPr="001F42A5" w:rsidRDefault="00137487" w:rsidP="00137487">
            <w:pPr>
              <w:rPr>
                <w:szCs w:val="20"/>
              </w:rPr>
            </w:pPr>
            <w:r w:rsidRPr="001F42A5">
              <w:rPr>
                <w:szCs w:val="20"/>
              </w:rPr>
              <w:t xml:space="preserve">(f) any condition associated with thyroxine </w:t>
            </w:r>
            <w:proofErr w:type="gramStart"/>
            <w:r w:rsidRPr="001F42A5">
              <w:rPr>
                <w:szCs w:val="20"/>
              </w:rPr>
              <w:t>excess;</w:t>
            </w:r>
            <w:proofErr w:type="gramEnd"/>
          </w:p>
          <w:p w14:paraId="0DA2FE8B" w14:textId="26E3211A" w:rsidR="00137487" w:rsidRPr="001F42A5" w:rsidRDefault="00137487" w:rsidP="00137487">
            <w:pPr>
              <w:rPr>
                <w:szCs w:val="20"/>
              </w:rPr>
            </w:pPr>
            <w:r w:rsidRPr="001F42A5">
              <w:rPr>
                <w:szCs w:val="20"/>
              </w:rPr>
              <w:lastRenderedPageBreak/>
              <w:t>other than a service associated with a service to which item 12306, 12312 or 12321 tbc applies</w:t>
            </w:r>
          </w:p>
          <w:p w14:paraId="75399E72" w14:textId="160DC679" w:rsidR="00137487" w:rsidRPr="001F42A5" w:rsidRDefault="00137487" w:rsidP="00137487">
            <w:pPr>
              <w:rPr>
                <w:szCs w:val="20"/>
              </w:rPr>
            </w:pPr>
            <w:r w:rsidRPr="001F42A5">
              <w:rPr>
                <w:szCs w:val="20"/>
              </w:rPr>
              <w:t xml:space="preserve">For any </w:t>
            </w:r>
            <w:proofErr w:type="gramStart"/>
            <w:r w:rsidRPr="001F42A5">
              <w:rPr>
                <w:szCs w:val="20"/>
              </w:rPr>
              <w:t>particular patient</w:t>
            </w:r>
            <w:proofErr w:type="gramEnd"/>
            <w:r w:rsidRPr="001F42A5">
              <w:rPr>
                <w:szCs w:val="20"/>
              </w:rPr>
              <w:t>, once only in a 24</w:t>
            </w:r>
            <w:r w:rsidR="001F42A5">
              <w:rPr>
                <w:szCs w:val="20"/>
              </w:rPr>
              <w:t>-</w:t>
            </w:r>
            <w:r w:rsidRPr="001F42A5">
              <w:rPr>
                <w:szCs w:val="20"/>
              </w:rPr>
              <w:t>month period</w:t>
            </w:r>
          </w:p>
        </w:tc>
        <w:tc>
          <w:tcPr>
            <w:tcW w:w="1761" w:type="dxa"/>
          </w:tcPr>
          <w:p w14:paraId="27367966" w14:textId="5FA870C3" w:rsidR="00137487" w:rsidRDefault="00137487" w:rsidP="00137487">
            <w:pPr>
              <w:rPr>
                <w:szCs w:val="20"/>
              </w:rPr>
            </w:pPr>
            <w:r>
              <w:rPr>
                <w:szCs w:val="20"/>
              </w:rPr>
              <w:lastRenderedPageBreak/>
              <w:t>$105.60</w:t>
            </w:r>
          </w:p>
        </w:tc>
      </w:tr>
      <w:tr w:rsidR="00137487" w14:paraId="04B941DD" w14:textId="77777777" w:rsidTr="00137487">
        <w:tc>
          <w:tcPr>
            <w:tcW w:w="1124" w:type="dxa"/>
          </w:tcPr>
          <w:p w14:paraId="6D56CD27" w14:textId="73077425" w:rsidR="00137487" w:rsidRDefault="00137487" w:rsidP="00137487">
            <w:pPr>
              <w:rPr>
                <w:szCs w:val="20"/>
              </w:rPr>
            </w:pPr>
            <w:r>
              <w:rPr>
                <w:szCs w:val="20"/>
              </w:rPr>
              <w:t>12320</w:t>
            </w:r>
          </w:p>
        </w:tc>
        <w:tc>
          <w:tcPr>
            <w:tcW w:w="5705" w:type="dxa"/>
          </w:tcPr>
          <w:p w14:paraId="2FEA8341" w14:textId="7FFF9890" w:rsidR="00137487" w:rsidRPr="001F42A5" w:rsidRDefault="00137487" w:rsidP="00137487">
            <w:pPr>
              <w:rPr>
                <w:szCs w:val="20"/>
              </w:rPr>
            </w:pPr>
            <w:r w:rsidRPr="001F42A5">
              <w:rPr>
                <w:szCs w:val="20"/>
              </w:rPr>
              <w:t>Bone densitometry, using Echographic Multi Spectrometry dual energy Xray absorptiometry or quantitative computed tomography, involving the measurement of 2 or more sites (including interpretation and reporting) for measurement of bone mineral density, if:</w:t>
            </w:r>
          </w:p>
          <w:p w14:paraId="52BA14E7" w14:textId="4349CE99" w:rsidR="00137487" w:rsidRPr="001F42A5" w:rsidRDefault="00137487" w:rsidP="00137487">
            <w:pPr>
              <w:rPr>
                <w:szCs w:val="20"/>
              </w:rPr>
            </w:pPr>
            <w:r w:rsidRPr="001F42A5">
              <w:rPr>
                <w:szCs w:val="20"/>
              </w:rPr>
              <w:t>(a) the patient is 70 years of age or over, and</w:t>
            </w:r>
          </w:p>
          <w:p w14:paraId="47C0B5EA" w14:textId="4C4A176A" w:rsidR="00137487" w:rsidRPr="001F42A5" w:rsidRDefault="00137487" w:rsidP="00137487">
            <w:pPr>
              <w:rPr>
                <w:szCs w:val="20"/>
              </w:rPr>
            </w:pPr>
            <w:r w:rsidRPr="001F42A5">
              <w:rPr>
                <w:szCs w:val="20"/>
              </w:rPr>
              <w:t>(b) either:</w:t>
            </w:r>
          </w:p>
          <w:p w14:paraId="470F9D3C" w14:textId="7874872B" w:rsidR="00137487" w:rsidRPr="001F42A5" w:rsidRDefault="00137487" w:rsidP="00137487">
            <w:pPr>
              <w:rPr>
                <w:szCs w:val="20"/>
              </w:rPr>
            </w:pPr>
            <w:r w:rsidRPr="001F42A5">
              <w:rPr>
                <w:szCs w:val="20"/>
              </w:rPr>
              <w:t>(i) the patient has not previously had bone densitometry; or</w:t>
            </w:r>
          </w:p>
          <w:p w14:paraId="3D0FEEB9" w14:textId="2420AAF5" w:rsidR="00137487" w:rsidRPr="001F42A5" w:rsidRDefault="00137487" w:rsidP="00137487">
            <w:pPr>
              <w:rPr>
                <w:szCs w:val="20"/>
              </w:rPr>
            </w:pPr>
            <w:r w:rsidRPr="001F42A5">
              <w:rPr>
                <w:szCs w:val="20"/>
              </w:rPr>
              <w:t xml:space="preserve">(ii) the t-score for the patient's bone mineral density is -1.5 or </w:t>
            </w:r>
            <w:proofErr w:type="gramStart"/>
            <w:r w:rsidRPr="001F42A5">
              <w:rPr>
                <w:szCs w:val="20"/>
              </w:rPr>
              <w:t>more;</w:t>
            </w:r>
            <w:proofErr w:type="gramEnd"/>
          </w:p>
          <w:p w14:paraId="27460693" w14:textId="73E272F0" w:rsidR="00137487" w:rsidRPr="001F42A5" w:rsidRDefault="00137487" w:rsidP="00137487">
            <w:pPr>
              <w:rPr>
                <w:szCs w:val="20"/>
              </w:rPr>
            </w:pPr>
            <w:r w:rsidRPr="001F42A5">
              <w:rPr>
                <w:szCs w:val="20"/>
              </w:rPr>
              <w:t>other than a service associated with a service to which item 12306, 12312, 12315, 12321 or 12322 tbc applies</w:t>
            </w:r>
          </w:p>
          <w:p w14:paraId="36093007" w14:textId="51605494" w:rsidR="00137487" w:rsidRPr="001F42A5" w:rsidRDefault="00137487" w:rsidP="00137487">
            <w:pPr>
              <w:rPr>
                <w:szCs w:val="20"/>
              </w:rPr>
            </w:pPr>
            <w:r w:rsidRPr="001F42A5">
              <w:rPr>
                <w:szCs w:val="20"/>
              </w:rPr>
              <w:t xml:space="preserve">For any particular patient, once only in a </w:t>
            </w:r>
            <w:proofErr w:type="gramStart"/>
            <w:r w:rsidRPr="001F42A5">
              <w:rPr>
                <w:szCs w:val="20"/>
              </w:rPr>
              <w:t>5 year</w:t>
            </w:r>
            <w:proofErr w:type="gramEnd"/>
            <w:r w:rsidRPr="001F42A5">
              <w:rPr>
                <w:szCs w:val="20"/>
              </w:rPr>
              <w:t xml:space="preserve"> period</w:t>
            </w:r>
          </w:p>
        </w:tc>
        <w:tc>
          <w:tcPr>
            <w:tcW w:w="1761" w:type="dxa"/>
          </w:tcPr>
          <w:p w14:paraId="198454E3" w14:textId="5BFADEDA" w:rsidR="00137487" w:rsidRDefault="00137487" w:rsidP="00137487">
            <w:pPr>
              <w:rPr>
                <w:szCs w:val="20"/>
              </w:rPr>
            </w:pPr>
            <w:r>
              <w:rPr>
                <w:szCs w:val="20"/>
              </w:rPr>
              <w:t>$105.60</w:t>
            </w:r>
          </w:p>
        </w:tc>
      </w:tr>
      <w:tr w:rsidR="00137487" w14:paraId="476A6947" w14:textId="77777777" w:rsidTr="00137487">
        <w:tc>
          <w:tcPr>
            <w:tcW w:w="1124" w:type="dxa"/>
          </w:tcPr>
          <w:p w14:paraId="2EC051F8" w14:textId="32A8C00C" w:rsidR="00137487" w:rsidRDefault="00137487" w:rsidP="00137487">
            <w:pPr>
              <w:rPr>
                <w:szCs w:val="20"/>
              </w:rPr>
            </w:pPr>
            <w:r>
              <w:rPr>
                <w:szCs w:val="20"/>
              </w:rPr>
              <w:t>12321</w:t>
            </w:r>
          </w:p>
        </w:tc>
        <w:tc>
          <w:tcPr>
            <w:tcW w:w="5705" w:type="dxa"/>
          </w:tcPr>
          <w:p w14:paraId="2A33F19D" w14:textId="0EDC5D23" w:rsidR="00137487" w:rsidRPr="001F42A5" w:rsidRDefault="00137487" w:rsidP="00137487">
            <w:pPr>
              <w:rPr>
                <w:szCs w:val="20"/>
              </w:rPr>
            </w:pPr>
            <w:r w:rsidRPr="001F42A5">
              <w:rPr>
                <w:szCs w:val="20"/>
              </w:rPr>
              <w:t>Bone densitometry, using Echographic Multi Spectrometry dual energy Xray absorptiometry, involving the measurement of 2 or more sites at least 12 months after a significant change in therapy</w:t>
            </w:r>
          </w:p>
          <w:p w14:paraId="25C8E975" w14:textId="03D7816E" w:rsidR="00137487" w:rsidRPr="001F42A5" w:rsidRDefault="00137487" w:rsidP="00137487">
            <w:pPr>
              <w:rPr>
                <w:szCs w:val="20"/>
              </w:rPr>
            </w:pPr>
            <w:r w:rsidRPr="001F42A5">
              <w:rPr>
                <w:szCs w:val="20"/>
              </w:rPr>
              <w:t>(including interpretation and reporting), for:</w:t>
            </w:r>
          </w:p>
          <w:p w14:paraId="27B0E3AE" w14:textId="24403799" w:rsidR="00137487" w:rsidRPr="001F42A5" w:rsidRDefault="00137487" w:rsidP="00137487">
            <w:pPr>
              <w:rPr>
                <w:szCs w:val="20"/>
              </w:rPr>
            </w:pPr>
            <w:r w:rsidRPr="001F42A5">
              <w:rPr>
                <w:szCs w:val="20"/>
              </w:rPr>
              <w:t>(a) established low bone mineral density; or</w:t>
            </w:r>
          </w:p>
          <w:p w14:paraId="481B4A33" w14:textId="66D5DDF0" w:rsidR="00137487" w:rsidRPr="001F42A5" w:rsidRDefault="00137487" w:rsidP="00137487">
            <w:pPr>
              <w:rPr>
                <w:szCs w:val="20"/>
              </w:rPr>
            </w:pPr>
            <w:r w:rsidRPr="001F42A5">
              <w:rPr>
                <w:szCs w:val="20"/>
              </w:rPr>
              <w:t xml:space="preserve">(b) confirming a presumptive diagnosis of low bone mineral density made on the basis of one or more fractures occurring after minimal </w:t>
            </w:r>
            <w:proofErr w:type="gramStart"/>
            <w:r w:rsidRPr="001F42A5">
              <w:rPr>
                <w:szCs w:val="20"/>
              </w:rPr>
              <w:t>trauma;</w:t>
            </w:r>
            <w:proofErr w:type="gramEnd"/>
          </w:p>
          <w:p w14:paraId="59FA6503" w14:textId="37806E54" w:rsidR="00137487" w:rsidRPr="001F42A5" w:rsidRDefault="00137487" w:rsidP="00137487">
            <w:pPr>
              <w:rPr>
                <w:szCs w:val="20"/>
              </w:rPr>
            </w:pPr>
            <w:r w:rsidRPr="001F42A5">
              <w:rPr>
                <w:szCs w:val="20"/>
              </w:rPr>
              <w:t>other than a service associated with a service to which item 12306, 12312 or 12315 tbc applies</w:t>
            </w:r>
          </w:p>
          <w:p w14:paraId="2315586F" w14:textId="55155B30" w:rsidR="00137487" w:rsidRPr="001F42A5" w:rsidRDefault="00137487" w:rsidP="00137487">
            <w:pPr>
              <w:rPr>
                <w:szCs w:val="20"/>
              </w:rPr>
            </w:pPr>
            <w:r w:rsidRPr="001F42A5">
              <w:rPr>
                <w:szCs w:val="20"/>
              </w:rPr>
              <w:t xml:space="preserve">For any particular patient, once only in a </w:t>
            </w:r>
            <w:proofErr w:type="gramStart"/>
            <w:r w:rsidRPr="001F42A5">
              <w:rPr>
                <w:szCs w:val="20"/>
              </w:rPr>
              <w:t>12 month</w:t>
            </w:r>
            <w:proofErr w:type="gramEnd"/>
            <w:r w:rsidRPr="001F42A5">
              <w:rPr>
                <w:szCs w:val="20"/>
              </w:rPr>
              <w:t xml:space="preserve"> period</w:t>
            </w:r>
          </w:p>
        </w:tc>
        <w:tc>
          <w:tcPr>
            <w:tcW w:w="1761" w:type="dxa"/>
          </w:tcPr>
          <w:p w14:paraId="04EE5CCA" w14:textId="42442E42" w:rsidR="00137487" w:rsidRDefault="00137487" w:rsidP="00137487">
            <w:pPr>
              <w:rPr>
                <w:szCs w:val="20"/>
              </w:rPr>
            </w:pPr>
            <w:r>
              <w:rPr>
                <w:szCs w:val="20"/>
              </w:rPr>
              <w:t>$105.60</w:t>
            </w:r>
          </w:p>
        </w:tc>
      </w:tr>
      <w:tr w:rsidR="00137487" w14:paraId="6C1298C1" w14:textId="77777777" w:rsidTr="00137487">
        <w:tc>
          <w:tcPr>
            <w:tcW w:w="1124" w:type="dxa"/>
          </w:tcPr>
          <w:p w14:paraId="61F2FD8A" w14:textId="58196525" w:rsidR="00137487" w:rsidRDefault="00137487" w:rsidP="00137487">
            <w:pPr>
              <w:rPr>
                <w:szCs w:val="20"/>
              </w:rPr>
            </w:pPr>
            <w:r>
              <w:rPr>
                <w:szCs w:val="20"/>
              </w:rPr>
              <w:t>12322</w:t>
            </w:r>
          </w:p>
        </w:tc>
        <w:tc>
          <w:tcPr>
            <w:tcW w:w="5705" w:type="dxa"/>
          </w:tcPr>
          <w:p w14:paraId="5194FC11" w14:textId="614A2A0F" w:rsidR="00137487" w:rsidRPr="001F42A5" w:rsidRDefault="00137487" w:rsidP="00137487">
            <w:pPr>
              <w:rPr>
                <w:szCs w:val="20"/>
              </w:rPr>
            </w:pPr>
            <w:r w:rsidRPr="001F42A5">
              <w:rPr>
                <w:szCs w:val="20"/>
              </w:rPr>
              <w:t>Bone densitometry, using Echographic Multi Spectrometry dual energy Xray absorptiometry or quantitative computed tomography, involving the measurement of 2 or more sites (including interpretation and reporting) for measurement of bone mineral density, if:</w:t>
            </w:r>
          </w:p>
          <w:p w14:paraId="5B96EF77" w14:textId="60CA204B" w:rsidR="00137487" w:rsidRPr="001F42A5" w:rsidRDefault="00137487" w:rsidP="00137487">
            <w:pPr>
              <w:rPr>
                <w:szCs w:val="20"/>
              </w:rPr>
            </w:pPr>
            <w:r w:rsidRPr="001F42A5">
              <w:rPr>
                <w:szCs w:val="20"/>
              </w:rPr>
              <w:t>(a) the patient is 70 years of age or over; and</w:t>
            </w:r>
          </w:p>
          <w:p w14:paraId="486D9986" w14:textId="1F81EDAC" w:rsidR="00137487" w:rsidRPr="001F42A5" w:rsidRDefault="00137487" w:rsidP="00137487">
            <w:pPr>
              <w:rPr>
                <w:szCs w:val="20"/>
              </w:rPr>
            </w:pPr>
            <w:r w:rsidRPr="001F42A5">
              <w:rPr>
                <w:szCs w:val="20"/>
              </w:rPr>
              <w:t xml:space="preserve">(b) the tscore for the patient's bone mineral density is less than 1.5 but more than </w:t>
            </w:r>
            <w:proofErr w:type="gramStart"/>
            <w:r w:rsidRPr="001F42A5">
              <w:rPr>
                <w:szCs w:val="20"/>
              </w:rPr>
              <w:t>2.5;</w:t>
            </w:r>
            <w:proofErr w:type="gramEnd"/>
          </w:p>
          <w:p w14:paraId="2FA775BC" w14:textId="27222FF8" w:rsidR="00137487" w:rsidRPr="001F42A5" w:rsidRDefault="00137487" w:rsidP="00137487">
            <w:pPr>
              <w:rPr>
                <w:szCs w:val="20"/>
              </w:rPr>
            </w:pPr>
            <w:r w:rsidRPr="001F42A5">
              <w:rPr>
                <w:szCs w:val="20"/>
              </w:rPr>
              <w:t>other than a service associated with a service to which item 12306, 12312, 12315, 12320 or 12321 tbc applies</w:t>
            </w:r>
          </w:p>
          <w:p w14:paraId="41F593AA" w14:textId="02F70E69" w:rsidR="00137487" w:rsidRPr="001F42A5" w:rsidRDefault="00137487" w:rsidP="00137487">
            <w:pPr>
              <w:rPr>
                <w:szCs w:val="20"/>
              </w:rPr>
            </w:pPr>
            <w:r w:rsidRPr="001F42A5">
              <w:rPr>
                <w:szCs w:val="20"/>
              </w:rPr>
              <w:t xml:space="preserve">For any particular patient, once only in a </w:t>
            </w:r>
            <w:proofErr w:type="gramStart"/>
            <w:r w:rsidRPr="001F42A5">
              <w:rPr>
                <w:szCs w:val="20"/>
              </w:rPr>
              <w:t>2 year</w:t>
            </w:r>
            <w:proofErr w:type="gramEnd"/>
            <w:r w:rsidRPr="001F42A5">
              <w:rPr>
                <w:szCs w:val="20"/>
              </w:rPr>
              <w:t xml:space="preserve"> period</w:t>
            </w:r>
          </w:p>
        </w:tc>
        <w:tc>
          <w:tcPr>
            <w:tcW w:w="1761" w:type="dxa"/>
          </w:tcPr>
          <w:p w14:paraId="052EB641" w14:textId="753C77AF" w:rsidR="00137487" w:rsidRDefault="00137487" w:rsidP="00137487">
            <w:pPr>
              <w:rPr>
                <w:szCs w:val="20"/>
              </w:rPr>
            </w:pPr>
            <w:r>
              <w:rPr>
                <w:szCs w:val="20"/>
              </w:rPr>
              <w:t>$105.60</w:t>
            </w:r>
          </w:p>
        </w:tc>
      </w:tr>
    </w:tbl>
    <w:p w14:paraId="31763025" w14:textId="2838783C" w:rsidR="00481F6C" w:rsidRDefault="00A80CAC" w:rsidP="00481F6C">
      <w:pPr>
        <w:ind w:left="426"/>
        <w:rPr>
          <w:sz w:val="18"/>
          <w:szCs w:val="18"/>
        </w:rPr>
      </w:pPr>
      <w:r w:rsidRPr="00A80CAC">
        <w:rPr>
          <w:sz w:val="18"/>
          <w:szCs w:val="18"/>
        </w:rPr>
        <w:t>tbc, to be confirmed.</w:t>
      </w:r>
      <w:r w:rsidR="00250337">
        <w:rPr>
          <w:sz w:val="18"/>
          <w:szCs w:val="18"/>
        </w:rPr>
        <w:t xml:space="preserve"> </w:t>
      </w:r>
      <w:r w:rsidR="00481F6C" w:rsidRPr="00A80CAC">
        <w:rPr>
          <w:sz w:val="18"/>
          <w:szCs w:val="18"/>
        </w:rPr>
        <w:t xml:space="preserve">* Based on </w:t>
      </w:r>
      <w:r w:rsidR="00481F6C">
        <w:rPr>
          <w:sz w:val="18"/>
          <w:szCs w:val="18"/>
        </w:rPr>
        <w:t>March</w:t>
      </w:r>
      <w:r w:rsidR="00481F6C" w:rsidRPr="00A80CAC">
        <w:rPr>
          <w:sz w:val="18"/>
          <w:szCs w:val="18"/>
        </w:rPr>
        <w:t xml:space="preserve"> 2021 DXA scan fees.</w:t>
      </w:r>
    </w:p>
    <w:p w14:paraId="7C59B35D" w14:textId="6F56E9DF" w:rsidR="004C0681" w:rsidRDefault="004C0681" w:rsidP="00603D04">
      <w:pPr>
        <w:ind w:left="426"/>
      </w:pPr>
    </w:p>
    <w:p w14:paraId="7456F204" w14:textId="4A4C7777" w:rsidR="008332F0" w:rsidRPr="00C737AD" w:rsidRDefault="008332F0" w:rsidP="001F42A5">
      <w:pPr>
        <w:spacing w:before="0" w:after="200" w:line="276" w:lineRule="auto"/>
        <w:rPr>
          <w:bCs/>
          <w:color w:val="4F81BD" w:themeColor="accent1"/>
          <w:sz w:val="40"/>
          <w:szCs w:val="32"/>
        </w:rPr>
      </w:pPr>
      <w:r w:rsidRPr="00C737AD">
        <w:rPr>
          <w:bCs/>
          <w:color w:val="4F81BD" w:themeColor="accent1"/>
          <w:sz w:val="40"/>
          <w:szCs w:val="32"/>
        </w:rPr>
        <w:t>References</w:t>
      </w:r>
    </w:p>
    <w:p w14:paraId="1A88A5C4" w14:textId="627CFD45" w:rsidR="00C154AF" w:rsidRPr="00C154AF" w:rsidRDefault="004C0681" w:rsidP="00C154AF">
      <w:pPr>
        <w:pStyle w:val="EndNoteBibliography"/>
        <w:spacing w:after="0"/>
        <w:ind w:left="720" w:hanging="720"/>
      </w:pPr>
      <w:r>
        <w:rPr>
          <w:szCs w:val="20"/>
        </w:rPr>
        <w:fldChar w:fldCharType="begin"/>
      </w:r>
      <w:r>
        <w:rPr>
          <w:szCs w:val="20"/>
        </w:rPr>
        <w:instrText xml:space="preserve"> ADDIN EN.REFLIST </w:instrText>
      </w:r>
      <w:r>
        <w:rPr>
          <w:szCs w:val="20"/>
        </w:rPr>
        <w:fldChar w:fldCharType="separate"/>
      </w:r>
      <w:r w:rsidR="00C154AF" w:rsidRPr="00C154AF">
        <w:t xml:space="preserve">AIHW (2020). "Australian Institute of Health and Welfare 2020. Osteoporosis. Cat. no. PHE 233. Canberra: AIHW. Viewed 08 January 2021, </w:t>
      </w:r>
      <w:hyperlink r:id="rId30" w:history="1">
        <w:r w:rsidR="00C154AF" w:rsidRPr="00C154AF">
          <w:rPr>
            <w:rStyle w:val="Hyperlink"/>
          </w:rPr>
          <w:t>https://www.aihw.gov.au/reports/chronic-musculoskeletal-conditions/osteoporos</w:t>
        </w:r>
      </w:hyperlink>
      <w:r w:rsidR="00C154AF" w:rsidRPr="00C154AF">
        <w:t>."</w:t>
      </w:r>
    </w:p>
    <w:p w14:paraId="1096FEDD" w14:textId="77777777" w:rsidR="00C154AF" w:rsidRPr="00C154AF" w:rsidRDefault="00C154AF" w:rsidP="00C154AF">
      <w:pPr>
        <w:pStyle w:val="EndNoteBibliography"/>
        <w:ind w:left="720" w:hanging="720"/>
      </w:pPr>
      <w:r w:rsidRPr="00C154AF">
        <w:t xml:space="preserve">Parker, D. (2013). "An audit of osteoporotic patients in an Australian general practice." </w:t>
      </w:r>
      <w:r w:rsidRPr="00C154AF">
        <w:rPr>
          <w:u w:val="single"/>
        </w:rPr>
        <w:t>Australian Family Physician</w:t>
      </w:r>
      <w:r w:rsidRPr="00C154AF">
        <w:t xml:space="preserve"> </w:t>
      </w:r>
      <w:r w:rsidRPr="00C154AF">
        <w:rPr>
          <w:b/>
        </w:rPr>
        <w:t>42</w:t>
      </w:r>
      <w:r w:rsidRPr="00C154AF">
        <w:t>: 423-427.</w:t>
      </w:r>
    </w:p>
    <w:p w14:paraId="38F1E16B" w14:textId="0D40F8D7" w:rsidR="00451840" w:rsidRDefault="004C0681" w:rsidP="00603D04">
      <w:pPr>
        <w:ind w:left="426"/>
        <w:rPr>
          <w:szCs w:val="20"/>
        </w:rPr>
      </w:pPr>
      <w:r>
        <w:rPr>
          <w:szCs w:val="20"/>
        </w:rPr>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E797C" w14:textId="77777777" w:rsidR="00D63788" w:rsidRDefault="00D63788" w:rsidP="00CF2DFA">
      <w:pPr>
        <w:spacing w:after="0"/>
      </w:pPr>
      <w:r>
        <w:separator/>
      </w:r>
    </w:p>
  </w:endnote>
  <w:endnote w:type="continuationSeparator" w:id="0">
    <w:p w14:paraId="1095A1B0" w14:textId="77777777" w:rsidR="00D63788" w:rsidRDefault="00D63788"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4C75ED56" w14:textId="77777777" w:rsidR="00D63788" w:rsidRDefault="00D63788" w:rsidP="00931BDD">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554E7A">
          <w:rPr>
            <w:b/>
            <w:bCs/>
            <w:noProof/>
            <w:sz w:val="18"/>
            <w:szCs w:val="18"/>
          </w:rPr>
          <w:t>15</w:t>
        </w:r>
        <w:r w:rsidRPr="00CF2DFA">
          <w:rPr>
            <w:b/>
            <w:bCs/>
            <w:noProof/>
            <w:sz w:val="18"/>
            <w:szCs w:val="18"/>
          </w:rPr>
          <w:fldChar w:fldCharType="end"/>
        </w:r>
        <w:r w:rsidRPr="00CF2DFA">
          <w:rPr>
            <w:b/>
            <w:bCs/>
            <w:sz w:val="18"/>
            <w:szCs w:val="18"/>
          </w:rPr>
          <w:t xml:space="preserve"> | </w:t>
        </w:r>
        <w:r>
          <w:rPr>
            <w:color w:val="808080" w:themeColor="background1" w:themeShade="80"/>
            <w:spacing w:val="60"/>
            <w:sz w:val="18"/>
            <w:szCs w:val="18"/>
          </w:rPr>
          <w:tab/>
          <w:t>Application Form</w:t>
        </w:r>
      </w:p>
      <w:p w14:paraId="0EC11C9F" w14:textId="56F7B132" w:rsidR="00D63788" w:rsidRPr="003F7CB9" w:rsidRDefault="00D63788"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EA997" w14:textId="77777777" w:rsidR="00D63788" w:rsidRDefault="00D63788" w:rsidP="00CF2DFA">
      <w:pPr>
        <w:spacing w:after="0"/>
      </w:pPr>
      <w:r>
        <w:separator/>
      </w:r>
    </w:p>
  </w:footnote>
  <w:footnote w:type="continuationSeparator" w:id="0">
    <w:p w14:paraId="2278F782" w14:textId="77777777" w:rsidR="00D63788" w:rsidRDefault="00D63788"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34E74B7"/>
    <w:multiLevelType w:val="hybridMultilevel"/>
    <w:tmpl w:val="DEB0AA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982DA7"/>
    <w:multiLevelType w:val="hybridMultilevel"/>
    <w:tmpl w:val="59D6E9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6A0C37"/>
    <w:multiLevelType w:val="hybridMultilevel"/>
    <w:tmpl w:val="BA4C82D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01353F5"/>
    <w:multiLevelType w:val="hybridMultilevel"/>
    <w:tmpl w:val="53E84882"/>
    <w:lvl w:ilvl="0" w:tplc="0C09000F">
      <w:start w:val="1"/>
      <w:numFmt w:val="decimal"/>
      <w:lvlText w:val="%1."/>
      <w:lvlJc w:val="left"/>
      <w:pPr>
        <w:ind w:left="1195" w:hanging="360"/>
      </w:pPr>
    </w:lvl>
    <w:lvl w:ilvl="1" w:tplc="0C090019" w:tentative="1">
      <w:start w:val="1"/>
      <w:numFmt w:val="lowerLetter"/>
      <w:lvlText w:val="%2."/>
      <w:lvlJc w:val="left"/>
      <w:pPr>
        <w:ind w:left="1915" w:hanging="360"/>
      </w:pPr>
    </w:lvl>
    <w:lvl w:ilvl="2" w:tplc="0C09001B" w:tentative="1">
      <w:start w:val="1"/>
      <w:numFmt w:val="lowerRoman"/>
      <w:lvlText w:val="%3."/>
      <w:lvlJc w:val="right"/>
      <w:pPr>
        <w:ind w:left="2635" w:hanging="180"/>
      </w:pPr>
    </w:lvl>
    <w:lvl w:ilvl="3" w:tplc="0C09000F" w:tentative="1">
      <w:start w:val="1"/>
      <w:numFmt w:val="decimal"/>
      <w:lvlText w:val="%4."/>
      <w:lvlJc w:val="left"/>
      <w:pPr>
        <w:ind w:left="3355" w:hanging="360"/>
      </w:pPr>
    </w:lvl>
    <w:lvl w:ilvl="4" w:tplc="0C090019" w:tentative="1">
      <w:start w:val="1"/>
      <w:numFmt w:val="lowerLetter"/>
      <w:lvlText w:val="%5."/>
      <w:lvlJc w:val="left"/>
      <w:pPr>
        <w:ind w:left="4075" w:hanging="360"/>
      </w:pPr>
    </w:lvl>
    <w:lvl w:ilvl="5" w:tplc="0C09001B" w:tentative="1">
      <w:start w:val="1"/>
      <w:numFmt w:val="lowerRoman"/>
      <w:lvlText w:val="%6."/>
      <w:lvlJc w:val="right"/>
      <w:pPr>
        <w:ind w:left="4795" w:hanging="180"/>
      </w:pPr>
    </w:lvl>
    <w:lvl w:ilvl="6" w:tplc="0C09000F" w:tentative="1">
      <w:start w:val="1"/>
      <w:numFmt w:val="decimal"/>
      <w:lvlText w:val="%7."/>
      <w:lvlJc w:val="left"/>
      <w:pPr>
        <w:ind w:left="5515" w:hanging="360"/>
      </w:pPr>
    </w:lvl>
    <w:lvl w:ilvl="7" w:tplc="0C090019" w:tentative="1">
      <w:start w:val="1"/>
      <w:numFmt w:val="lowerLetter"/>
      <w:lvlText w:val="%8."/>
      <w:lvlJc w:val="left"/>
      <w:pPr>
        <w:ind w:left="6235" w:hanging="360"/>
      </w:pPr>
    </w:lvl>
    <w:lvl w:ilvl="8" w:tplc="0C09001B" w:tentative="1">
      <w:start w:val="1"/>
      <w:numFmt w:val="lowerRoman"/>
      <w:lvlText w:val="%9."/>
      <w:lvlJc w:val="right"/>
      <w:pPr>
        <w:ind w:left="6955" w:hanging="180"/>
      </w:pPr>
    </w:lvl>
  </w:abstractNum>
  <w:abstractNum w:abstractNumId="7"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4EE2423"/>
    <w:multiLevelType w:val="hybridMultilevel"/>
    <w:tmpl w:val="F50C6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6650B4"/>
    <w:multiLevelType w:val="hybridMultilevel"/>
    <w:tmpl w:val="B892687A"/>
    <w:lvl w:ilvl="0" w:tplc="8D4C25A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224F788F"/>
    <w:multiLevelType w:val="hybridMultilevel"/>
    <w:tmpl w:val="C4846E3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2AD3228A"/>
    <w:multiLevelType w:val="hybridMultilevel"/>
    <w:tmpl w:val="D01AF57A"/>
    <w:lvl w:ilvl="0" w:tplc="0C09000F">
      <w:start w:val="1"/>
      <w:numFmt w:val="decimal"/>
      <w:lvlText w:val="%1."/>
      <w:lvlJc w:val="left"/>
      <w:pPr>
        <w:ind w:left="1146" w:hanging="36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35540BC9"/>
    <w:multiLevelType w:val="hybridMultilevel"/>
    <w:tmpl w:val="BFFCC320"/>
    <w:lvl w:ilvl="0" w:tplc="0C09000F">
      <w:start w:val="1"/>
      <w:numFmt w:val="decimal"/>
      <w:lvlText w:val="%1."/>
      <w:lvlJc w:val="left"/>
      <w:pPr>
        <w:ind w:left="1146" w:hanging="36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40070C"/>
    <w:multiLevelType w:val="hybridMultilevel"/>
    <w:tmpl w:val="32EC1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6937E7"/>
    <w:multiLevelType w:val="hybridMultilevel"/>
    <w:tmpl w:val="8A1E492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4A0A1887"/>
    <w:multiLevelType w:val="hybridMultilevel"/>
    <w:tmpl w:val="5BC4E0C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50436728"/>
    <w:multiLevelType w:val="hybridMultilevel"/>
    <w:tmpl w:val="4B80EBB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237B04"/>
    <w:multiLevelType w:val="hybridMultilevel"/>
    <w:tmpl w:val="3B0EDB3C"/>
    <w:lvl w:ilvl="0" w:tplc="8CDA20B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5750FE"/>
    <w:multiLevelType w:val="hybridMultilevel"/>
    <w:tmpl w:val="B1AE0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814358"/>
    <w:multiLevelType w:val="hybridMultilevel"/>
    <w:tmpl w:val="96D29BAA"/>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35" w15:restartNumberingAfterBreak="0">
    <w:nsid w:val="7D3823C1"/>
    <w:multiLevelType w:val="hybridMultilevel"/>
    <w:tmpl w:val="C6042F2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24"/>
  </w:num>
  <w:num w:numId="2">
    <w:abstractNumId w:val="8"/>
    <w:lvlOverride w:ilvl="0"/>
    <w:lvlOverride w:ilvl="1">
      <w:startOverride w:val="1"/>
    </w:lvlOverride>
    <w:lvlOverride w:ilvl="2"/>
    <w:lvlOverride w:ilvl="3"/>
    <w:lvlOverride w:ilvl="4"/>
    <w:lvlOverride w:ilvl="5"/>
    <w:lvlOverride w:ilvl="6"/>
    <w:lvlOverride w:ilvl="7"/>
    <w:lvlOverride w:ilvl="8"/>
  </w:num>
  <w:num w:numId="3">
    <w:abstractNumId w:val="17"/>
  </w:num>
  <w:num w:numId="4">
    <w:abstractNumId w:val="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5"/>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
  </w:num>
  <w:num w:numId="25">
    <w:abstractNumId w:val="30"/>
  </w:num>
  <w:num w:numId="26">
    <w:abstractNumId w:val="7"/>
  </w:num>
  <w:num w:numId="27">
    <w:abstractNumId w:val="27"/>
  </w:num>
  <w:num w:numId="28">
    <w:abstractNumId w:val="18"/>
  </w:num>
  <w:num w:numId="29">
    <w:abstractNumId w:val="31"/>
  </w:num>
  <w:num w:numId="30">
    <w:abstractNumId w:val="4"/>
  </w:num>
  <w:num w:numId="31">
    <w:abstractNumId w:val="29"/>
  </w:num>
  <w:num w:numId="32">
    <w:abstractNumId w:val="11"/>
  </w:num>
  <w:num w:numId="33">
    <w:abstractNumId w:val="28"/>
  </w:num>
  <w:num w:numId="34">
    <w:abstractNumId w:val="10"/>
  </w:num>
  <w:num w:numId="35">
    <w:abstractNumId w:val="21"/>
  </w:num>
  <w:num w:numId="36">
    <w:abstractNumId w:val="0"/>
  </w:num>
  <w:num w:numId="37">
    <w:abstractNumId w:val="23"/>
  </w:num>
  <w:num w:numId="38">
    <w:abstractNumId w:val="35"/>
  </w:num>
  <w:num w:numId="39">
    <w:abstractNumId w:val="9"/>
  </w:num>
  <w:num w:numId="40">
    <w:abstractNumId w:val="19"/>
  </w:num>
  <w:num w:numId="41">
    <w:abstractNumId w:val="33"/>
  </w:num>
  <w:num w:numId="42">
    <w:abstractNumId w:val="20"/>
  </w:num>
  <w:num w:numId="43">
    <w:abstractNumId w:val="6"/>
  </w:num>
  <w:num w:numId="44">
    <w:abstractNumId w:val="12"/>
  </w:num>
  <w:num w:numId="45">
    <w:abstractNumId w:val="22"/>
  </w:num>
  <w:num w:numId="46">
    <w:abstractNumId w:val="26"/>
  </w:num>
  <w:num w:numId="47">
    <w:abstractNumId w:val="34"/>
  </w:num>
  <w:num w:numId="48">
    <w:abstractNumId w:val="13"/>
  </w:num>
  <w:num w:numId="49">
    <w:abstractNumId w:val="15"/>
  </w:num>
  <w:num w:numId="50">
    <w:abstractNumId w:val="16"/>
  </w:num>
  <w:num w:numId="51">
    <w:abstractNumId w:val="1"/>
  </w:num>
  <w:num w:numId="52">
    <w:abstractNumId w:val="3"/>
  </w:num>
  <w:num w:numId="53">
    <w:abstractNumId w:val="5"/>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5xftsfjtxsr1etze3vfta19tss2fv2tsts&quot;&gt;Echolight hand entries&lt;record-ids&gt;&lt;item&gt;7&lt;/item&gt;&lt;item&gt;8&lt;/item&gt;&lt;/record-ids&gt;&lt;/item&gt;&lt;/Libraries&gt;"/>
  </w:docVars>
  <w:rsids>
    <w:rsidRoot w:val="00BF6AC5"/>
    <w:rsid w:val="000110DC"/>
    <w:rsid w:val="000158AA"/>
    <w:rsid w:val="000159B9"/>
    <w:rsid w:val="00016B6E"/>
    <w:rsid w:val="00023E21"/>
    <w:rsid w:val="00025ABC"/>
    <w:rsid w:val="00026412"/>
    <w:rsid w:val="00031F6F"/>
    <w:rsid w:val="00034D6E"/>
    <w:rsid w:val="00041826"/>
    <w:rsid w:val="0005089D"/>
    <w:rsid w:val="000525BC"/>
    <w:rsid w:val="00071595"/>
    <w:rsid w:val="00072166"/>
    <w:rsid w:val="00072E1C"/>
    <w:rsid w:val="00073222"/>
    <w:rsid w:val="00073E56"/>
    <w:rsid w:val="000770BA"/>
    <w:rsid w:val="00077FF5"/>
    <w:rsid w:val="0009015F"/>
    <w:rsid w:val="00092580"/>
    <w:rsid w:val="000955E7"/>
    <w:rsid w:val="00096F0B"/>
    <w:rsid w:val="000A110D"/>
    <w:rsid w:val="000A478F"/>
    <w:rsid w:val="000A5B32"/>
    <w:rsid w:val="000B085E"/>
    <w:rsid w:val="000B3CD0"/>
    <w:rsid w:val="000D066E"/>
    <w:rsid w:val="000D0831"/>
    <w:rsid w:val="000E2FE5"/>
    <w:rsid w:val="000E47E7"/>
    <w:rsid w:val="000E5439"/>
    <w:rsid w:val="000E74CA"/>
    <w:rsid w:val="000F15F3"/>
    <w:rsid w:val="000F28E2"/>
    <w:rsid w:val="00102686"/>
    <w:rsid w:val="00104EE3"/>
    <w:rsid w:val="00104FD4"/>
    <w:rsid w:val="0011036E"/>
    <w:rsid w:val="00111C38"/>
    <w:rsid w:val="00112866"/>
    <w:rsid w:val="001130B0"/>
    <w:rsid w:val="0011369B"/>
    <w:rsid w:val="00114A9C"/>
    <w:rsid w:val="001160D5"/>
    <w:rsid w:val="0011742E"/>
    <w:rsid w:val="0012256A"/>
    <w:rsid w:val="00123D10"/>
    <w:rsid w:val="00126B33"/>
    <w:rsid w:val="001327BA"/>
    <w:rsid w:val="001340F0"/>
    <w:rsid w:val="00136A0F"/>
    <w:rsid w:val="00137487"/>
    <w:rsid w:val="0015374C"/>
    <w:rsid w:val="00154B00"/>
    <w:rsid w:val="001644E9"/>
    <w:rsid w:val="001845D9"/>
    <w:rsid w:val="00184D0D"/>
    <w:rsid w:val="0018630F"/>
    <w:rsid w:val="001906CD"/>
    <w:rsid w:val="0019179A"/>
    <w:rsid w:val="00191B99"/>
    <w:rsid w:val="001960CD"/>
    <w:rsid w:val="0019694B"/>
    <w:rsid w:val="00197D29"/>
    <w:rsid w:val="001A02E3"/>
    <w:rsid w:val="001A1ADF"/>
    <w:rsid w:val="001A365C"/>
    <w:rsid w:val="001A42C9"/>
    <w:rsid w:val="001B171D"/>
    <w:rsid w:val="001B29A1"/>
    <w:rsid w:val="001B4F7F"/>
    <w:rsid w:val="001B5169"/>
    <w:rsid w:val="001B5516"/>
    <w:rsid w:val="001B6164"/>
    <w:rsid w:val="001D67F3"/>
    <w:rsid w:val="001D77ED"/>
    <w:rsid w:val="001E1180"/>
    <w:rsid w:val="001E23EA"/>
    <w:rsid w:val="001E6919"/>
    <w:rsid w:val="001E6958"/>
    <w:rsid w:val="001F42A5"/>
    <w:rsid w:val="00201924"/>
    <w:rsid w:val="00202473"/>
    <w:rsid w:val="002053F2"/>
    <w:rsid w:val="00206D63"/>
    <w:rsid w:val="0021185D"/>
    <w:rsid w:val="00223956"/>
    <w:rsid w:val="00226777"/>
    <w:rsid w:val="00227AA8"/>
    <w:rsid w:val="00230B99"/>
    <w:rsid w:val="00235BD1"/>
    <w:rsid w:val="00242B0E"/>
    <w:rsid w:val="00247DF0"/>
    <w:rsid w:val="00250337"/>
    <w:rsid w:val="00251FC6"/>
    <w:rsid w:val="00254813"/>
    <w:rsid w:val="00257FF2"/>
    <w:rsid w:val="00265822"/>
    <w:rsid w:val="0027105F"/>
    <w:rsid w:val="002711FB"/>
    <w:rsid w:val="002736E6"/>
    <w:rsid w:val="00282BE8"/>
    <w:rsid w:val="00283318"/>
    <w:rsid w:val="00285525"/>
    <w:rsid w:val="00290F1D"/>
    <w:rsid w:val="00291D2F"/>
    <w:rsid w:val="00294CD8"/>
    <w:rsid w:val="002A0659"/>
    <w:rsid w:val="002A270B"/>
    <w:rsid w:val="002A50FD"/>
    <w:rsid w:val="002A6753"/>
    <w:rsid w:val="002B28D7"/>
    <w:rsid w:val="002B7EB6"/>
    <w:rsid w:val="002C0B61"/>
    <w:rsid w:val="002C15E6"/>
    <w:rsid w:val="002C247D"/>
    <w:rsid w:val="002C3345"/>
    <w:rsid w:val="002D0E6E"/>
    <w:rsid w:val="002D295D"/>
    <w:rsid w:val="002D409A"/>
    <w:rsid w:val="002D770B"/>
    <w:rsid w:val="002F0BB2"/>
    <w:rsid w:val="002F30E7"/>
    <w:rsid w:val="00300EEB"/>
    <w:rsid w:val="003013A9"/>
    <w:rsid w:val="00301958"/>
    <w:rsid w:val="003020B5"/>
    <w:rsid w:val="003027BB"/>
    <w:rsid w:val="00310A10"/>
    <w:rsid w:val="00313081"/>
    <w:rsid w:val="003157C4"/>
    <w:rsid w:val="00317A0E"/>
    <w:rsid w:val="00322B11"/>
    <w:rsid w:val="00327D25"/>
    <w:rsid w:val="003319A7"/>
    <w:rsid w:val="00334FE3"/>
    <w:rsid w:val="0033631B"/>
    <w:rsid w:val="003421AE"/>
    <w:rsid w:val="0034322F"/>
    <w:rsid w:val="003433D1"/>
    <w:rsid w:val="00344B24"/>
    <w:rsid w:val="003456B9"/>
    <w:rsid w:val="0035067D"/>
    <w:rsid w:val="00350EC2"/>
    <w:rsid w:val="00353A16"/>
    <w:rsid w:val="00354B72"/>
    <w:rsid w:val="0035776D"/>
    <w:rsid w:val="00364FD9"/>
    <w:rsid w:val="00367C1B"/>
    <w:rsid w:val="00373B5A"/>
    <w:rsid w:val="00376B61"/>
    <w:rsid w:val="00380D20"/>
    <w:rsid w:val="00382407"/>
    <w:rsid w:val="00386A64"/>
    <w:rsid w:val="00386FA1"/>
    <w:rsid w:val="00390142"/>
    <w:rsid w:val="003904AC"/>
    <w:rsid w:val="00392F00"/>
    <w:rsid w:val="00394B27"/>
    <w:rsid w:val="00397377"/>
    <w:rsid w:val="003A22DE"/>
    <w:rsid w:val="003A2860"/>
    <w:rsid w:val="003A3C35"/>
    <w:rsid w:val="003A7D30"/>
    <w:rsid w:val="003B3C5C"/>
    <w:rsid w:val="003B71B5"/>
    <w:rsid w:val="003C47CA"/>
    <w:rsid w:val="003D12EB"/>
    <w:rsid w:val="003D6DE1"/>
    <w:rsid w:val="003D795C"/>
    <w:rsid w:val="003E30FB"/>
    <w:rsid w:val="003F2711"/>
    <w:rsid w:val="003F6C70"/>
    <w:rsid w:val="003F7CB9"/>
    <w:rsid w:val="00403333"/>
    <w:rsid w:val="00411735"/>
    <w:rsid w:val="00411CC2"/>
    <w:rsid w:val="00412236"/>
    <w:rsid w:val="00415C74"/>
    <w:rsid w:val="004317A1"/>
    <w:rsid w:val="0043654D"/>
    <w:rsid w:val="00437F60"/>
    <w:rsid w:val="00451840"/>
    <w:rsid w:val="0045541A"/>
    <w:rsid w:val="00457A9F"/>
    <w:rsid w:val="00460C9A"/>
    <w:rsid w:val="00464499"/>
    <w:rsid w:val="00464924"/>
    <w:rsid w:val="0047581D"/>
    <w:rsid w:val="00480289"/>
    <w:rsid w:val="00481279"/>
    <w:rsid w:val="00481F6C"/>
    <w:rsid w:val="00483368"/>
    <w:rsid w:val="00486B48"/>
    <w:rsid w:val="004922EC"/>
    <w:rsid w:val="00494011"/>
    <w:rsid w:val="00497449"/>
    <w:rsid w:val="004A0BF4"/>
    <w:rsid w:val="004A263B"/>
    <w:rsid w:val="004B0DF7"/>
    <w:rsid w:val="004B68AE"/>
    <w:rsid w:val="004C0681"/>
    <w:rsid w:val="004C35B0"/>
    <w:rsid w:val="004C49EF"/>
    <w:rsid w:val="004C4A19"/>
    <w:rsid w:val="004C5570"/>
    <w:rsid w:val="004D00C9"/>
    <w:rsid w:val="004E16F5"/>
    <w:rsid w:val="004E1AC0"/>
    <w:rsid w:val="004E1B6B"/>
    <w:rsid w:val="004E3CC7"/>
    <w:rsid w:val="004E51DB"/>
    <w:rsid w:val="004E5B69"/>
    <w:rsid w:val="004F2A87"/>
    <w:rsid w:val="00502115"/>
    <w:rsid w:val="00507C56"/>
    <w:rsid w:val="0051330F"/>
    <w:rsid w:val="00522166"/>
    <w:rsid w:val="0052344E"/>
    <w:rsid w:val="00526478"/>
    <w:rsid w:val="00530204"/>
    <w:rsid w:val="00534C5F"/>
    <w:rsid w:val="00540257"/>
    <w:rsid w:val="0054192F"/>
    <w:rsid w:val="00544EB3"/>
    <w:rsid w:val="0054594B"/>
    <w:rsid w:val="0054749B"/>
    <w:rsid w:val="00551CC6"/>
    <w:rsid w:val="00554E7A"/>
    <w:rsid w:val="0056015F"/>
    <w:rsid w:val="00560541"/>
    <w:rsid w:val="005616FD"/>
    <w:rsid w:val="005617F9"/>
    <w:rsid w:val="005672D0"/>
    <w:rsid w:val="00572CEB"/>
    <w:rsid w:val="0057324E"/>
    <w:rsid w:val="0057503E"/>
    <w:rsid w:val="005834C9"/>
    <w:rsid w:val="00592791"/>
    <w:rsid w:val="005A0588"/>
    <w:rsid w:val="005A40F9"/>
    <w:rsid w:val="005A58BA"/>
    <w:rsid w:val="005A5D30"/>
    <w:rsid w:val="005A6AB9"/>
    <w:rsid w:val="005B3F40"/>
    <w:rsid w:val="005B639E"/>
    <w:rsid w:val="005C333E"/>
    <w:rsid w:val="005C3AE7"/>
    <w:rsid w:val="005D0677"/>
    <w:rsid w:val="005D29EE"/>
    <w:rsid w:val="005D3B5C"/>
    <w:rsid w:val="005E294C"/>
    <w:rsid w:val="005E2CE3"/>
    <w:rsid w:val="005F3F07"/>
    <w:rsid w:val="005F47E9"/>
    <w:rsid w:val="005F54FF"/>
    <w:rsid w:val="00603D04"/>
    <w:rsid w:val="00606857"/>
    <w:rsid w:val="00615F42"/>
    <w:rsid w:val="00624125"/>
    <w:rsid w:val="00625418"/>
    <w:rsid w:val="006258C2"/>
    <w:rsid w:val="00626365"/>
    <w:rsid w:val="00630322"/>
    <w:rsid w:val="00630E22"/>
    <w:rsid w:val="00640B21"/>
    <w:rsid w:val="0064168C"/>
    <w:rsid w:val="00647F99"/>
    <w:rsid w:val="0065191F"/>
    <w:rsid w:val="00657B46"/>
    <w:rsid w:val="006650EC"/>
    <w:rsid w:val="006764EC"/>
    <w:rsid w:val="006835FE"/>
    <w:rsid w:val="00693BFD"/>
    <w:rsid w:val="00695065"/>
    <w:rsid w:val="006A1038"/>
    <w:rsid w:val="006A649A"/>
    <w:rsid w:val="006B1B49"/>
    <w:rsid w:val="006B6390"/>
    <w:rsid w:val="006C0356"/>
    <w:rsid w:val="006C0843"/>
    <w:rsid w:val="006C6930"/>
    <w:rsid w:val="006C74B1"/>
    <w:rsid w:val="006C7AAD"/>
    <w:rsid w:val="006D0E78"/>
    <w:rsid w:val="006D72B5"/>
    <w:rsid w:val="006E57AA"/>
    <w:rsid w:val="006F20CF"/>
    <w:rsid w:val="006F38ED"/>
    <w:rsid w:val="00707D4D"/>
    <w:rsid w:val="00723446"/>
    <w:rsid w:val="00723503"/>
    <w:rsid w:val="0072641A"/>
    <w:rsid w:val="00727C45"/>
    <w:rsid w:val="00730C04"/>
    <w:rsid w:val="0073597B"/>
    <w:rsid w:val="00735D63"/>
    <w:rsid w:val="00736E83"/>
    <w:rsid w:val="007378F6"/>
    <w:rsid w:val="00741F91"/>
    <w:rsid w:val="0074545D"/>
    <w:rsid w:val="007464A8"/>
    <w:rsid w:val="007522E3"/>
    <w:rsid w:val="0075335B"/>
    <w:rsid w:val="00753C44"/>
    <w:rsid w:val="00754383"/>
    <w:rsid w:val="007564D1"/>
    <w:rsid w:val="00757232"/>
    <w:rsid w:val="0075777B"/>
    <w:rsid w:val="00760679"/>
    <w:rsid w:val="00763628"/>
    <w:rsid w:val="00767E99"/>
    <w:rsid w:val="00772E62"/>
    <w:rsid w:val="00775A6A"/>
    <w:rsid w:val="00775C84"/>
    <w:rsid w:val="0077789B"/>
    <w:rsid w:val="00780D29"/>
    <w:rsid w:val="0078788C"/>
    <w:rsid w:val="00791C8D"/>
    <w:rsid w:val="0079354C"/>
    <w:rsid w:val="00794181"/>
    <w:rsid w:val="00796F92"/>
    <w:rsid w:val="007A7F6F"/>
    <w:rsid w:val="007B4C76"/>
    <w:rsid w:val="007B5B2B"/>
    <w:rsid w:val="007C2260"/>
    <w:rsid w:val="007C2D1F"/>
    <w:rsid w:val="007C551D"/>
    <w:rsid w:val="007D1E52"/>
    <w:rsid w:val="007D2358"/>
    <w:rsid w:val="007E39E4"/>
    <w:rsid w:val="007E6FB3"/>
    <w:rsid w:val="007F21B4"/>
    <w:rsid w:val="007F7D11"/>
    <w:rsid w:val="00802553"/>
    <w:rsid w:val="00803EAB"/>
    <w:rsid w:val="008046B5"/>
    <w:rsid w:val="00810224"/>
    <w:rsid w:val="008127C0"/>
    <w:rsid w:val="00812EDD"/>
    <w:rsid w:val="008136C7"/>
    <w:rsid w:val="008139C5"/>
    <w:rsid w:val="0081650F"/>
    <w:rsid w:val="00820262"/>
    <w:rsid w:val="00821971"/>
    <w:rsid w:val="00822928"/>
    <w:rsid w:val="00832B31"/>
    <w:rsid w:val="008332F0"/>
    <w:rsid w:val="00833AD9"/>
    <w:rsid w:val="008403E0"/>
    <w:rsid w:val="0084657B"/>
    <w:rsid w:val="00855566"/>
    <w:rsid w:val="00855944"/>
    <w:rsid w:val="00860563"/>
    <w:rsid w:val="00864A18"/>
    <w:rsid w:val="00865BD5"/>
    <w:rsid w:val="00870833"/>
    <w:rsid w:val="008725F5"/>
    <w:rsid w:val="00872CCF"/>
    <w:rsid w:val="00874571"/>
    <w:rsid w:val="00877315"/>
    <w:rsid w:val="00881F93"/>
    <w:rsid w:val="00882CB5"/>
    <w:rsid w:val="00883641"/>
    <w:rsid w:val="00884E69"/>
    <w:rsid w:val="00890082"/>
    <w:rsid w:val="0089363D"/>
    <w:rsid w:val="008A48D2"/>
    <w:rsid w:val="008A5F92"/>
    <w:rsid w:val="008A7423"/>
    <w:rsid w:val="008B2610"/>
    <w:rsid w:val="008B471D"/>
    <w:rsid w:val="008B49E4"/>
    <w:rsid w:val="008B6852"/>
    <w:rsid w:val="008B729C"/>
    <w:rsid w:val="008C4A93"/>
    <w:rsid w:val="008E0E49"/>
    <w:rsid w:val="008E35FD"/>
    <w:rsid w:val="008E6227"/>
    <w:rsid w:val="008E78B9"/>
    <w:rsid w:val="008E7CD4"/>
    <w:rsid w:val="00901F1C"/>
    <w:rsid w:val="00902D39"/>
    <w:rsid w:val="0090543D"/>
    <w:rsid w:val="009056C5"/>
    <w:rsid w:val="00922E9C"/>
    <w:rsid w:val="009262F2"/>
    <w:rsid w:val="00927834"/>
    <w:rsid w:val="00931BDD"/>
    <w:rsid w:val="00937791"/>
    <w:rsid w:val="00951933"/>
    <w:rsid w:val="00952EDA"/>
    <w:rsid w:val="00954343"/>
    <w:rsid w:val="00955271"/>
    <w:rsid w:val="009553B3"/>
    <w:rsid w:val="00963C9C"/>
    <w:rsid w:val="00963EFF"/>
    <w:rsid w:val="00965B6B"/>
    <w:rsid w:val="00965B73"/>
    <w:rsid w:val="009713DE"/>
    <w:rsid w:val="00971EDB"/>
    <w:rsid w:val="00974D50"/>
    <w:rsid w:val="0098095C"/>
    <w:rsid w:val="00981D4C"/>
    <w:rsid w:val="00987ABE"/>
    <w:rsid w:val="00991EE4"/>
    <w:rsid w:val="009923D0"/>
    <w:rsid w:val="009939DC"/>
    <w:rsid w:val="00993B9C"/>
    <w:rsid w:val="0099621D"/>
    <w:rsid w:val="009B4E1E"/>
    <w:rsid w:val="009B61C6"/>
    <w:rsid w:val="009B7020"/>
    <w:rsid w:val="009C03FB"/>
    <w:rsid w:val="009C4B4F"/>
    <w:rsid w:val="009D4AA0"/>
    <w:rsid w:val="009E6697"/>
    <w:rsid w:val="009F0C02"/>
    <w:rsid w:val="009F0FFC"/>
    <w:rsid w:val="009F5758"/>
    <w:rsid w:val="00A0283F"/>
    <w:rsid w:val="00A04F4A"/>
    <w:rsid w:val="00A07671"/>
    <w:rsid w:val="00A1001B"/>
    <w:rsid w:val="00A26343"/>
    <w:rsid w:val="00A32324"/>
    <w:rsid w:val="00A3419D"/>
    <w:rsid w:val="00A408B5"/>
    <w:rsid w:val="00A44CD2"/>
    <w:rsid w:val="00A50806"/>
    <w:rsid w:val="00A51821"/>
    <w:rsid w:val="00A529E2"/>
    <w:rsid w:val="00A539F8"/>
    <w:rsid w:val="00A6491A"/>
    <w:rsid w:val="00A6594E"/>
    <w:rsid w:val="00A7158D"/>
    <w:rsid w:val="00A727B6"/>
    <w:rsid w:val="00A80CAC"/>
    <w:rsid w:val="00A81CC6"/>
    <w:rsid w:val="00A83EC6"/>
    <w:rsid w:val="00A84ED1"/>
    <w:rsid w:val="00A8732C"/>
    <w:rsid w:val="00A9062D"/>
    <w:rsid w:val="00A93F58"/>
    <w:rsid w:val="00A93FC9"/>
    <w:rsid w:val="00A96329"/>
    <w:rsid w:val="00AA134B"/>
    <w:rsid w:val="00AA2CFE"/>
    <w:rsid w:val="00AA32EE"/>
    <w:rsid w:val="00AA5FDA"/>
    <w:rsid w:val="00AA6291"/>
    <w:rsid w:val="00AB02C0"/>
    <w:rsid w:val="00AB2DCC"/>
    <w:rsid w:val="00AC0C91"/>
    <w:rsid w:val="00AC7EE1"/>
    <w:rsid w:val="00AD37D4"/>
    <w:rsid w:val="00AD3A37"/>
    <w:rsid w:val="00AD7986"/>
    <w:rsid w:val="00AE1188"/>
    <w:rsid w:val="00AE1C4B"/>
    <w:rsid w:val="00AE738C"/>
    <w:rsid w:val="00AF1046"/>
    <w:rsid w:val="00AF2DAD"/>
    <w:rsid w:val="00AF4466"/>
    <w:rsid w:val="00AF5D1E"/>
    <w:rsid w:val="00B0305D"/>
    <w:rsid w:val="00B040A9"/>
    <w:rsid w:val="00B14748"/>
    <w:rsid w:val="00B1711E"/>
    <w:rsid w:val="00B17CBE"/>
    <w:rsid w:val="00B17E26"/>
    <w:rsid w:val="00B231A4"/>
    <w:rsid w:val="00B240B2"/>
    <w:rsid w:val="00B25A4F"/>
    <w:rsid w:val="00B25D20"/>
    <w:rsid w:val="00B31C99"/>
    <w:rsid w:val="00B363E0"/>
    <w:rsid w:val="00B53BA6"/>
    <w:rsid w:val="00B5731D"/>
    <w:rsid w:val="00B6378B"/>
    <w:rsid w:val="00B63E3A"/>
    <w:rsid w:val="00B659A5"/>
    <w:rsid w:val="00B75965"/>
    <w:rsid w:val="00B771AD"/>
    <w:rsid w:val="00B814CB"/>
    <w:rsid w:val="00B81D6C"/>
    <w:rsid w:val="00B82B03"/>
    <w:rsid w:val="00BA0CF8"/>
    <w:rsid w:val="00BA1ADF"/>
    <w:rsid w:val="00BA51FC"/>
    <w:rsid w:val="00BB003A"/>
    <w:rsid w:val="00BB3358"/>
    <w:rsid w:val="00BB3382"/>
    <w:rsid w:val="00BB3643"/>
    <w:rsid w:val="00BC3DA0"/>
    <w:rsid w:val="00BC424B"/>
    <w:rsid w:val="00BE0FDE"/>
    <w:rsid w:val="00BE2198"/>
    <w:rsid w:val="00BE2E82"/>
    <w:rsid w:val="00BF6AC5"/>
    <w:rsid w:val="00BF74DC"/>
    <w:rsid w:val="00C004B8"/>
    <w:rsid w:val="00C01121"/>
    <w:rsid w:val="00C030A5"/>
    <w:rsid w:val="00C05A45"/>
    <w:rsid w:val="00C0690D"/>
    <w:rsid w:val="00C078AF"/>
    <w:rsid w:val="00C0796F"/>
    <w:rsid w:val="00C11B34"/>
    <w:rsid w:val="00C12287"/>
    <w:rsid w:val="00C12AB2"/>
    <w:rsid w:val="00C12C5C"/>
    <w:rsid w:val="00C154AF"/>
    <w:rsid w:val="00C171FB"/>
    <w:rsid w:val="00C1729A"/>
    <w:rsid w:val="00C1733F"/>
    <w:rsid w:val="00C209C2"/>
    <w:rsid w:val="00C2267F"/>
    <w:rsid w:val="00C22AD8"/>
    <w:rsid w:val="00C3557E"/>
    <w:rsid w:val="00C3594B"/>
    <w:rsid w:val="00C43102"/>
    <w:rsid w:val="00C4696B"/>
    <w:rsid w:val="00C50513"/>
    <w:rsid w:val="00C54503"/>
    <w:rsid w:val="00C63055"/>
    <w:rsid w:val="00C637D4"/>
    <w:rsid w:val="00C64AAA"/>
    <w:rsid w:val="00C6691F"/>
    <w:rsid w:val="00C72C28"/>
    <w:rsid w:val="00C72CEC"/>
    <w:rsid w:val="00C737AD"/>
    <w:rsid w:val="00C73B62"/>
    <w:rsid w:val="00C740CB"/>
    <w:rsid w:val="00C744F6"/>
    <w:rsid w:val="00C77263"/>
    <w:rsid w:val="00C776B1"/>
    <w:rsid w:val="00C815FE"/>
    <w:rsid w:val="00C81FA0"/>
    <w:rsid w:val="00C82DE7"/>
    <w:rsid w:val="00C847AE"/>
    <w:rsid w:val="00CA0216"/>
    <w:rsid w:val="00CA04C6"/>
    <w:rsid w:val="00CA26DD"/>
    <w:rsid w:val="00CA5E86"/>
    <w:rsid w:val="00CA6DAD"/>
    <w:rsid w:val="00CB12EC"/>
    <w:rsid w:val="00CC09D7"/>
    <w:rsid w:val="00CC12B8"/>
    <w:rsid w:val="00CC2749"/>
    <w:rsid w:val="00CC5AB1"/>
    <w:rsid w:val="00CD22E3"/>
    <w:rsid w:val="00CD4E44"/>
    <w:rsid w:val="00CD5AE4"/>
    <w:rsid w:val="00CD7A7D"/>
    <w:rsid w:val="00CE606C"/>
    <w:rsid w:val="00CF0FF2"/>
    <w:rsid w:val="00CF2D8E"/>
    <w:rsid w:val="00CF2DFA"/>
    <w:rsid w:val="00CF3802"/>
    <w:rsid w:val="00CF5AD8"/>
    <w:rsid w:val="00D00122"/>
    <w:rsid w:val="00D01D2A"/>
    <w:rsid w:val="00D0328F"/>
    <w:rsid w:val="00D04101"/>
    <w:rsid w:val="00D10B47"/>
    <w:rsid w:val="00D11EB1"/>
    <w:rsid w:val="00D17F17"/>
    <w:rsid w:val="00D23597"/>
    <w:rsid w:val="00D30BDC"/>
    <w:rsid w:val="00D30F4A"/>
    <w:rsid w:val="00D31195"/>
    <w:rsid w:val="00D57F88"/>
    <w:rsid w:val="00D63788"/>
    <w:rsid w:val="00D6573A"/>
    <w:rsid w:val="00D7105C"/>
    <w:rsid w:val="00D73646"/>
    <w:rsid w:val="00D777B4"/>
    <w:rsid w:val="00D77A90"/>
    <w:rsid w:val="00D8360B"/>
    <w:rsid w:val="00D85676"/>
    <w:rsid w:val="00D95635"/>
    <w:rsid w:val="00D96ADA"/>
    <w:rsid w:val="00DA2886"/>
    <w:rsid w:val="00DA5E50"/>
    <w:rsid w:val="00DA7C7D"/>
    <w:rsid w:val="00DA7D0C"/>
    <w:rsid w:val="00DB311C"/>
    <w:rsid w:val="00DB432D"/>
    <w:rsid w:val="00DB519B"/>
    <w:rsid w:val="00DC2CDF"/>
    <w:rsid w:val="00DC7694"/>
    <w:rsid w:val="00DC7FBE"/>
    <w:rsid w:val="00DD130E"/>
    <w:rsid w:val="00DD308E"/>
    <w:rsid w:val="00DE1964"/>
    <w:rsid w:val="00DF0149"/>
    <w:rsid w:val="00DF0C51"/>
    <w:rsid w:val="00DF0D47"/>
    <w:rsid w:val="00DF1652"/>
    <w:rsid w:val="00DF6D37"/>
    <w:rsid w:val="00E048ED"/>
    <w:rsid w:val="00E04FB3"/>
    <w:rsid w:val="00E058F2"/>
    <w:rsid w:val="00E05D9C"/>
    <w:rsid w:val="00E06102"/>
    <w:rsid w:val="00E107DE"/>
    <w:rsid w:val="00E14504"/>
    <w:rsid w:val="00E16DCD"/>
    <w:rsid w:val="00E23E71"/>
    <w:rsid w:val="00E27E14"/>
    <w:rsid w:val="00E30F19"/>
    <w:rsid w:val="00E33C4A"/>
    <w:rsid w:val="00E34DC5"/>
    <w:rsid w:val="00E357B9"/>
    <w:rsid w:val="00E35CC3"/>
    <w:rsid w:val="00E41AB2"/>
    <w:rsid w:val="00E4321E"/>
    <w:rsid w:val="00E44B80"/>
    <w:rsid w:val="00E47623"/>
    <w:rsid w:val="00E60529"/>
    <w:rsid w:val="00E641EF"/>
    <w:rsid w:val="00E70D86"/>
    <w:rsid w:val="00E7628E"/>
    <w:rsid w:val="00E82F54"/>
    <w:rsid w:val="00E8649B"/>
    <w:rsid w:val="00E871CD"/>
    <w:rsid w:val="00E90873"/>
    <w:rsid w:val="00E90990"/>
    <w:rsid w:val="00E95D3D"/>
    <w:rsid w:val="00E96BC4"/>
    <w:rsid w:val="00EA07F0"/>
    <w:rsid w:val="00EA0E25"/>
    <w:rsid w:val="00EA173C"/>
    <w:rsid w:val="00EB65C8"/>
    <w:rsid w:val="00EC127A"/>
    <w:rsid w:val="00EC1FF9"/>
    <w:rsid w:val="00EC2737"/>
    <w:rsid w:val="00EC6FC6"/>
    <w:rsid w:val="00EC7943"/>
    <w:rsid w:val="00ED2D12"/>
    <w:rsid w:val="00EE1ECF"/>
    <w:rsid w:val="00EE2716"/>
    <w:rsid w:val="00EE6450"/>
    <w:rsid w:val="00F01C2C"/>
    <w:rsid w:val="00F01E90"/>
    <w:rsid w:val="00F02ABF"/>
    <w:rsid w:val="00F040F4"/>
    <w:rsid w:val="00F10ED8"/>
    <w:rsid w:val="00F20F5C"/>
    <w:rsid w:val="00F21828"/>
    <w:rsid w:val="00F222BE"/>
    <w:rsid w:val="00F24179"/>
    <w:rsid w:val="00F301F1"/>
    <w:rsid w:val="00F3065D"/>
    <w:rsid w:val="00F30C22"/>
    <w:rsid w:val="00F33F1A"/>
    <w:rsid w:val="00F42132"/>
    <w:rsid w:val="00F547F7"/>
    <w:rsid w:val="00F54CCF"/>
    <w:rsid w:val="00F5569C"/>
    <w:rsid w:val="00F61D7A"/>
    <w:rsid w:val="00F62D30"/>
    <w:rsid w:val="00F637B3"/>
    <w:rsid w:val="00F65E10"/>
    <w:rsid w:val="00F66C0E"/>
    <w:rsid w:val="00F66CF7"/>
    <w:rsid w:val="00F67BCB"/>
    <w:rsid w:val="00F77C57"/>
    <w:rsid w:val="00F813C7"/>
    <w:rsid w:val="00F83566"/>
    <w:rsid w:val="00F83A9D"/>
    <w:rsid w:val="00F906B5"/>
    <w:rsid w:val="00F9267B"/>
    <w:rsid w:val="00F93784"/>
    <w:rsid w:val="00F971CC"/>
    <w:rsid w:val="00FA2CAA"/>
    <w:rsid w:val="00FA3DA1"/>
    <w:rsid w:val="00FA6554"/>
    <w:rsid w:val="00FB3D28"/>
    <w:rsid w:val="00FB5197"/>
    <w:rsid w:val="00FD5695"/>
    <w:rsid w:val="00FE16C1"/>
    <w:rsid w:val="00FE19FF"/>
    <w:rsid w:val="00FE33A6"/>
    <w:rsid w:val="00FE4F6A"/>
    <w:rsid w:val="00FE5452"/>
    <w:rsid w:val="00FF09B2"/>
    <w:rsid w:val="00FF534B"/>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4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styleId="UnresolvedMention">
    <w:name w:val="Unresolved Mention"/>
    <w:basedOn w:val="DefaultParagraphFont"/>
    <w:uiPriority w:val="99"/>
    <w:semiHidden/>
    <w:unhideWhenUsed/>
    <w:rsid w:val="00F040F4"/>
    <w:rPr>
      <w:color w:val="605E5C"/>
      <w:shd w:val="clear" w:color="auto" w:fill="E1DFDD"/>
    </w:rPr>
  </w:style>
  <w:style w:type="paragraph" w:styleId="Caption">
    <w:name w:val="caption"/>
    <w:basedOn w:val="Normal"/>
    <w:next w:val="Normal"/>
    <w:uiPriority w:val="35"/>
    <w:unhideWhenUsed/>
    <w:qFormat/>
    <w:rsid w:val="00350EC2"/>
    <w:pPr>
      <w:spacing w:before="0" w:after="200"/>
    </w:pPr>
    <w:rPr>
      <w:i/>
      <w:iCs/>
      <w:color w:val="1F497D" w:themeColor="text2"/>
      <w:sz w:val="18"/>
      <w:szCs w:val="18"/>
    </w:rPr>
  </w:style>
  <w:style w:type="character" w:styleId="FollowedHyperlink">
    <w:name w:val="FollowedHyperlink"/>
    <w:basedOn w:val="DefaultParagraphFont"/>
    <w:uiPriority w:val="99"/>
    <w:semiHidden/>
    <w:unhideWhenUsed/>
    <w:rsid w:val="00AD3A37"/>
    <w:rPr>
      <w:color w:val="800080" w:themeColor="followedHyperlink"/>
      <w:u w:val="single"/>
    </w:rPr>
  </w:style>
  <w:style w:type="paragraph" w:customStyle="1" w:styleId="EndNoteBibliographyTitle">
    <w:name w:val="EndNote Bibliography Title"/>
    <w:basedOn w:val="Normal"/>
    <w:link w:val="EndNoteBibliographyTitleChar"/>
    <w:rsid w:val="004C068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C0681"/>
    <w:rPr>
      <w:rFonts w:ascii="Calibri" w:hAnsi="Calibri" w:cs="Calibri"/>
      <w:noProof/>
      <w:sz w:val="20"/>
      <w:lang w:val="en-US"/>
    </w:rPr>
  </w:style>
  <w:style w:type="paragraph" w:customStyle="1" w:styleId="EndNoteBibliography">
    <w:name w:val="EndNote Bibliography"/>
    <w:basedOn w:val="Normal"/>
    <w:link w:val="EndNoteBibliographyChar"/>
    <w:rsid w:val="004C0681"/>
    <w:rPr>
      <w:rFonts w:ascii="Calibri" w:hAnsi="Calibri" w:cs="Calibri"/>
      <w:noProof/>
      <w:lang w:val="en-US"/>
    </w:rPr>
  </w:style>
  <w:style w:type="character" w:customStyle="1" w:styleId="EndNoteBibliographyChar">
    <w:name w:val="EndNote Bibliography Char"/>
    <w:basedOn w:val="DefaultParagraphFont"/>
    <w:link w:val="EndNoteBibliography"/>
    <w:rsid w:val="004C0681"/>
    <w:rPr>
      <w:rFonts w:ascii="Calibri" w:hAnsi="Calibri" w:cs="Calibri"/>
      <w:noProof/>
      <w:sz w:val="20"/>
      <w:lang w:val="en-US"/>
    </w:rPr>
  </w:style>
  <w:style w:type="paragraph" w:styleId="Revision">
    <w:name w:val="Revision"/>
    <w:hidden/>
    <w:uiPriority w:val="99"/>
    <w:semiHidden/>
    <w:rsid w:val="00C72C28"/>
    <w:pPr>
      <w:spacing w:after="0" w:line="240" w:lineRule="auto"/>
    </w:pPr>
    <w:rPr>
      <w:sz w:val="20"/>
    </w:rPr>
  </w:style>
  <w:style w:type="paragraph" w:styleId="NormalWeb">
    <w:name w:val="Normal (Web)"/>
    <w:basedOn w:val="Normal"/>
    <w:uiPriority w:val="99"/>
    <w:semiHidden/>
    <w:unhideWhenUsed/>
    <w:rsid w:val="00C72C28"/>
    <w:pPr>
      <w:spacing w:before="0" w:after="0"/>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90796">
      <w:bodyDiv w:val="1"/>
      <w:marLeft w:val="0"/>
      <w:marRight w:val="0"/>
      <w:marTop w:val="0"/>
      <w:marBottom w:val="0"/>
      <w:divBdr>
        <w:top w:val="none" w:sz="0" w:space="0" w:color="auto"/>
        <w:left w:val="none" w:sz="0" w:space="0" w:color="auto"/>
        <w:bottom w:val="none" w:sz="0" w:space="0" w:color="auto"/>
        <w:right w:val="none" w:sz="0" w:space="0" w:color="auto"/>
      </w:divBdr>
    </w:div>
    <w:div w:id="18559976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89952728">
      <w:bodyDiv w:val="1"/>
      <w:marLeft w:val="0"/>
      <w:marRight w:val="0"/>
      <w:marTop w:val="0"/>
      <w:marBottom w:val="0"/>
      <w:divBdr>
        <w:top w:val="none" w:sz="0" w:space="0" w:color="auto"/>
        <w:left w:val="none" w:sz="0" w:space="0" w:color="auto"/>
        <w:bottom w:val="none" w:sz="0" w:space="0" w:color="auto"/>
        <w:right w:val="none" w:sz="0" w:space="0" w:color="auto"/>
      </w:divBdr>
      <w:divsChild>
        <w:div w:id="192153691">
          <w:marLeft w:val="0"/>
          <w:marRight w:val="0"/>
          <w:marTop w:val="0"/>
          <w:marBottom w:val="0"/>
          <w:divBdr>
            <w:top w:val="none" w:sz="0" w:space="0" w:color="auto"/>
            <w:left w:val="none" w:sz="0" w:space="0" w:color="auto"/>
            <w:bottom w:val="none" w:sz="0" w:space="0" w:color="auto"/>
            <w:right w:val="none" w:sz="0" w:space="0" w:color="auto"/>
          </w:divBdr>
          <w:divsChild>
            <w:div w:id="291257155">
              <w:marLeft w:val="0"/>
              <w:marRight w:val="0"/>
              <w:marTop w:val="0"/>
              <w:marBottom w:val="0"/>
              <w:divBdr>
                <w:top w:val="none" w:sz="0" w:space="0" w:color="auto"/>
                <w:left w:val="none" w:sz="0" w:space="0" w:color="auto"/>
                <w:bottom w:val="none" w:sz="0" w:space="0" w:color="auto"/>
                <w:right w:val="none" w:sz="0" w:space="0" w:color="auto"/>
              </w:divBdr>
              <w:divsChild>
                <w:div w:id="863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30925">
      <w:bodyDiv w:val="1"/>
      <w:marLeft w:val="0"/>
      <w:marRight w:val="0"/>
      <w:marTop w:val="0"/>
      <w:marBottom w:val="0"/>
      <w:divBdr>
        <w:top w:val="none" w:sz="0" w:space="0" w:color="auto"/>
        <w:left w:val="none" w:sz="0" w:space="0" w:color="auto"/>
        <w:bottom w:val="none" w:sz="0" w:space="0" w:color="auto"/>
        <w:right w:val="none" w:sz="0" w:space="0" w:color="auto"/>
      </w:divBdr>
      <w:divsChild>
        <w:div w:id="576327448">
          <w:marLeft w:val="0"/>
          <w:marRight w:val="0"/>
          <w:marTop w:val="0"/>
          <w:marBottom w:val="0"/>
          <w:divBdr>
            <w:top w:val="none" w:sz="0" w:space="0" w:color="auto"/>
            <w:left w:val="none" w:sz="0" w:space="0" w:color="auto"/>
            <w:bottom w:val="none" w:sz="0" w:space="0" w:color="auto"/>
            <w:right w:val="none" w:sz="0" w:space="0" w:color="auto"/>
          </w:divBdr>
          <w:divsChild>
            <w:div w:id="11608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99566">
      <w:bodyDiv w:val="1"/>
      <w:marLeft w:val="0"/>
      <w:marRight w:val="0"/>
      <w:marTop w:val="0"/>
      <w:marBottom w:val="0"/>
      <w:divBdr>
        <w:top w:val="none" w:sz="0" w:space="0" w:color="auto"/>
        <w:left w:val="none" w:sz="0" w:space="0" w:color="auto"/>
        <w:bottom w:val="none" w:sz="0" w:space="0" w:color="auto"/>
        <w:right w:val="none" w:sz="0" w:space="0" w:color="auto"/>
      </w:divBdr>
    </w:div>
    <w:div w:id="886527007">
      <w:bodyDiv w:val="1"/>
      <w:marLeft w:val="0"/>
      <w:marRight w:val="0"/>
      <w:marTop w:val="0"/>
      <w:marBottom w:val="0"/>
      <w:divBdr>
        <w:top w:val="none" w:sz="0" w:space="0" w:color="auto"/>
        <w:left w:val="none" w:sz="0" w:space="0" w:color="auto"/>
        <w:bottom w:val="none" w:sz="0" w:space="0" w:color="auto"/>
        <w:right w:val="none" w:sz="0" w:space="0" w:color="auto"/>
      </w:divBdr>
    </w:div>
    <w:div w:id="896669890">
      <w:bodyDiv w:val="1"/>
      <w:marLeft w:val="0"/>
      <w:marRight w:val="0"/>
      <w:marTop w:val="0"/>
      <w:marBottom w:val="0"/>
      <w:divBdr>
        <w:top w:val="none" w:sz="0" w:space="0" w:color="auto"/>
        <w:left w:val="none" w:sz="0" w:space="0" w:color="auto"/>
        <w:bottom w:val="none" w:sz="0" w:space="0" w:color="auto"/>
        <w:right w:val="none" w:sz="0" w:space="0" w:color="auto"/>
      </w:divBdr>
    </w:div>
    <w:div w:id="1084062630">
      <w:bodyDiv w:val="1"/>
      <w:marLeft w:val="0"/>
      <w:marRight w:val="0"/>
      <w:marTop w:val="0"/>
      <w:marBottom w:val="0"/>
      <w:divBdr>
        <w:top w:val="none" w:sz="0" w:space="0" w:color="auto"/>
        <w:left w:val="none" w:sz="0" w:space="0" w:color="auto"/>
        <w:bottom w:val="none" w:sz="0" w:space="0" w:color="auto"/>
        <w:right w:val="none" w:sz="0" w:space="0" w:color="auto"/>
      </w:divBdr>
    </w:div>
    <w:div w:id="1100640639">
      <w:bodyDiv w:val="1"/>
      <w:marLeft w:val="0"/>
      <w:marRight w:val="0"/>
      <w:marTop w:val="0"/>
      <w:marBottom w:val="0"/>
      <w:divBdr>
        <w:top w:val="none" w:sz="0" w:space="0" w:color="auto"/>
        <w:left w:val="none" w:sz="0" w:space="0" w:color="auto"/>
        <w:bottom w:val="none" w:sz="0" w:space="0" w:color="auto"/>
        <w:right w:val="none" w:sz="0" w:space="0" w:color="auto"/>
      </w:divBdr>
    </w:div>
    <w:div w:id="1230462515">
      <w:bodyDiv w:val="1"/>
      <w:marLeft w:val="0"/>
      <w:marRight w:val="0"/>
      <w:marTop w:val="0"/>
      <w:marBottom w:val="0"/>
      <w:divBdr>
        <w:top w:val="none" w:sz="0" w:space="0" w:color="auto"/>
        <w:left w:val="none" w:sz="0" w:space="0" w:color="auto"/>
        <w:bottom w:val="none" w:sz="0" w:space="0" w:color="auto"/>
        <w:right w:val="none" w:sz="0" w:space="0" w:color="auto"/>
      </w:divBdr>
    </w:div>
    <w:div w:id="1280409331">
      <w:bodyDiv w:val="1"/>
      <w:marLeft w:val="0"/>
      <w:marRight w:val="0"/>
      <w:marTop w:val="0"/>
      <w:marBottom w:val="0"/>
      <w:divBdr>
        <w:top w:val="none" w:sz="0" w:space="0" w:color="auto"/>
        <w:left w:val="none" w:sz="0" w:space="0" w:color="auto"/>
        <w:bottom w:val="none" w:sz="0" w:space="0" w:color="auto"/>
        <w:right w:val="none" w:sz="0" w:space="0" w:color="auto"/>
      </w:divBdr>
    </w:div>
    <w:div w:id="1559198520">
      <w:bodyDiv w:val="1"/>
      <w:marLeft w:val="0"/>
      <w:marRight w:val="0"/>
      <w:marTop w:val="0"/>
      <w:marBottom w:val="0"/>
      <w:divBdr>
        <w:top w:val="none" w:sz="0" w:space="0" w:color="auto"/>
        <w:left w:val="none" w:sz="0" w:space="0" w:color="auto"/>
        <w:bottom w:val="none" w:sz="0" w:space="0" w:color="auto"/>
        <w:right w:val="none" w:sz="0" w:space="0" w:color="auto"/>
      </w:divBdr>
    </w:div>
    <w:div w:id="1568805897">
      <w:bodyDiv w:val="1"/>
      <w:marLeft w:val="0"/>
      <w:marRight w:val="0"/>
      <w:marTop w:val="0"/>
      <w:marBottom w:val="0"/>
      <w:divBdr>
        <w:top w:val="none" w:sz="0" w:space="0" w:color="auto"/>
        <w:left w:val="none" w:sz="0" w:space="0" w:color="auto"/>
        <w:bottom w:val="none" w:sz="0" w:space="0" w:color="auto"/>
        <w:right w:val="none" w:sz="0" w:space="0" w:color="auto"/>
      </w:divBdr>
    </w:div>
    <w:div w:id="1662614510">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189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holightmedical.com/wp-content/uploads/2020/10/ASBMR2020-P-529-REMS-technology-a-new-diagnostic-approach-in-patients-with-spine-artifacts.pdf" TargetMode="External"/><Relationship Id="rId18" Type="http://schemas.openxmlformats.org/officeDocument/2006/relationships/hyperlink" Target="https://www.echolightmedical.com/wp-content/uploads/2020/11/Kirilova2019_fratture.pdf"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aihw.gov.au/getmedia/d89eda49-8e92-4045-996e-f38807142b2e/Osteoporosis.pdf.aspx?inline=true" TargetMode="External"/><Relationship Id="rId7" Type="http://schemas.openxmlformats.org/officeDocument/2006/relationships/endnotes" Target="endnotes.xml"/><Relationship Id="rId12" Type="http://schemas.openxmlformats.org/officeDocument/2006/relationships/hyperlink" Target="https://www.echolightmedical.com/iscd-2020/" TargetMode="External"/><Relationship Id="rId17" Type="http://schemas.openxmlformats.org/officeDocument/2006/relationships/hyperlink" Target="https://www.echolight.it/wp-content/uploads/2020/05/2019_CCMBM_Kirilova-et-al-REMS-in-Pre-e-Post-Menopausal-Women.pdf" TargetMode="External"/><Relationship Id="rId25" Type="http://schemas.openxmlformats.org/officeDocument/2006/relationships/hyperlink" Target="https://www.echolightmedical.com/technology/" TargetMode="External"/><Relationship Id="rId2" Type="http://schemas.openxmlformats.org/officeDocument/2006/relationships/numbering" Target="numbering.xml"/><Relationship Id="rId16" Type="http://schemas.openxmlformats.org/officeDocument/2006/relationships/hyperlink" Target="https://www.echolight.it/wp-content/uploads/2020/07/Khu2020_indonesia.pdf" TargetMode="External"/><Relationship Id="rId20" Type="http://schemas.openxmlformats.org/officeDocument/2006/relationships/hyperlink" Target="https://healthybonesaustralia.org.au/" TargetMode="External"/><Relationship Id="rId29" Type="http://schemas.openxmlformats.org/officeDocument/2006/relationships/hyperlink" Target="https://www1.health.gov.au/internet/main/publishing.nsf/Content/diagnosticimaging-bd.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d.bmj.com/content/annrheumdis/79/Suppl_1/1830.1.full.pdf" TargetMode="External"/><Relationship Id="rId23" Type="http://schemas.openxmlformats.org/officeDocument/2006/relationships/image" Target="media/image2.png"/><Relationship Id="rId28" Type="http://schemas.openxmlformats.org/officeDocument/2006/relationships/hyperlink" Target="https://www.racgp.org.au/download/Documents/Guidelines/Musculoskeletal/osteoporosis-algorithm.pdf" TargetMode="External"/><Relationship Id="rId10" Type="http://schemas.openxmlformats.org/officeDocument/2006/relationships/hyperlink" Target="http://www.msac.gov.au/" TargetMode="External"/><Relationship Id="rId19" Type="http://schemas.openxmlformats.org/officeDocument/2006/relationships/hyperlink" Target="http://2019.wco-iof-esceo.org/sites/wco19/pdf/WCO19-AbstractBook.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ncbi.nlm.nih.gov/pmc/articles/PMC6676208/" TargetMode="External"/><Relationship Id="rId22" Type="http://schemas.openxmlformats.org/officeDocument/2006/relationships/hyperlink" Target="https://www.racgp.org.au/download/Documents/Guidelines/Musculoskeletal/osteoporosis-algorithm.pdf" TargetMode="External"/><Relationship Id="rId27" Type="http://schemas.openxmlformats.org/officeDocument/2006/relationships/hyperlink" Target="https://www.echolightmedical.com/technology/" TargetMode="External"/><Relationship Id="rId30" Type="http://schemas.openxmlformats.org/officeDocument/2006/relationships/hyperlink" Target="https://www.aihw.gov.au/reports/chronic-musculoskeletal-conditions/osteopo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3232D-C2B3-4AE9-9916-5BF44E73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10742</Words>
  <Characters>61230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2021-09-11T02:06:00Z</dcterms:created>
  <dcterms:modified xsi:type="dcterms:W3CDTF">2021-09-21T00:52:00Z</dcterms:modified>
</cp:coreProperties>
</file>