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F3E3D"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38173F05" wp14:editId="6ED9740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07386EB"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B0BE0A1" w14:textId="77777777" w:rsidR="00BC1364" w:rsidRPr="00F715D1" w:rsidRDefault="00BC1364" w:rsidP="00F715D1">
      <w:pPr>
        <w:pStyle w:val="Subtitle"/>
      </w:pPr>
      <w:r w:rsidRPr="00F715D1">
        <w:t xml:space="preserve">Application No. </w:t>
      </w:r>
      <w:r w:rsidR="00046460">
        <w:t>1498</w:t>
      </w:r>
      <w:r w:rsidRPr="00F715D1">
        <w:t xml:space="preserve"> – </w:t>
      </w:r>
      <w:r w:rsidR="00046460">
        <w:t>Serum Soluble Transferrin Receptor Testing</w:t>
      </w:r>
    </w:p>
    <w:p w14:paraId="31B552B0" w14:textId="77777777" w:rsidR="00BC1364" w:rsidRPr="00F715D1" w:rsidRDefault="00B35595" w:rsidP="00294A82">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294A82" w:rsidRPr="00513D79">
        <w:rPr>
          <w:rFonts w:ascii="Arial" w:hAnsi="Arial" w:cs="Arial"/>
          <w:b/>
          <w:szCs w:val="24"/>
        </w:rPr>
        <w:t xml:space="preserve">The Royal College of Pathologists of </w:t>
      </w:r>
      <w:r w:rsidR="00294A82">
        <w:rPr>
          <w:rFonts w:ascii="Arial" w:hAnsi="Arial" w:cs="Arial"/>
          <w:b/>
          <w:szCs w:val="24"/>
        </w:rPr>
        <w:tab/>
      </w:r>
      <w:r w:rsidR="00294A82" w:rsidRPr="00513D79">
        <w:rPr>
          <w:rFonts w:ascii="Arial" w:hAnsi="Arial" w:cs="Arial"/>
          <w:b/>
          <w:szCs w:val="24"/>
        </w:rPr>
        <w:t>Australasia</w:t>
      </w:r>
      <w:r w:rsidR="00294A82">
        <w:rPr>
          <w:rFonts w:ascii="Arial" w:hAnsi="Arial" w:cs="Arial"/>
          <w:b/>
          <w:szCs w:val="24"/>
        </w:rPr>
        <w:t xml:space="preserve"> (RCPA) </w:t>
      </w:r>
    </w:p>
    <w:p w14:paraId="1431E762"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046460">
        <w:rPr>
          <w:rFonts w:ascii="Arial" w:hAnsi="Arial" w:cs="Arial"/>
          <w:b/>
          <w:szCs w:val="24"/>
        </w:rPr>
        <w:t>74</w:t>
      </w:r>
      <w:r w:rsidR="00046460" w:rsidRPr="00046460">
        <w:rPr>
          <w:rFonts w:ascii="Arial" w:hAnsi="Arial" w:cs="Arial"/>
          <w:b/>
          <w:szCs w:val="24"/>
          <w:vertAlign w:val="superscript"/>
        </w:rPr>
        <w:t>th</w:t>
      </w:r>
      <w:r w:rsidR="00046460">
        <w:rPr>
          <w:rFonts w:ascii="Arial" w:hAnsi="Arial" w:cs="Arial"/>
          <w:b/>
          <w:szCs w:val="24"/>
        </w:rPr>
        <w:t xml:space="preserve"> </w:t>
      </w:r>
      <w:r w:rsidRPr="00F715D1">
        <w:rPr>
          <w:rFonts w:ascii="Arial" w:hAnsi="Arial" w:cs="Arial"/>
          <w:b/>
          <w:szCs w:val="24"/>
        </w:rPr>
        <w:t xml:space="preserve">Meeting, </w:t>
      </w:r>
      <w:r w:rsidR="00046460">
        <w:rPr>
          <w:rFonts w:ascii="Arial" w:hAnsi="Arial" w:cs="Arial"/>
          <w:b/>
          <w:szCs w:val="24"/>
        </w:rPr>
        <w:t>22-23</w:t>
      </w:r>
      <w:r w:rsidR="001023DC">
        <w:rPr>
          <w:rFonts w:ascii="Arial" w:hAnsi="Arial" w:cs="Arial"/>
          <w:b/>
          <w:szCs w:val="24"/>
        </w:rPr>
        <w:t xml:space="preserve"> </w:t>
      </w:r>
      <w:r w:rsidR="00046460">
        <w:rPr>
          <w:rFonts w:ascii="Arial" w:hAnsi="Arial" w:cs="Arial"/>
          <w:b/>
          <w:szCs w:val="24"/>
        </w:rPr>
        <w:t>November 2018</w:t>
      </w:r>
    </w:p>
    <w:p w14:paraId="59864BFA" w14:textId="5ACBAB8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101DAA90" w14:textId="77777777" w:rsidR="003D7F29" w:rsidRPr="00F715D1" w:rsidRDefault="003D7F29" w:rsidP="00F715D1">
      <w:pPr>
        <w:pStyle w:val="Heading1"/>
      </w:pPr>
      <w:r w:rsidRPr="00F715D1">
        <w:t>Purpose of application</w:t>
      </w:r>
      <w:r w:rsidR="00822C7E" w:rsidRPr="00F715D1">
        <w:t xml:space="preserve"> </w:t>
      </w:r>
    </w:p>
    <w:p w14:paraId="5D2509A3" w14:textId="7D17AC72" w:rsidR="00D433A1" w:rsidRDefault="00DB27AB" w:rsidP="00DA587D">
      <w:pPr>
        <w:tabs>
          <w:tab w:val="left" w:pos="284"/>
          <w:tab w:val="left" w:pos="567"/>
          <w:tab w:val="left" w:pos="720"/>
          <w:tab w:val="left" w:pos="1140"/>
        </w:tabs>
        <w:rPr>
          <w:iCs/>
          <w:lang w:val="en-US"/>
        </w:rPr>
      </w:pPr>
      <w:r w:rsidRPr="00503E7F">
        <w:rPr>
          <w:iCs/>
        </w:rPr>
        <w:t xml:space="preserve">An application requesting Medicare Benefit Schedule (MBS) listing </w:t>
      </w:r>
      <w:r w:rsidR="00683F8E">
        <w:rPr>
          <w:iCs/>
        </w:rPr>
        <w:t xml:space="preserve">for a </w:t>
      </w:r>
      <w:r w:rsidRPr="00503E7F">
        <w:rPr>
          <w:iCs/>
          <w:lang w:val="en-US"/>
        </w:rPr>
        <w:t>test</w:t>
      </w:r>
      <w:r w:rsidR="00683F8E">
        <w:rPr>
          <w:iCs/>
          <w:lang w:val="en-US"/>
        </w:rPr>
        <w:t xml:space="preserve"> </w:t>
      </w:r>
      <w:r w:rsidR="00683F8E" w:rsidRPr="00503E7F">
        <w:rPr>
          <w:iCs/>
          <w:lang w:val="en-US"/>
        </w:rPr>
        <w:t xml:space="preserve">for </w:t>
      </w:r>
      <w:r w:rsidR="00683F8E" w:rsidRPr="00503E7F">
        <w:rPr>
          <w:bCs/>
          <w:iCs/>
          <w:lang w:val="en-US"/>
        </w:rPr>
        <w:t>soluble transferrin receptor (sTfR)</w:t>
      </w:r>
      <w:r w:rsidR="00246657">
        <w:rPr>
          <w:bCs/>
          <w:iCs/>
          <w:lang w:val="en-US"/>
        </w:rPr>
        <w:t xml:space="preserve"> to aid in </w:t>
      </w:r>
      <w:r w:rsidR="009F0CCC">
        <w:rPr>
          <w:bCs/>
          <w:iCs/>
          <w:lang w:val="en-US"/>
        </w:rPr>
        <w:t xml:space="preserve">differentiating between </w:t>
      </w:r>
      <w:r w:rsidR="00246657">
        <w:t>iron deficiency anaemia (IDA) and anaemia of chronic disease (ACD)</w:t>
      </w:r>
      <w:r w:rsidR="00246657">
        <w:rPr>
          <w:bCs/>
          <w:iCs/>
          <w:lang w:val="en-US"/>
        </w:rPr>
        <w:t xml:space="preserve"> </w:t>
      </w:r>
      <w:r w:rsidR="000D166D">
        <w:t xml:space="preserve">in patients with </w:t>
      </w:r>
      <w:r w:rsidR="000D166D" w:rsidRPr="000D166D">
        <w:rPr>
          <w:rFonts w:eastAsia="Calibri"/>
          <w:lang w:eastAsia="en-US"/>
        </w:rPr>
        <w:t xml:space="preserve">serum ferritin levels of 30-100 µg/L (or 20-100 µg/L in children) and </w:t>
      </w:r>
      <w:r w:rsidR="000D166D" w:rsidRPr="000D166D">
        <w:t>transferrin saturation (TSAT)</w:t>
      </w:r>
      <w:r w:rsidR="000D166D">
        <w:t> </w:t>
      </w:r>
      <w:r w:rsidR="000D166D" w:rsidRPr="000D166D">
        <w:t xml:space="preserve">&lt; </w:t>
      </w:r>
      <w:r w:rsidR="000D166D">
        <w:rPr>
          <w:rFonts w:eastAsia="Calibri"/>
          <w:lang w:eastAsia="en-US"/>
        </w:rPr>
        <w:t xml:space="preserve">30% </w:t>
      </w:r>
      <w:r>
        <w:rPr>
          <w:bCs/>
          <w:iCs/>
          <w:lang w:val="en-US"/>
        </w:rPr>
        <w:t xml:space="preserve">was </w:t>
      </w:r>
      <w:r w:rsidRPr="00503E7F">
        <w:rPr>
          <w:iCs/>
        </w:rPr>
        <w:t xml:space="preserve">received from </w:t>
      </w:r>
      <w:r>
        <w:rPr>
          <w:iCs/>
        </w:rPr>
        <w:t xml:space="preserve">the </w:t>
      </w:r>
      <w:r w:rsidRPr="00503E7F">
        <w:rPr>
          <w:iCs/>
          <w:lang w:val="en-US"/>
        </w:rPr>
        <w:t>Royal Col</w:t>
      </w:r>
      <w:r w:rsidR="00DA587D">
        <w:rPr>
          <w:iCs/>
          <w:lang w:val="en-US"/>
        </w:rPr>
        <w:t>lege of Pathologists Australasia (RCPA)</w:t>
      </w:r>
      <w:r>
        <w:rPr>
          <w:iCs/>
          <w:lang w:val="en-US"/>
        </w:rPr>
        <w:t xml:space="preserve">. </w:t>
      </w:r>
    </w:p>
    <w:p w14:paraId="70EF9C50" w14:textId="77777777" w:rsidR="00E977EE" w:rsidRPr="00F715D1" w:rsidRDefault="00E977EE" w:rsidP="00F715D1">
      <w:pPr>
        <w:pStyle w:val="Heading1"/>
      </w:pPr>
      <w:r w:rsidRPr="00F715D1">
        <w:t>MSAC’s advice to the Minister</w:t>
      </w:r>
    </w:p>
    <w:p w14:paraId="334C8AB2" w14:textId="103F8721" w:rsidR="00152619" w:rsidRPr="001122EC" w:rsidRDefault="00152619" w:rsidP="00152619">
      <w:r w:rsidRPr="001122EC">
        <w:t xml:space="preserve">After considering the strength of the available evidence in relation to comparative safety, </w:t>
      </w:r>
      <w:r>
        <w:t>clinical effectiveness and cost-</w:t>
      </w:r>
      <w:r w:rsidRPr="001122EC">
        <w:t>effectiveness, MSAC did not support public funding for serum soluble transferrin receptor testing</w:t>
      </w:r>
      <w:r>
        <w:t>,</w:t>
      </w:r>
      <w:r w:rsidRPr="001122EC">
        <w:t xml:space="preserve"> as the clinical benefit and diagnostic accuracy</w:t>
      </w:r>
      <w:r w:rsidR="00CA5D5D">
        <w:t xml:space="preserve"> of the test</w:t>
      </w:r>
      <w:r w:rsidRPr="001122EC">
        <w:t xml:space="preserve"> in the </w:t>
      </w:r>
      <w:r w:rsidR="00CA5D5D">
        <w:t>proposed management algorithm</w:t>
      </w:r>
      <w:r w:rsidRPr="001122EC">
        <w:t xml:space="preserve"> is uncertain and </w:t>
      </w:r>
      <w:r>
        <w:t>difficult</w:t>
      </w:r>
      <w:r w:rsidRPr="001122EC">
        <w:t xml:space="preserve"> to quantify, and these uncertainties flowed to the economic analysis.</w:t>
      </w:r>
    </w:p>
    <w:p w14:paraId="1A719C38" w14:textId="77777777" w:rsidR="00550354" w:rsidRPr="00F715D1" w:rsidRDefault="00550354" w:rsidP="00F715D1">
      <w:pPr>
        <w:pStyle w:val="Heading1"/>
      </w:pPr>
      <w:r w:rsidRPr="00F715D1">
        <w:t xml:space="preserve">Summary of consideration and rationale for MSAC’s advice </w:t>
      </w:r>
    </w:p>
    <w:p w14:paraId="1A9C4118" w14:textId="5EF31156" w:rsidR="00C84BEC" w:rsidRDefault="00152619" w:rsidP="00152619">
      <w:pPr>
        <w:spacing w:after="240"/>
      </w:pPr>
      <w:r>
        <w:t xml:space="preserve">MSAC noted that the MBS Review Taskforce (the Taskforce) has recently examined and made recommendations on the existing MBS items relating to iron studies, so that the default test for iron deficiency </w:t>
      </w:r>
      <w:r w:rsidR="007337D2">
        <w:t xml:space="preserve">for most patients </w:t>
      </w:r>
      <w:r>
        <w:t xml:space="preserve">is </w:t>
      </w:r>
      <w:r w:rsidR="007337D2">
        <w:t xml:space="preserve">serum </w:t>
      </w:r>
      <w:r>
        <w:t xml:space="preserve">ferritin. MSAC noted that </w:t>
      </w:r>
      <w:r w:rsidR="007337D2">
        <w:t xml:space="preserve">the Taskforce </w:t>
      </w:r>
      <w:r>
        <w:t xml:space="preserve"> report is currently undergoing consultation. ​</w:t>
      </w:r>
    </w:p>
    <w:p w14:paraId="7779ECDD" w14:textId="69F1404D" w:rsidR="00C84BEC" w:rsidRDefault="00152619" w:rsidP="005112C9">
      <w:pPr>
        <w:spacing w:after="240"/>
      </w:pPr>
      <w:r>
        <w:t xml:space="preserve">MSAC noted that the clinical claim is that sTfR testing will aid in the differentiation between IDA and ACD in patients </w:t>
      </w:r>
      <w:r w:rsidR="00C84BEC">
        <w:t>who meet the fo</w:t>
      </w:r>
      <w:r w:rsidR="005112C9">
        <w:t>llowing criteria:</w:t>
      </w:r>
      <w:r w:rsidR="00C84BEC">
        <w:t xml:space="preserve"> </w:t>
      </w:r>
    </w:p>
    <w:p w14:paraId="1B80CE80" w14:textId="1A82E713" w:rsidR="00C84BEC" w:rsidRDefault="00152619" w:rsidP="005112C9">
      <w:pPr>
        <w:pStyle w:val="NormalBeforeBullet"/>
        <w:numPr>
          <w:ilvl w:val="0"/>
          <w:numId w:val="30"/>
        </w:numPr>
      </w:pPr>
      <w:r>
        <w:lastRenderedPageBreak/>
        <w:t>confirmed diagnosis of anaemia</w:t>
      </w:r>
      <w:r w:rsidR="00C84BEC">
        <w:t xml:space="preserve">; </w:t>
      </w:r>
      <w:r w:rsidR="009F0CCC">
        <w:t>and</w:t>
      </w:r>
    </w:p>
    <w:p w14:paraId="377ED3DA" w14:textId="0E068877" w:rsidR="00C84BEC" w:rsidRDefault="00152619" w:rsidP="005112C9">
      <w:pPr>
        <w:pStyle w:val="NormalBeforeBullet"/>
        <w:numPr>
          <w:ilvl w:val="0"/>
          <w:numId w:val="30"/>
        </w:numPr>
      </w:pPr>
      <w:r>
        <w:t>serum ferritin levels of 30–100 µg/L (or 20–100 µg/L for children)</w:t>
      </w:r>
      <w:r w:rsidR="00C84BEC">
        <w:t>;</w:t>
      </w:r>
      <w:r>
        <w:t xml:space="preserve"> and </w:t>
      </w:r>
    </w:p>
    <w:p w14:paraId="17921363" w14:textId="49E9ED95" w:rsidR="00C84BEC" w:rsidRDefault="00152619" w:rsidP="00C84BEC">
      <w:pPr>
        <w:pStyle w:val="NormalBeforeBullet"/>
        <w:numPr>
          <w:ilvl w:val="0"/>
          <w:numId w:val="30"/>
        </w:numPr>
      </w:pPr>
      <w:r>
        <w:t>TSAT less than 30</w:t>
      </w:r>
      <w:r w:rsidR="00A016A4">
        <w:t>%.</w:t>
      </w:r>
    </w:p>
    <w:p w14:paraId="59FE717D" w14:textId="3FC9E413" w:rsidR="00152619" w:rsidRDefault="00A016A4" w:rsidP="00C84BEC">
      <w:pPr>
        <w:pStyle w:val="NormalBeforeBullet"/>
      </w:pPr>
      <w:r>
        <w:t>As a consequence</w:t>
      </w:r>
      <w:r w:rsidR="00CA5D5D">
        <w:t>,</w:t>
      </w:r>
      <w:r w:rsidR="00C84BEC">
        <w:t xml:space="preserve"> sTfR testing will allow</w:t>
      </w:r>
      <w:r w:rsidR="00152619">
        <w:t>:​</w:t>
      </w:r>
    </w:p>
    <w:p w14:paraId="1154AEEA" w14:textId="5BCD0B67" w:rsidR="00152619" w:rsidRDefault="00C84BEC" w:rsidP="005112C9">
      <w:pPr>
        <w:pStyle w:val="Bullet"/>
        <w:numPr>
          <w:ilvl w:val="0"/>
          <w:numId w:val="31"/>
        </w:numPr>
        <w:ind w:firstLine="66"/>
      </w:pPr>
      <w:r>
        <w:t>identification of</w:t>
      </w:r>
      <w:r w:rsidR="00152619">
        <w:t xml:space="preserve"> patients who will not respond to iron therapy; and ​</w:t>
      </w:r>
    </w:p>
    <w:p w14:paraId="78C70D10" w14:textId="643B487B" w:rsidR="00152619" w:rsidRDefault="00152619" w:rsidP="005112C9">
      <w:pPr>
        <w:pStyle w:val="BulletLast"/>
        <w:numPr>
          <w:ilvl w:val="0"/>
          <w:numId w:val="31"/>
        </w:numPr>
        <w:ind w:firstLine="66"/>
      </w:pPr>
      <w:r>
        <w:t>timely and targeted investigations to diagnose underlying disease.​</w:t>
      </w:r>
    </w:p>
    <w:p w14:paraId="074D18A6" w14:textId="77777777" w:rsidR="00152619" w:rsidRDefault="00152619" w:rsidP="00152619">
      <w:pPr>
        <w:spacing w:after="240"/>
      </w:pPr>
      <w:r>
        <w:t>As management differs between patients with IDA and those with ACD, it is important to correctly diagnose anaemic patients in order to guide appropriate clinical management.</w:t>
      </w:r>
    </w:p>
    <w:p w14:paraId="33B75945" w14:textId="3B03261F" w:rsidR="00152619" w:rsidRDefault="00152619" w:rsidP="00152619">
      <w:pPr>
        <w:spacing w:after="240"/>
      </w:pPr>
      <w:r>
        <w:t>MSAC noted that diagnosis of IDA requires the patient to be anaemic (low haemoglobin) and iron deficient​</w:t>
      </w:r>
      <w:r w:rsidR="00031287">
        <w:t xml:space="preserve"> and t</w:t>
      </w:r>
      <w:r>
        <w:t xml:space="preserve">he </w:t>
      </w:r>
      <w:r w:rsidR="007337D2">
        <w:t>proposed eligibility</w:t>
      </w:r>
      <w:r>
        <w:t xml:space="preserve"> for sT</w:t>
      </w:r>
      <w:r w:rsidR="009F0CCC">
        <w:t>f</w:t>
      </w:r>
      <w:r>
        <w:t xml:space="preserve">R </w:t>
      </w:r>
      <w:r w:rsidR="00031287">
        <w:t xml:space="preserve">testing </w:t>
      </w:r>
      <w:r>
        <w:t xml:space="preserve">requires </w:t>
      </w:r>
      <w:r w:rsidR="00031287">
        <w:t xml:space="preserve">a </w:t>
      </w:r>
      <w:r>
        <w:t>low TSAT (performed as part of iron studies)</w:t>
      </w:r>
      <w:r w:rsidR="00031287">
        <w:t>. S</w:t>
      </w:r>
      <w:r>
        <w:t xml:space="preserve">o </w:t>
      </w:r>
      <w:r w:rsidR="00031287">
        <w:t>for the patients proposed for sTfR testing, haemoglobin, ferritin and TSAT results will already be available</w:t>
      </w:r>
      <w:r>
        <w:t>. ​</w:t>
      </w:r>
    </w:p>
    <w:p w14:paraId="1BE8720D" w14:textId="02DA532D" w:rsidR="00152619" w:rsidRDefault="00152619" w:rsidP="00152619">
      <w:pPr>
        <w:spacing w:after="240"/>
      </w:pPr>
      <w:r>
        <w:t xml:space="preserve">MSAC noted that </w:t>
      </w:r>
      <w:r w:rsidRPr="00A65D03">
        <w:t xml:space="preserve">sTfR testing is performed on the same blood sample </w:t>
      </w:r>
      <w:r w:rsidR="00031287">
        <w:t>used</w:t>
      </w:r>
      <w:r w:rsidR="00031287" w:rsidRPr="00A65D03">
        <w:t xml:space="preserve"> </w:t>
      </w:r>
      <w:r w:rsidRPr="00A65D03">
        <w:t xml:space="preserve">for haemoglobin concentration and serum ferritin level testing. Therefore, </w:t>
      </w:r>
      <w:r w:rsidR="007337D2">
        <w:t xml:space="preserve">there are </w:t>
      </w:r>
      <w:r w:rsidRPr="00A65D03">
        <w:t>no additional safety issues</w:t>
      </w:r>
      <w:r w:rsidR="00ED6DA2">
        <w:t xml:space="preserve"> that</w:t>
      </w:r>
      <w:r w:rsidRPr="00A65D03">
        <w:t xml:space="preserve"> arise relating to additional sample collection.</w:t>
      </w:r>
    </w:p>
    <w:p w14:paraId="3F6C293A" w14:textId="15EDBDD4" w:rsidR="00152619" w:rsidRDefault="00152619" w:rsidP="00152619">
      <w:pPr>
        <w:spacing w:after="240"/>
      </w:pPr>
      <w:r>
        <w:t>MSAC</w:t>
      </w:r>
      <w:r w:rsidRPr="00BA6FED">
        <w:t xml:space="preserve"> noted </w:t>
      </w:r>
      <w:r>
        <w:t>the</w:t>
      </w:r>
      <w:r w:rsidRPr="00BA6FED">
        <w:t xml:space="preserve"> paucity of epidemiological data on the prevalence of anaemic patients with ferritin levels of 30–100 µg/L (or 20–100 µg/L in children) and TSAT of less than 30%</w:t>
      </w:r>
      <w:r>
        <w:t>.</w:t>
      </w:r>
      <w:r w:rsidRPr="00BA6FED">
        <w:t xml:space="preserve"> Data provided by the </w:t>
      </w:r>
      <w:r>
        <w:t>RCPA</w:t>
      </w:r>
      <w:r w:rsidRPr="00BA6FED">
        <w:t xml:space="preserve"> Working Group</w:t>
      </w:r>
      <w:r w:rsidR="008B7A90">
        <w:t xml:space="preserve"> estimated this prevalence to be 3.7%</w:t>
      </w:r>
      <w:r>
        <w:t>; however,</w:t>
      </w:r>
      <w:r w:rsidRPr="00BA6FED">
        <w:t xml:space="preserve"> these data were sourced from a single large community</w:t>
      </w:r>
      <w:r>
        <w:t>-</w:t>
      </w:r>
      <w:r w:rsidRPr="00BA6FED">
        <w:t xml:space="preserve"> and hospital-based practice and estimated to include about 10% of all Medicare Pathology activity over 1 month. </w:t>
      </w:r>
    </w:p>
    <w:p w14:paraId="33765B01" w14:textId="77777777" w:rsidR="00152619" w:rsidRDefault="00152619" w:rsidP="00152619">
      <w:pPr>
        <w:spacing w:after="240"/>
      </w:pPr>
      <w:r>
        <w:t xml:space="preserve">MSAC noted that, as there was no direct evidence to assess sTfR testing in anaemic patients with ferritin levels of 30–100 µg/L (and 20–100 µg/L in children) and a TSAT &lt;30%, a linked evidence approach was adopted. One study was identified that included an analysis of the diagnostic accuracy of sTfR testing in adults with anaemia who had serum ferritin levels of 10–100 µg/L. This single study was included in the assessment because it reported the diagnostic accuracy of sTfR and ferritin separately in a range of ferritin levels close to that specified in the PICO. The reference standard used was a composite of three criteria, each of uncertain accuracy, and also included the index test; therefore, the study was at risk of verification and incorporation bias. Coupled with poor reporting of patient selection and uncertainty of whether a case-control design was avoided, this led to the study being assessed as being at a high risk of bias.  </w:t>
      </w:r>
    </w:p>
    <w:p w14:paraId="5E8E1366" w14:textId="5529BAD9" w:rsidR="00152619" w:rsidRDefault="00152619" w:rsidP="00152619">
      <w:pPr>
        <w:spacing w:after="240"/>
      </w:pPr>
      <w:r>
        <w:t>MSAC noted that, given the lack of evidence for the population of anaemic patients already determined to have ferritin levels of 30–100 µg/L (or 20–100 µg/L for children) and a TSAT of &lt;30%, it is suggested that, relative to ferritin testing or iron studies, sTfR testing and associated interventions has uncertain effectiveness.​</w:t>
      </w:r>
    </w:p>
    <w:p w14:paraId="0B8B0853" w14:textId="77777777" w:rsidR="00152619" w:rsidRDefault="00152619" w:rsidP="00152619">
      <w:pPr>
        <w:spacing w:after="240"/>
      </w:pPr>
      <w:r>
        <w:t>Additionally, MSAC noted that, for the population of anaemic adults already determined to have ferritin levels of 10–100 µg/L, it is suggested that sTfR testing and associated interventions have uncertain safety and uncertain effectiveness</w:t>
      </w:r>
      <w:r w:rsidRPr="001122EC">
        <w:t xml:space="preserve"> </w:t>
      </w:r>
      <w:r>
        <w:t>relative to ferritin testing or iron studies.</w:t>
      </w:r>
    </w:p>
    <w:p w14:paraId="6FCB0A94" w14:textId="009F6424" w:rsidR="00152619" w:rsidRDefault="00152619" w:rsidP="00152619">
      <w:pPr>
        <w:spacing w:after="240"/>
      </w:pPr>
      <w:r>
        <w:t xml:space="preserve">​MSAC noted that </w:t>
      </w:r>
      <w:r w:rsidR="00CA5D5D">
        <w:t>a</w:t>
      </w:r>
      <w:r>
        <w:t xml:space="preserve"> cost-consequence model was not created because of the paucity of evidence for, and the significant uncertainties surrounding, the complex diagnostic and </w:t>
      </w:r>
      <w:r>
        <w:lastRenderedPageBreak/>
        <w:t>treatment pathways in an extremely heterogeneous patient population, with subsequent unacceptable levels of uncertainty of any cost and probability estimations.</w:t>
      </w:r>
    </w:p>
    <w:p w14:paraId="5B61B2F8" w14:textId="3CE232CC" w:rsidR="00152619" w:rsidRDefault="00152619" w:rsidP="00152619">
      <w:pPr>
        <w:spacing w:after="240"/>
      </w:pPr>
      <w:r>
        <w:t xml:space="preserve">MSAC noted that </w:t>
      </w:r>
      <w:r w:rsidRPr="00B51C7A">
        <w:t>patients diagnosed with ACD will undergo further investigations to determine the underlying cause of the anaemia. Because ACD is associated with a range of conditions (including rheumatoid arthritis, cancer, infections, chronic kidney disease and heart failure)</w:t>
      </w:r>
      <w:r>
        <w:t xml:space="preserve">, many </w:t>
      </w:r>
      <w:r w:rsidRPr="00B51C7A">
        <w:t>possible investigation(s) may be ordered. Identif</w:t>
      </w:r>
      <w:r>
        <w:t>ying</w:t>
      </w:r>
      <w:r w:rsidRPr="00B51C7A">
        <w:t xml:space="preserve"> the relevant investigation(s) depends on many factors</w:t>
      </w:r>
      <w:r>
        <w:t>,</w:t>
      </w:r>
      <w:r w:rsidRPr="00B51C7A">
        <w:t xml:space="preserve"> including patient demographics, clinical history, and results of examination and/or other tests. Therefore, estimates of costs and probabilities of additional investigations and associated treatment(s) were not able to be adequately quantified.</w:t>
      </w:r>
      <w:r w:rsidRPr="00DD0A35">
        <w:t xml:space="preserve"> </w:t>
      </w:r>
    </w:p>
    <w:p w14:paraId="4E1BC0D0" w14:textId="77777777" w:rsidR="00152619" w:rsidRDefault="00152619" w:rsidP="00152619">
      <w:pPr>
        <w:spacing w:after="240"/>
      </w:pPr>
      <w:r>
        <w:t xml:space="preserve">MSAC noted an </w:t>
      </w:r>
      <w:r w:rsidRPr="000F52BA">
        <w:t xml:space="preserve">uncertain </w:t>
      </w:r>
      <w:r>
        <w:t xml:space="preserve">volume of use per </w:t>
      </w:r>
      <w:r w:rsidRPr="000F52BA">
        <w:t>year</w:t>
      </w:r>
      <w:r>
        <w:t>.</w:t>
      </w:r>
      <w:r w:rsidRPr="000F52BA">
        <w:t xml:space="preserve"> </w:t>
      </w:r>
      <w:r>
        <w:t>U</w:t>
      </w:r>
      <w:r w:rsidRPr="000F52BA">
        <w:t xml:space="preserve">tilisation estimates </w:t>
      </w:r>
      <w:r>
        <w:t xml:space="preserve">were </w:t>
      </w:r>
      <w:r w:rsidRPr="000F52BA">
        <w:t>based on a single large practice</w:t>
      </w:r>
      <w:r>
        <w:t xml:space="preserve"> that estimated prevalence </w:t>
      </w:r>
      <w:r w:rsidR="005C0DAB">
        <w:t xml:space="preserve">of </w:t>
      </w:r>
      <w:r w:rsidR="005C0DAB" w:rsidRPr="00BA6FED">
        <w:t>anaemic patients with ferritin levels of 30–100 µg/L (or 20–100 µg/L in children) and TSAT of less than 30%</w:t>
      </w:r>
      <w:r w:rsidR="005C0DAB">
        <w:t xml:space="preserve">. </w:t>
      </w:r>
      <w:r>
        <w:t>at</w:t>
      </w:r>
      <w:r w:rsidRPr="000F52BA">
        <w:t> 3.7%</w:t>
      </w:r>
      <w:r>
        <w:t xml:space="preserve">; </w:t>
      </w:r>
      <w:r>
        <w:rPr>
          <w:rStyle w:val="normaltextrun"/>
          <w:shd w:val="clear" w:color="auto" w:fill="FFFFFF"/>
        </w:rPr>
        <w:t>however, the estimate in the PICO confirmation was 5%.</w:t>
      </w:r>
      <w:r>
        <w:rPr>
          <w:rStyle w:val="eop"/>
          <w:shd w:val="clear" w:color="auto" w:fill="FFFFFF"/>
        </w:rPr>
        <w:t> </w:t>
      </w:r>
      <w:r w:rsidRPr="000F52BA">
        <w:t>An increase in the rate from 3.7% to 5% increases costs in 2018 from $9.7 million to $13.1 million.</w:t>
      </w:r>
    </w:p>
    <w:p w14:paraId="19C0DAE9" w14:textId="77777777" w:rsidR="00152619" w:rsidRPr="001342D1" w:rsidRDefault="00152619" w:rsidP="00152619">
      <w:pPr>
        <w:spacing w:after="240"/>
        <w:rPr>
          <w:color w:val="4F81BD" w:themeColor="accent1"/>
        </w:rPr>
      </w:pPr>
      <w:r>
        <w:t>MSAC noted that the applicant was unable to provide any additional information before the MSAC meeting, in response to the comments from ESC.</w:t>
      </w:r>
      <w:r w:rsidRPr="001342D1">
        <w:rPr>
          <w:color w:val="4F81BD" w:themeColor="accent1"/>
        </w:rPr>
        <w:t xml:space="preserve"> </w:t>
      </w:r>
    </w:p>
    <w:p w14:paraId="169ACCFA" w14:textId="77777777" w:rsidR="00BC1364" w:rsidRPr="00F715D1" w:rsidRDefault="00BC1364" w:rsidP="00F715D1">
      <w:pPr>
        <w:pStyle w:val="Heading1"/>
      </w:pPr>
      <w:r w:rsidRPr="00F715D1">
        <w:t>Background</w:t>
      </w:r>
    </w:p>
    <w:p w14:paraId="4BB64C5D" w14:textId="77777777" w:rsidR="0039105B" w:rsidRDefault="0039105B" w:rsidP="0039105B">
      <w:pPr>
        <w:spacing w:after="240"/>
      </w:pPr>
      <w:r w:rsidRPr="00A354FC">
        <w:rPr>
          <w:szCs w:val="24"/>
        </w:rPr>
        <w:t xml:space="preserve">MSAC has not </w:t>
      </w:r>
      <w:r>
        <w:rPr>
          <w:szCs w:val="24"/>
        </w:rPr>
        <w:t xml:space="preserve">previously </w:t>
      </w:r>
      <w:r w:rsidRPr="00A354FC">
        <w:rPr>
          <w:szCs w:val="24"/>
        </w:rPr>
        <w:t>considered</w:t>
      </w:r>
      <w:r w:rsidR="000817AC">
        <w:rPr>
          <w:szCs w:val="24"/>
        </w:rPr>
        <w:t xml:space="preserve"> </w:t>
      </w:r>
      <w:r w:rsidR="009F0CCC">
        <w:rPr>
          <w:szCs w:val="24"/>
        </w:rPr>
        <w:t>this</w:t>
      </w:r>
      <w:r w:rsidR="000817AC">
        <w:rPr>
          <w:szCs w:val="24"/>
        </w:rPr>
        <w:t xml:space="preserve"> application for</w:t>
      </w:r>
      <w:r w:rsidRPr="00A354FC">
        <w:rPr>
          <w:szCs w:val="24"/>
        </w:rPr>
        <w:t xml:space="preserve"> </w:t>
      </w:r>
      <w:r w:rsidRPr="00586DA8">
        <w:t>sTfR</w:t>
      </w:r>
      <w:r w:rsidR="009B0256">
        <w:t xml:space="preserve"> testing</w:t>
      </w:r>
      <w:r w:rsidR="00CF2945">
        <w:t>.</w:t>
      </w:r>
    </w:p>
    <w:p w14:paraId="2B9C78CF" w14:textId="4CC388E9" w:rsidR="00EF1E13" w:rsidRPr="00EF1E13" w:rsidRDefault="00EF1E13" w:rsidP="00EF1E13">
      <w:pPr>
        <w:spacing w:after="240"/>
        <w:rPr>
          <w:szCs w:val="24"/>
        </w:rPr>
      </w:pPr>
      <w:r w:rsidRPr="00EF1E13">
        <w:rPr>
          <w:szCs w:val="24"/>
        </w:rPr>
        <w:t>sTfR testing is not currently funded or reimbursed in the private  setting in Australia.</w:t>
      </w:r>
    </w:p>
    <w:p w14:paraId="2CD35BB1" w14:textId="77777777" w:rsidR="00BC1364" w:rsidRPr="00F715D1" w:rsidRDefault="00BC1364" w:rsidP="00F715D1">
      <w:pPr>
        <w:pStyle w:val="Heading1"/>
      </w:pPr>
      <w:r w:rsidRPr="00F715D1">
        <w:t>Prerequisites to implementation of any funding advice</w:t>
      </w:r>
    </w:p>
    <w:p w14:paraId="43715B82" w14:textId="77777777" w:rsidR="00BC1364" w:rsidRDefault="00152619" w:rsidP="00EF1E13">
      <w:pPr>
        <w:tabs>
          <w:tab w:val="left" w:pos="720"/>
          <w:tab w:val="left" w:pos="1140"/>
        </w:tabs>
        <w:spacing w:after="240"/>
      </w:pPr>
      <w:r>
        <w:t xml:space="preserve">Serum </w:t>
      </w:r>
      <w:r w:rsidRPr="00CA7275">
        <w:t>soluble transferrin receptor</w:t>
      </w:r>
      <w:r>
        <w:t xml:space="preserve"> (sTfR)</w:t>
      </w:r>
      <w:r w:rsidRPr="008008BE">
        <w:t xml:space="preserve"> testing </w:t>
      </w:r>
      <w:r w:rsidR="00F23FFF">
        <w:t>is an</w:t>
      </w:r>
      <w:r>
        <w:t xml:space="preserve"> in-vitro diagnostic assay</w:t>
      </w:r>
      <w:r w:rsidR="00EF1E13">
        <w:t xml:space="preserve"> which is </w:t>
      </w:r>
      <w:r w:rsidR="00EF1E13" w:rsidRPr="00EF1E13">
        <w:t>subject to TGA processes and laboratory validation</w:t>
      </w:r>
      <w:r w:rsidR="00EF1E13">
        <w:t>.</w:t>
      </w:r>
      <w:r w:rsidR="00EF1E13" w:rsidRPr="008008BE">
        <w:t xml:space="preserve"> </w:t>
      </w:r>
      <w:r w:rsidRPr="008008BE">
        <w:t>There are several comme</w:t>
      </w:r>
      <w:r w:rsidR="00EF1E13">
        <w:t>rcially available sTfR assays.</w:t>
      </w:r>
    </w:p>
    <w:p w14:paraId="6ED06BA1" w14:textId="77777777" w:rsidR="00EF1E13" w:rsidRPr="00EF1E13" w:rsidRDefault="00EF1E13" w:rsidP="00EF1E13">
      <w:pPr>
        <w:tabs>
          <w:tab w:val="left" w:pos="720"/>
          <w:tab w:val="left" w:pos="1140"/>
        </w:tabs>
        <w:spacing w:after="240"/>
      </w:pPr>
      <w:r w:rsidRPr="00EF1E13">
        <w:t xml:space="preserve">Testing would be delivered </w:t>
      </w:r>
      <w:r>
        <w:t>by approved pathology practitioners in accredited pathology l</w:t>
      </w:r>
      <w:r w:rsidRPr="00EF1E13">
        <w:t>aboratories</w:t>
      </w:r>
      <w:r>
        <w:t>.</w:t>
      </w:r>
    </w:p>
    <w:p w14:paraId="4CBE04C9" w14:textId="77777777" w:rsidR="00BC1364" w:rsidRPr="00F715D1" w:rsidRDefault="00BC1364" w:rsidP="00F715D1">
      <w:pPr>
        <w:pStyle w:val="Heading1"/>
      </w:pPr>
      <w:r w:rsidRPr="00F715D1">
        <w:t>Proposal for public funding</w:t>
      </w:r>
    </w:p>
    <w:p w14:paraId="30CA7241" w14:textId="2C8AB6B1" w:rsidR="00CF75BF" w:rsidRPr="00D8002E" w:rsidRDefault="00CF75BF" w:rsidP="00CF75BF">
      <w:pPr>
        <w:keepNext/>
        <w:jc w:val="both"/>
      </w:pPr>
      <w:r w:rsidRPr="00D8002E">
        <w:t xml:space="preserve">The </w:t>
      </w:r>
      <w:r>
        <w:t xml:space="preserve">original proposed </w:t>
      </w:r>
      <w:r w:rsidRPr="00D8002E">
        <w:t>item descriptor</w:t>
      </w:r>
      <w:r>
        <w:t xml:space="preserve"> for public funding</w:t>
      </w:r>
      <w:r w:rsidR="000817AC">
        <w:t xml:space="preserve"> </w:t>
      </w:r>
      <w:r w:rsidRPr="00D8002E">
        <w:t>is summarised in</w:t>
      </w:r>
      <w:r>
        <w:t xml:space="preserve"> </w:t>
      </w:r>
      <w:r>
        <w:fldChar w:fldCharType="begin"/>
      </w:r>
      <w:r>
        <w:instrText xml:space="preserve"> REF _Ref519587237 \h </w:instrText>
      </w:r>
      <w:r>
        <w:fldChar w:fldCharType="separate"/>
      </w:r>
      <w:r w:rsidR="004D6213" w:rsidRPr="00D8002E">
        <w:t xml:space="preserve">Table </w:t>
      </w:r>
      <w:r w:rsidR="004D6213">
        <w:rPr>
          <w:noProof/>
        </w:rPr>
        <w:t>1</w:t>
      </w:r>
      <w:r>
        <w:fldChar w:fldCharType="end"/>
      </w:r>
      <w:r w:rsidRPr="00D8002E">
        <w:t>.</w:t>
      </w:r>
      <w:r>
        <w:t xml:space="preserve"> </w:t>
      </w:r>
    </w:p>
    <w:p w14:paraId="618DFC48" w14:textId="77777777" w:rsidR="00D455D5" w:rsidRDefault="00D455D5" w:rsidP="00D455D5"/>
    <w:p w14:paraId="1F1439BD" w14:textId="77777777" w:rsidR="00D455D5" w:rsidRDefault="00D455D5" w:rsidP="00D455D5">
      <w:pPr>
        <w:pStyle w:val="Caption"/>
        <w:keepNext/>
        <w:tabs>
          <w:tab w:val="left" w:pos="1134"/>
        </w:tabs>
        <w:ind w:left="1134" w:hanging="1134"/>
        <w:jc w:val="both"/>
      </w:pPr>
      <w:bookmarkStart w:id="1" w:name="_Ref519587237"/>
      <w:bookmarkStart w:id="2" w:name="_Toc519587801"/>
      <w:r w:rsidRPr="00D8002E">
        <w:t xml:space="preserve">Table </w:t>
      </w:r>
      <w:r>
        <w:rPr>
          <w:noProof/>
        </w:rPr>
        <w:fldChar w:fldCharType="begin"/>
      </w:r>
      <w:r>
        <w:rPr>
          <w:noProof/>
        </w:rPr>
        <w:instrText xml:space="preserve"> SEQ Table \* ARABIC </w:instrText>
      </w:r>
      <w:r>
        <w:rPr>
          <w:noProof/>
        </w:rPr>
        <w:fldChar w:fldCharType="separate"/>
      </w:r>
      <w:r w:rsidR="004D6213">
        <w:rPr>
          <w:noProof/>
        </w:rPr>
        <w:t>1</w:t>
      </w:r>
      <w:r>
        <w:rPr>
          <w:noProof/>
        </w:rPr>
        <w:fldChar w:fldCharType="end"/>
      </w:r>
      <w:bookmarkEnd w:id="1"/>
      <w:r>
        <w:t xml:space="preserve"> </w:t>
      </w:r>
      <w:r>
        <w:tab/>
      </w:r>
      <w:r w:rsidRPr="00D8002E">
        <w:t>Proposed MBS item descriptor</w:t>
      </w:r>
      <w:bookmarkEnd w:id="2"/>
    </w:p>
    <w:tbl>
      <w:tblPr>
        <w:tblStyle w:val="TableGrid1"/>
        <w:tblW w:w="5000" w:type="pct"/>
        <w:tblLook w:val="04A0" w:firstRow="1" w:lastRow="0" w:firstColumn="1" w:lastColumn="0" w:noHBand="0" w:noVBand="1"/>
        <w:tblCaption w:val="Table 2 Proposed MBS item descriptor"/>
        <w:tblDescription w:val="This table displays the proposed MBS item descriptor. "/>
      </w:tblPr>
      <w:tblGrid>
        <w:gridCol w:w="9016"/>
      </w:tblGrid>
      <w:tr w:rsidR="00683F8E" w:rsidRPr="00D33FC3" w14:paraId="6E2044DF" w14:textId="77777777" w:rsidTr="00CC7DE8">
        <w:trPr>
          <w:cnfStyle w:val="100000000000" w:firstRow="1" w:lastRow="0" w:firstColumn="0" w:lastColumn="0" w:oddVBand="0" w:evenVBand="0" w:oddHBand="0" w:evenHBand="0" w:firstRowFirstColumn="0" w:firstRowLastColumn="0" w:lastRowFirstColumn="0" w:lastRowLastColumn="0"/>
          <w:tblHeader/>
        </w:trPr>
        <w:tc>
          <w:tcPr>
            <w:tcW w:w="5000" w:type="pct"/>
          </w:tcPr>
          <w:p w14:paraId="65F7CA7F" w14:textId="77777777" w:rsidR="00683F8E" w:rsidRPr="00575466" w:rsidRDefault="00683F8E" w:rsidP="0064260E">
            <w:pPr>
              <w:pStyle w:val="Tabletext0"/>
              <w:jc w:val="right"/>
              <w:rPr>
                <w:sz w:val="24"/>
              </w:rPr>
            </w:pPr>
            <w:r w:rsidRPr="00575466">
              <w:t>Category 6 – Group P2 – PATHOLOGY SERVICES</w:t>
            </w:r>
          </w:p>
        </w:tc>
      </w:tr>
      <w:tr w:rsidR="00683F8E" w:rsidRPr="00C03585" w14:paraId="189161A9" w14:textId="77777777" w:rsidTr="00CC7DE8">
        <w:tc>
          <w:tcPr>
            <w:tcW w:w="5000" w:type="pct"/>
          </w:tcPr>
          <w:p w14:paraId="66FF1DF0" w14:textId="77777777" w:rsidR="00683F8E" w:rsidRDefault="00683F8E" w:rsidP="0064260E">
            <w:pPr>
              <w:pStyle w:val="Tabletext0"/>
            </w:pPr>
            <w:r>
              <w:t>Serum soluble transferrin receptor</w:t>
            </w:r>
            <w:r w:rsidRPr="0013266C">
              <w:t xml:space="preserve"> - quantitation, </w:t>
            </w:r>
            <w:r w:rsidRPr="008008BE">
              <w:t>in patients with anaemia and normal or greater than normal serum ferritin</w:t>
            </w:r>
          </w:p>
          <w:p w14:paraId="642C7500" w14:textId="77777777" w:rsidR="00683F8E" w:rsidRDefault="00683F8E" w:rsidP="0064260E">
            <w:pPr>
              <w:pStyle w:val="Tabletext0"/>
              <w:rPr>
                <w:snapToGrid w:val="0"/>
                <w:sz w:val="24"/>
              </w:rPr>
            </w:pPr>
          </w:p>
        </w:tc>
      </w:tr>
      <w:tr w:rsidR="00683F8E" w:rsidRPr="00C03585" w14:paraId="1C763EBC" w14:textId="77777777" w:rsidTr="00CC7DE8">
        <w:tc>
          <w:tcPr>
            <w:tcW w:w="5000" w:type="pct"/>
          </w:tcPr>
          <w:p w14:paraId="1C5C5003" w14:textId="77777777" w:rsidR="00683F8E" w:rsidRDefault="00683F8E" w:rsidP="0064260E">
            <w:pPr>
              <w:pStyle w:val="Tabletext0"/>
              <w:rPr>
                <w:sz w:val="24"/>
              </w:rPr>
            </w:pPr>
            <w:r>
              <w:t>MBS Fee: $45.00</w:t>
            </w:r>
          </w:p>
        </w:tc>
      </w:tr>
    </w:tbl>
    <w:p w14:paraId="7F517C3F" w14:textId="77777777" w:rsidR="00D455D5" w:rsidRDefault="00D455D5" w:rsidP="00D455D5"/>
    <w:p w14:paraId="741887CD" w14:textId="7BE41CE0" w:rsidR="00267D08" w:rsidRDefault="00267D08" w:rsidP="00D455D5">
      <w:r>
        <w:t>The proposed alternative item descriptor</w:t>
      </w:r>
      <w:r w:rsidR="00DA587D">
        <w:t xml:space="preserve"> </w:t>
      </w:r>
      <w:r>
        <w:t xml:space="preserve">is summarised in </w:t>
      </w:r>
      <w:r>
        <w:fldChar w:fldCharType="begin"/>
      </w:r>
      <w:r>
        <w:instrText xml:space="preserve"> REF _Ref519587238 \h </w:instrText>
      </w:r>
      <w:r>
        <w:fldChar w:fldCharType="separate"/>
      </w:r>
      <w:r w:rsidR="004D6213" w:rsidRPr="009454A5">
        <w:t xml:space="preserve">Table </w:t>
      </w:r>
      <w:r w:rsidR="004D6213">
        <w:rPr>
          <w:noProof/>
        </w:rPr>
        <w:t>2</w:t>
      </w:r>
      <w:r>
        <w:fldChar w:fldCharType="end"/>
      </w:r>
      <w:r w:rsidR="00DA587D">
        <w:t xml:space="preserve">, noting </w:t>
      </w:r>
      <w:r>
        <w:t>that</w:t>
      </w:r>
      <w:r w:rsidR="005056C4">
        <w:t xml:space="preserve"> </w:t>
      </w:r>
      <w:r w:rsidR="0030325F">
        <w:t>t</w:t>
      </w:r>
      <w:r>
        <w:t>his item descriptor has not been ratified either by the applicant or PASC.</w:t>
      </w:r>
    </w:p>
    <w:p w14:paraId="6C1EBAAE" w14:textId="77777777" w:rsidR="00267D08" w:rsidRDefault="00267D08" w:rsidP="00D455D5"/>
    <w:p w14:paraId="775D1C08" w14:textId="77777777" w:rsidR="005112C9" w:rsidRDefault="005112C9">
      <w:pPr>
        <w:rPr>
          <w:rFonts w:ascii="Arial Narrow" w:hAnsi="Arial Narrow" w:cs="Tahoma"/>
          <w:b/>
          <w:bCs/>
          <w:sz w:val="20"/>
          <w:szCs w:val="22"/>
        </w:rPr>
      </w:pPr>
      <w:bookmarkStart w:id="3" w:name="_Ref519587238"/>
      <w:bookmarkStart w:id="4" w:name="_Toc519587802"/>
      <w:r>
        <w:br w:type="page"/>
      </w:r>
    </w:p>
    <w:p w14:paraId="71ECA51C" w14:textId="752DC14A" w:rsidR="006058EA" w:rsidRPr="009454A5" w:rsidRDefault="006058EA" w:rsidP="006058EA">
      <w:pPr>
        <w:pStyle w:val="Caption"/>
        <w:keepNext/>
        <w:tabs>
          <w:tab w:val="left" w:pos="1134"/>
        </w:tabs>
        <w:ind w:left="1134" w:hanging="1134"/>
        <w:jc w:val="both"/>
      </w:pPr>
      <w:r w:rsidRPr="009454A5">
        <w:lastRenderedPageBreak/>
        <w:t xml:space="preserve">Table </w:t>
      </w:r>
      <w:r w:rsidR="00D06F33">
        <w:rPr>
          <w:noProof/>
        </w:rPr>
        <w:fldChar w:fldCharType="begin"/>
      </w:r>
      <w:r w:rsidR="00D06F33">
        <w:rPr>
          <w:noProof/>
        </w:rPr>
        <w:instrText xml:space="preserve"> SEQ Table \* ARABIC </w:instrText>
      </w:r>
      <w:r w:rsidR="00D06F33">
        <w:rPr>
          <w:noProof/>
        </w:rPr>
        <w:fldChar w:fldCharType="separate"/>
      </w:r>
      <w:r w:rsidR="004D6213">
        <w:rPr>
          <w:noProof/>
        </w:rPr>
        <w:t>2</w:t>
      </w:r>
      <w:r w:rsidR="00D06F33">
        <w:rPr>
          <w:noProof/>
        </w:rPr>
        <w:fldChar w:fldCharType="end"/>
      </w:r>
      <w:bookmarkEnd w:id="3"/>
      <w:r w:rsidRPr="009454A5">
        <w:tab/>
        <w:t xml:space="preserve">Proposed </w:t>
      </w:r>
      <w:r>
        <w:t xml:space="preserve">alternative </w:t>
      </w:r>
      <w:r w:rsidRPr="009454A5">
        <w:t>MBS item descriptor</w:t>
      </w:r>
      <w:bookmarkEnd w:id="4"/>
    </w:p>
    <w:tbl>
      <w:tblPr>
        <w:tblStyle w:val="TableGrid1"/>
        <w:tblW w:w="5000" w:type="pct"/>
        <w:tblLook w:val="04A0" w:firstRow="1" w:lastRow="0" w:firstColumn="1" w:lastColumn="0" w:noHBand="0" w:noVBand="1"/>
        <w:tblCaption w:val="Table 3 Proposed alternative MBS item descriptor. "/>
        <w:tblDescription w:val="This table describes the proposed alternative MBS item descriptor."/>
      </w:tblPr>
      <w:tblGrid>
        <w:gridCol w:w="9016"/>
      </w:tblGrid>
      <w:tr w:rsidR="00683F8E" w:rsidRPr="00D33FC3" w14:paraId="41C0E77C" w14:textId="77777777" w:rsidTr="00CC7DE8">
        <w:trPr>
          <w:cnfStyle w:val="100000000000" w:firstRow="1" w:lastRow="0" w:firstColumn="0" w:lastColumn="0" w:oddVBand="0" w:evenVBand="0" w:oddHBand="0" w:evenHBand="0" w:firstRowFirstColumn="0" w:firstRowLastColumn="0" w:lastRowFirstColumn="0" w:lastRowLastColumn="0"/>
          <w:tblHeader/>
        </w:trPr>
        <w:tc>
          <w:tcPr>
            <w:tcW w:w="5000" w:type="pct"/>
          </w:tcPr>
          <w:p w14:paraId="1E8725C6" w14:textId="77777777" w:rsidR="00683F8E" w:rsidRPr="00575466" w:rsidRDefault="00683F8E" w:rsidP="0064260E">
            <w:pPr>
              <w:pStyle w:val="Tabletext0"/>
              <w:jc w:val="right"/>
              <w:rPr>
                <w:sz w:val="24"/>
              </w:rPr>
            </w:pPr>
            <w:r w:rsidRPr="00575466">
              <w:t>Category 6 – Group P2 – PATHOLOGY SERVICES</w:t>
            </w:r>
          </w:p>
        </w:tc>
      </w:tr>
      <w:tr w:rsidR="00683F8E" w:rsidRPr="00C03585" w14:paraId="5F4B0C15" w14:textId="77777777" w:rsidTr="00CC7DE8">
        <w:tc>
          <w:tcPr>
            <w:tcW w:w="5000" w:type="pct"/>
          </w:tcPr>
          <w:p w14:paraId="207D4F9F" w14:textId="77777777" w:rsidR="00683F8E" w:rsidRDefault="00683F8E" w:rsidP="0064260E">
            <w:pPr>
              <w:pStyle w:val="Tabletext0"/>
            </w:pPr>
            <w:r>
              <w:t>Serum soluble transferrin receptor</w:t>
            </w:r>
            <w:r w:rsidRPr="0013266C">
              <w:t xml:space="preserve"> - quantitation, </w:t>
            </w:r>
            <w:r w:rsidRPr="008008BE">
              <w:t xml:space="preserve">in patients with </w:t>
            </w:r>
            <w:r w:rsidRPr="00643186">
              <w:t>a confirmed diagnosis of anaemia with serum ferritin levels of 30-100 µg/L (or 20-100 µg/L in children) and transferrin saturation of less than 30%.</w:t>
            </w:r>
            <w:r>
              <w:t xml:space="preserve"> This service to be provided by pathologists.</w:t>
            </w:r>
          </w:p>
          <w:p w14:paraId="02645CDC" w14:textId="77777777" w:rsidR="00683F8E" w:rsidRDefault="00683F8E" w:rsidP="0064260E">
            <w:pPr>
              <w:pStyle w:val="Tabletext0"/>
              <w:rPr>
                <w:snapToGrid w:val="0"/>
                <w:sz w:val="24"/>
              </w:rPr>
            </w:pPr>
          </w:p>
        </w:tc>
      </w:tr>
      <w:tr w:rsidR="00683F8E" w:rsidRPr="00C03585" w14:paraId="7FA1DB78" w14:textId="77777777" w:rsidTr="00CC7DE8">
        <w:tc>
          <w:tcPr>
            <w:tcW w:w="5000" w:type="pct"/>
          </w:tcPr>
          <w:p w14:paraId="5D1B6941" w14:textId="77777777" w:rsidR="00683F8E" w:rsidRDefault="00683F8E" w:rsidP="0064260E">
            <w:pPr>
              <w:pStyle w:val="Tabletext0"/>
              <w:rPr>
                <w:sz w:val="24"/>
              </w:rPr>
            </w:pPr>
            <w:r>
              <w:t>MBS Fee: $45.00</w:t>
            </w:r>
          </w:p>
        </w:tc>
      </w:tr>
    </w:tbl>
    <w:p w14:paraId="48963DE3"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46D10009" w14:textId="77777777" w:rsidR="005601AC" w:rsidRDefault="00D06F33" w:rsidP="005601AC">
      <w:r>
        <w:t>T</w:t>
      </w:r>
      <w:r w:rsidR="00B22CEF">
        <w:t xml:space="preserve">wo responses </w:t>
      </w:r>
      <w:r>
        <w:t>were received in</w:t>
      </w:r>
      <w:r w:rsidR="00B22CEF">
        <w:t xml:space="preserve"> </w:t>
      </w:r>
      <w:r>
        <w:t>the</w:t>
      </w:r>
      <w:r w:rsidR="00B22CEF">
        <w:t xml:space="preserve"> consultation</w:t>
      </w:r>
      <w:r>
        <w:t xml:space="preserve"> feedback</w:t>
      </w:r>
      <w:r w:rsidR="00A65B47">
        <w:t xml:space="preserve">. Overall, </w:t>
      </w:r>
      <w:r w:rsidR="00F70382">
        <w:t>both</w:t>
      </w:r>
      <w:r w:rsidR="00A65B47">
        <w:t xml:space="preserve"> responses were positive, noting:</w:t>
      </w:r>
    </w:p>
    <w:p w14:paraId="5AFB398D" w14:textId="77777777" w:rsidR="00A65B47" w:rsidRDefault="00A65B47" w:rsidP="00A65B47">
      <w:pPr>
        <w:pStyle w:val="ListParagraph"/>
        <w:numPr>
          <w:ilvl w:val="0"/>
          <w:numId w:val="28"/>
        </w:numPr>
      </w:pPr>
      <w:r>
        <w:t xml:space="preserve">the proposed intervention is now an established test for the investigation of anaemia; </w:t>
      </w:r>
      <w:r w:rsidR="00F15FCE">
        <w:t>and</w:t>
      </w:r>
    </w:p>
    <w:p w14:paraId="72DBBFB8" w14:textId="77777777" w:rsidR="00A65B47" w:rsidRDefault="00A65B47" w:rsidP="00A65B47">
      <w:pPr>
        <w:pStyle w:val="ListParagraph"/>
        <w:numPr>
          <w:ilvl w:val="0"/>
          <w:numId w:val="28"/>
        </w:numPr>
      </w:pPr>
      <w:r>
        <w:t>the benefits of measuring sTfR are largest if the assay is limited to patients who have co-existent acute inflammation (as evidenced by elevated c-reactive protein (CRP) levels) or co-existent anaemia of chronic disease (as determined b</w:t>
      </w:r>
      <w:r w:rsidR="00F15FCE">
        <w:t>y the requesting clinician).</w:t>
      </w:r>
    </w:p>
    <w:p w14:paraId="7356EC74" w14:textId="77777777" w:rsidR="00BC1364" w:rsidRPr="00D06F33" w:rsidRDefault="00F70382" w:rsidP="00D06F33">
      <w:r>
        <w:t>However, one response indicated that ‘while there is significant clinical benefit we do not believe that every third request for iron studies or ferritin requires sTfR</w:t>
      </w:r>
      <w:r w:rsidR="00D06F33">
        <w:t>’</w:t>
      </w:r>
      <w:r>
        <w:t>.</w:t>
      </w:r>
      <w:r w:rsidR="00BC1364" w:rsidRPr="00F72715">
        <w:rPr>
          <w:i/>
          <w:szCs w:val="24"/>
        </w:rPr>
        <w:t xml:space="preserve"> </w:t>
      </w:r>
    </w:p>
    <w:p w14:paraId="68BA0CA8" w14:textId="77777777" w:rsidR="005A5A6A" w:rsidRDefault="00BC1364" w:rsidP="005A5A6A">
      <w:pPr>
        <w:pStyle w:val="Heading1"/>
      </w:pPr>
      <w:r w:rsidRPr="00F715D1">
        <w:t>Proposed intervention’s place in clinical management</w:t>
      </w:r>
    </w:p>
    <w:p w14:paraId="4484863D" w14:textId="77777777" w:rsidR="005A5A6A" w:rsidRDefault="005A5A6A" w:rsidP="00D06F33">
      <w:pPr>
        <w:tabs>
          <w:tab w:val="left" w:pos="284"/>
          <w:tab w:val="left" w:pos="567"/>
          <w:tab w:val="left" w:pos="720"/>
          <w:tab w:val="left" w:pos="1140"/>
        </w:tabs>
        <w:spacing w:before="240"/>
      </w:pPr>
      <w:r w:rsidRPr="005A5A6A">
        <w:t>Anaemia is a condition associated with reduction in the concentration of red blood cells or haemoglobin, resulting in lowered ability of the blood to carry oxygen. The two most common forms of anaemia are IDA and ACD (or anaemia of chronic inflammation).</w:t>
      </w:r>
    </w:p>
    <w:p w14:paraId="2B1E99A5" w14:textId="77777777" w:rsidR="005A5A6A" w:rsidRDefault="005A5A6A" w:rsidP="00D433A1">
      <w:pPr>
        <w:tabs>
          <w:tab w:val="left" w:pos="284"/>
          <w:tab w:val="left" w:pos="567"/>
          <w:tab w:val="left" w:pos="720"/>
          <w:tab w:val="left" w:pos="1140"/>
        </w:tabs>
      </w:pPr>
    </w:p>
    <w:p w14:paraId="4FF90D5B" w14:textId="77777777" w:rsidR="00D433A1" w:rsidRPr="00DA587D" w:rsidRDefault="002A63AE" w:rsidP="00D433A1">
      <w:pPr>
        <w:tabs>
          <w:tab w:val="left" w:pos="284"/>
          <w:tab w:val="left" w:pos="567"/>
          <w:tab w:val="left" w:pos="720"/>
          <w:tab w:val="left" w:pos="1140"/>
        </w:tabs>
        <w:rPr>
          <w:rFonts w:eastAsia="Calibri"/>
          <w:lang w:eastAsia="en-US"/>
        </w:rPr>
      </w:pPr>
      <w:r>
        <w:t xml:space="preserve">The </w:t>
      </w:r>
      <w:r w:rsidR="000066C6">
        <w:t>proposed test</w:t>
      </w:r>
      <w:r w:rsidR="000066C6" w:rsidRPr="000066C6">
        <w:t xml:space="preserve"> is an in-vitro diagnostic assay, which quantifies the levels of sTfR in serum and/or plasma samples. sTfR is a marker of iron deficiency when tissue iron stores are depleted in the absence of other causes of abnormal erythropoiesis</w:t>
      </w:r>
      <w:r w:rsidR="009B4BCD">
        <w:t>.</w:t>
      </w:r>
      <w:r w:rsidR="008A565B">
        <w:t xml:space="preserve"> </w:t>
      </w:r>
      <w:r w:rsidR="009B4BCD" w:rsidRPr="008008BE">
        <w:t>sTfR levels are not affected by inflammation, thus sTfR testing has a role in differentiati</w:t>
      </w:r>
      <w:r w:rsidR="005E71A3">
        <w:t>ng between patients with IDA</w:t>
      </w:r>
      <w:r w:rsidR="00FC0008">
        <w:t xml:space="preserve"> (when sTfR</w:t>
      </w:r>
      <w:r w:rsidR="003F73F0">
        <w:t xml:space="preserve"> is increased</w:t>
      </w:r>
      <w:r w:rsidR="00FC0008">
        <w:t>)</w:t>
      </w:r>
      <w:r w:rsidR="005E71A3">
        <w:t xml:space="preserve"> and</w:t>
      </w:r>
      <w:r w:rsidR="009667BA">
        <w:t>/or</w:t>
      </w:r>
      <w:r w:rsidR="009B4BCD" w:rsidRPr="008008BE">
        <w:t xml:space="preserve"> ACD</w:t>
      </w:r>
      <w:r w:rsidR="00FC0008">
        <w:t xml:space="preserve"> (when sTfR is </w:t>
      </w:r>
      <w:r w:rsidR="009F26D3">
        <w:t>normal</w:t>
      </w:r>
      <w:r w:rsidR="00FC0008">
        <w:t>)</w:t>
      </w:r>
      <w:r w:rsidR="00F85720">
        <w:t>.</w:t>
      </w:r>
      <w:r w:rsidR="00FC0008">
        <w:t xml:space="preserve"> </w:t>
      </w:r>
    </w:p>
    <w:p w14:paraId="208241AA" w14:textId="77777777" w:rsidR="0023773C" w:rsidRDefault="0023773C" w:rsidP="002A63AE"/>
    <w:p w14:paraId="401DD5EC" w14:textId="77777777" w:rsidR="002A63AE" w:rsidRDefault="002A63AE" w:rsidP="002A63AE">
      <w:r>
        <w:t>The</w:t>
      </w:r>
      <w:r w:rsidR="002504E3">
        <w:t xml:space="preserve"> proposed</w:t>
      </w:r>
      <w:r>
        <w:t xml:space="preserve"> </w:t>
      </w:r>
      <w:r w:rsidR="0030325F">
        <w:t>test</w:t>
      </w:r>
      <w:r w:rsidR="00FC0008">
        <w:t xml:space="preserve"> is expected to be provided in addition</w:t>
      </w:r>
      <w:r w:rsidR="00340D10">
        <w:t xml:space="preserve"> to </w:t>
      </w:r>
      <w:r w:rsidR="00117AF2">
        <w:t>prior</w:t>
      </w:r>
      <w:r w:rsidR="00340D10">
        <w:t xml:space="preserve"> tests used in the diagnosis of anaemia</w:t>
      </w:r>
      <w:r w:rsidR="005A5A6A">
        <w:t xml:space="preserve"> (IDA and/or ACD)</w:t>
      </w:r>
      <w:r w:rsidR="006200A4">
        <w:t xml:space="preserve">, which </w:t>
      </w:r>
      <w:r w:rsidR="00340D10">
        <w:t xml:space="preserve"> </w:t>
      </w:r>
      <w:r w:rsidR="006200A4">
        <w:t>include</w:t>
      </w:r>
      <w:r w:rsidR="00340D10">
        <w:t xml:space="preserve"> full blood count (MBS item 65070)</w:t>
      </w:r>
      <w:r w:rsidR="00F0734B">
        <w:t>, ferritin levels (MBS item 66593), and iron studies</w:t>
      </w:r>
      <w:r w:rsidR="006200A4">
        <w:t xml:space="preserve"> (MBS item 66596) </w:t>
      </w:r>
      <w:r w:rsidR="00340D10">
        <w:t xml:space="preserve">in </w:t>
      </w:r>
      <w:r w:rsidR="00F0734B">
        <w:t xml:space="preserve">the proposed population </w:t>
      </w:r>
      <w:r w:rsidR="00340D10">
        <w:rPr>
          <w:rFonts w:eastAsia="Calibri"/>
          <w:lang w:eastAsia="en-US"/>
        </w:rPr>
        <w:t>(</w:t>
      </w:r>
      <w:r w:rsidR="00544556">
        <w:rPr>
          <w:rFonts w:eastAsia="Calibri"/>
          <w:lang w:eastAsia="en-US"/>
        </w:rPr>
        <w:t xml:space="preserve">see proposed clinical management algorithm for sTfR testing in </w:t>
      </w:r>
      <w:r w:rsidR="00340D10">
        <w:rPr>
          <w:rFonts w:eastAsia="Calibri"/>
          <w:lang w:eastAsia="en-US"/>
        </w:rPr>
        <w:fldChar w:fldCharType="begin"/>
      </w:r>
      <w:r w:rsidR="00340D10">
        <w:rPr>
          <w:rFonts w:eastAsia="Calibri"/>
          <w:lang w:eastAsia="en-US"/>
        </w:rPr>
        <w:instrText xml:space="preserve"> REF _Ref528760197 \h </w:instrText>
      </w:r>
      <w:r w:rsidR="00340D10">
        <w:rPr>
          <w:rFonts w:eastAsia="Calibri"/>
          <w:lang w:eastAsia="en-US"/>
        </w:rPr>
      </w:r>
      <w:r w:rsidR="00340D10">
        <w:rPr>
          <w:rFonts w:eastAsia="Calibri"/>
          <w:lang w:eastAsia="en-US"/>
        </w:rPr>
        <w:fldChar w:fldCharType="separate"/>
      </w:r>
      <w:r w:rsidR="004D6213">
        <w:t xml:space="preserve">Figure </w:t>
      </w:r>
      <w:r w:rsidR="004D6213">
        <w:rPr>
          <w:noProof/>
        </w:rPr>
        <w:t>1</w:t>
      </w:r>
      <w:r w:rsidR="00340D10">
        <w:rPr>
          <w:rFonts w:eastAsia="Calibri"/>
          <w:lang w:eastAsia="en-US"/>
        </w:rPr>
        <w:fldChar w:fldCharType="end"/>
      </w:r>
      <w:r w:rsidR="00340D10">
        <w:rPr>
          <w:rFonts w:eastAsia="Calibri"/>
          <w:lang w:eastAsia="en-US"/>
        </w:rPr>
        <w:t>).</w:t>
      </w:r>
      <w:r w:rsidR="00015CD3">
        <w:rPr>
          <w:rFonts w:eastAsia="Calibri"/>
          <w:lang w:eastAsia="en-US"/>
        </w:rPr>
        <w:t xml:space="preserve"> </w:t>
      </w:r>
    </w:p>
    <w:p w14:paraId="53A49D4B" w14:textId="77777777" w:rsidR="000066C6" w:rsidRDefault="000066C6" w:rsidP="002A63AE"/>
    <w:p w14:paraId="6D3328ED" w14:textId="77777777" w:rsidR="000066C6" w:rsidRDefault="000066C6" w:rsidP="000066C6">
      <w:pPr>
        <w:keepNext/>
      </w:pPr>
      <w:r>
        <w:rPr>
          <w:noProof/>
        </w:rPr>
        <w:lastRenderedPageBreak/>
        <w:drawing>
          <wp:inline distT="0" distB="0" distL="0" distR="0" wp14:anchorId="27457994" wp14:editId="2F55E36E">
            <wp:extent cx="5495925" cy="4857750"/>
            <wp:effectExtent l="0" t="0" r="9525" b="0"/>
            <wp:docPr id="6" name="Picture 6" descr="Clinical management algorithm for the proposed new test relative to current clinical practice" title="Clinical management algorithm for the proposed new test relative to current clinical pract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4857750"/>
                    </a:xfrm>
                    <a:prstGeom prst="rect">
                      <a:avLst/>
                    </a:prstGeom>
                    <a:noFill/>
                    <a:ln>
                      <a:noFill/>
                    </a:ln>
                  </pic:spPr>
                </pic:pic>
              </a:graphicData>
            </a:graphic>
          </wp:inline>
        </w:drawing>
      </w:r>
    </w:p>
    <w:p w14:paraId="5EB5EE67" w14:textId="77777777" w:rsidR="0023773C" w:rsidRDefault="000066C6" w:rsidP="0023773C">
      <w:pPr>
        <w:pStyle w:val="Caption"/>
      </w:pPr>
      <w:bookmarkStart w:id="5" w:name="_Ref528760197"/>
      <w:r>
        <w:t xml:space="preserve">Figure </w:t>
      </w:r>
      <w:r w:rsidR="00D06F33">
        <w:rPr>
          <w:noProof/>
        </w:rPr>
        <w:fldChar w:fldCharType="begin"/>
      </w:r>
      <w:r w:rsidR="00D06F33">
        <w:rPr>
          <w:noProof/>
        </w:rPr>
        <w:instrText xml:space="preserve"> SEQ Figure \* ARABIC </w:instrText>
      </w:r>
      <w:r w:rsidR="00D06F33">
        <w:rPr>
          <w:noProof/>
        </w:rPr>
        <w:fldChar w:fldCharType="separate"/>
      </w:r>
      <w:r w:rsidR="004D6213">
        <w:rPr>
          <w:noProof/>
        </w:rPr>
        <w:t>1</w:t>
      </w:r>
      <w:r w:rsidR="00D06F33">
        <w:rPr>
          <w:noProof/>
        </w:rPr>
        <w:fldChar w:fldCharType="end"/>
      </w:r>
      <w:bookmarkEnd w:id="5"/>
      <w:r>
        <w:tab/>
      </w:r>
      <w:r w:rsidRPr="00183E4D">
        <w:t xml:space="preserve">Clinical management algorithm for </w:t>
      </w:r>
      <w:r w:rsidRPr="00963B55">
        <w:t>the proposed new test relative to current clinical practic</w:t>
      </w:r>
      <w:r w:rsidR="0023773C">
        <w:t>e</w:t>
      </w:r>
    </w:p>
    <w:p w14:paraId="0487CB40" w14:textId="77777777" w:rsidR="0023773C" w:rsidRPr="0023773C" w:rsidRDefault="0023773C" w:rsidP="00F715D1">
      <w:pPr>
        <w:spacing w:after="240"/>
      </w:pPr>
      <w:r>
        <w:t xml:space="preserve">The </w:t>
      </w:r>
      <w:r w:rsidR="00D06F33">
        <w:t>application</w:t>
      </w:r>
      <w:r>
        <w:t xml:space="preserve"> stated that at present (without sTfR testing), </w:t>
      </w:r>
      <w:r>
        <w:rPr>
          <w:rFonts w:eastAsia="Calibri"/>
          <w:lang w:eastAsia="en-US"/>
        </w:rPr>
        <w:t>patients with anaemia and serum ferritin levels of 30-</w:t>
      </w:r>
      <w:r w:rsidRPr="0013266C">
        <w:rPr>
          <w:rFonts w:eastAsia="Calibri"/>
          <w:lang w:eastAsia="en-US"/>
        </w:rPr>
        <w:t xml:space="preserve">100 </w:t>
      </w:r>
      <w:r w:rsidRPr="009B346E">
        <w:rPr>
          <w:rFonts w:eastAsia="Calibri"/>
          <w:lang w:eastAsia="en-US"/>
        </w:rPr>
        <w:t>µ</w:t>
      </w:r>
      <w:r w:rsidRPr="0013266C">
        <w:rPr>
          <w:rFonts w:eastAsia="Calibri"/>
          <w:lang w:eastAsia="en-US"/>
        </w:rPr>
        <w:t xml:space="preserve">g/L </w:t>
      </w:r>
      <w:r>
        <w:rPr>
          <w:rFonts w:eastAsia="Calibri"/>
          <w:lang w:eastAsia="en-US"/>
        </w:rPr>
        <w:t xml:space="preserve">(or 20-100 </w:t>
      </w:r>
      <w:r w:rsidRPr="009B346E">
        <w:rPr>
          <w:rFonts w:eastAsia="Calibri"/>
          <w:lang w:eastAsia="en-US"/>
        </w:rPr>
        <w:t>µ</w:t>
      </w:r>
      <w:r w:rsidRPr="0013266C">
        <w:rPr>
          <w:rFonts w:eastAsia="Calibri"/>
          <w:lang w:eastAsia="en-US"/>
        </w:rPr>
        <w:t xml:space="preserve">g/L </w:t>
      </w:r>
      <w:r>
        <w:rPr>
          <w:rFonts w:eastAsia="Calibri"/>
          <w:lang w:eastAsia="en-US"/>
        </w:rPr>
        <w:t xml:space="preserve">in children) </w:t>
      </w:r>
      <w:r w:rsidRPr="0013266C">
        <w:rPr>
          <w:rFonts w:eastAsia="Calibri"/>
          <w:lang w:eastAsia="en-US"/>
        </w:rPr>
        <w:t xml:space="preserve">and </w:t>
      </w:r>
      <w:r>
        <w:rPr>
          <w:rFonts w:eastAsia="Calibri"/>
          <w:lang w:eastAsia="en-US"/>
        </w:rPr>
        <w:t xml:space="preserve">a TSAT &lt; 30% are considered to have ACD and are managed as such. The </w:t>
      </w:r>
      <w:r w:rsidR="00D06F33">
        <w:rPr>
          <w:rFonts w:eastAsia="Calibri"/>
          <w:lang w:eastAsia="en-US"/>
        </w:rPr>
        <w:t>application</w:t>
      </w:r>
      <w:r>
        <w:rPr>
          <w:rFonts w:eastAsia="Calibri"/>
          <w:lang w:eastAsia="en-US"/>
        </w:rPr>
        <w:t xml:space="preserve"> stated that some of these patients may have IDA</w:t>
      </w:r>
      <w:r>
        <w:rPr>
          <w:rFonts w:eastAsia="Calibri" w:cs="Calibri"/>
          <w:lang w:eastAsia="en-US"/>
        </w:rPr>
        <w:t xml:space="preserve"> or IDA coexisting with ACD </w:t>
      </w:r>
      <w:r>
        <w:rPr>
          <w:rFonts w:eastAsia="Calibri"/>
          <w:lang w:eastAsia="en-US"/>
        </w:rPr>
        <w:t xml:space="preserve">and may miss out on appropriate management and/or have treatment delayed and/or undergo unnecessary additional invasive </w:t>
      </w:r>
      <w:r w:rsidR="00544556">
        <w:rPr>
          <w:rFonts w:eastAsia="Calibri"/>
          <w:lang w:eastAsia="en-US"/>
        </w:rPr>
        <w:t>investigations.</w:t>
      </w:r>
    </w:p>
    <w:p w14:paraId="688D03F4" w14:textId="77777777" w:rsidR="00BC1364" w:rsidRPr="00F715D1" w:rsidRDefault="00BC1364" w:rsidP="00F715D1">
      <w:pPr>
        <w:pStyle w:val="Heading1"/>
      </w:pPr>
      <w:r w:rsidRPr="00F715D1">
        <w:t xml:space="preserve">Comparator </w:t>
      </w:r>
    </w:p>
    <w:p w14:paraId="04DDA034" w14:textId="3E09F465" w:rsidR="006E312B" w:rsidRPr="006E312B" w:rsidRDefault="006E312B" w:rsidP="006E312B">
      <w:pPr>
        <w:rPr>
          <w:rFonts w:eastAsia="Calibri"/>
          <w:lang w:eastAsia="en-US"/>
        </w:rPr>
      </w:pPr>
      <w:r>
        <w:rPr>
          <w:rFonts w:eastAsia="Calibri"/>
          <w:lang w:eastAsia="en-US"/>
        </w:rPr>
        <w:t xml:space="preserve">The proposed comparators for patients with anaemia are the following </w:t>
      </w:r>
      <w:r w:rsidR="00395A37">
        <w:rPr>
          <w:rFonts w:eastAsia="Calibri"/>
          <w:lang w:eastAsia="en-US"/>
        </w:rPr>
        <w:t>:</w:t>
      </w:r>
      <w:r>
        <w:rPr>
          <w:rFonts w:eastAsia="Calibri"/>
          <w:lang w:eastAsia="en-US"/>
        </w:rPr>
        <w:t>:</w:t>
      </w:r>
    </w:p>
    <w:p w14:paraId="4557A855" w14:textId="352CE426" w:rsidR="006E312B" w:rsidRPr="00C508E7" w:rsidRDefault="006E312B" w:rsidP="006E312B">
      <w:pPr>
        <w:pStyle w:val="ListParagraph"/>
        <w:numPr>
          <w:ilvl w:val="0"/>
          <w:numId w:val="26"/>
        </w:numPr>
        <w:spacing w:after="200"/>
        <w:ind w:left="714" w:hanging="357"/>
        <w:jc w:val="both"/>
        <w:rPr>
          <w:rFonts w:eastAsia="Calibri"/>
          <w:lang w:eastAsia="en-US"/>
        </w:rPr>
      </w:pPr>
      <w:r w:rsidRPr="0013266C">
        <w:rPr>
          <w:rFonts w:eastAsia="Calibri"/>
          <w:lang w:eastAsia="en-US"/>
        </w:rPr>
        <w:t xml:space="preserve">Ferritin </w:t>
      </w:r>
      <w:r>
        <w:rPr>
          <w:rFonts w:eastAsia="Calibri"/>
          <w:lang w:eastAsia="en-US"/>
        </w:rPr>
        <w:t>alon</w:t>
      </w:r>
      <w:r w:rsidR="00395A37">
        <w:rPr>
          <w:rFonts w:eastAsia="Calibri"/>
          <w:lang w:eastAsia="en-US"/>
        </w:rPr>
        <w:t xml:space="preserve">e vs ferritin with sTfR </w:t>
      </w:r>
      <w:r w:rsidR="00DB30B9">
        <w:rPr>
          <w:rFonts w:eastAsia="Calibri"/>
          <w:lang w:eastAsia="en-US"/>
        </w:rPr>
        <w:t xml:space="preserve"> or</w:t>
      </w:r>
    </w:p>
    <w:p w14:paraId="4EE19C9F" w14:textId="77777777" w:rsidR="006E312B" w:rsidRDefault="006E312B" w:rsidP="00DB30B9">
      <w:pPr>
        <w:pStyle w:val="ListParagraph"/>
        <w:numPr>
          <w:ilvl w:val="0"/>
          <w:numId w:val="26"/>
        </w:numPr>
        <w:spacing w:after="200"/>
        <w:jc w:val="both"/>
        <w:rPr>
          <w:rFonts w:eastAsia="Calibri"/>
          <w:lang w:eastAsia="en-US"/>
        </w:rPr>
      </w:pPr>
      <w:r w:rsidRPr="00C508E7">
        <w:rPr>
          <w:rFonts w:eastAsia="Calibri"/>
          <w:lang w:eastAsia="en-US"/>
        </w:rPr>
        <w:t xml:space="preserve">Iron studies </w:t>
      </w:r>
      <w:r w:rsidR="00DB30B9" w:rsidRPr="00DB30B9">
        <w:rPr>
          <w:rFonts w:eastAsia="Calibri"/>
          <w:lang w:eastAsia="en-US"/>
        </w:rPr>
        <w:t>(consisting of serum iron, transferrin or iron binding capacity, and ferritin)</w:t>
      </w:r>
      <w:r w:rsidR="00395A37">
        <w:rPr>
          <w:rFonts w:eastAsia="Calibri"/>
          <w:lang w:eastAsia="en-US"/>
        </w:rPr>
        <w:t xml:space="preserve"> vs iron studies studies plus sTfR</w:t>
      </w:r>
      <w:r w:rsidR="00DB30B9">
        <w:rPr>
          <w:rFonts w:eastAsia="Calibri"/>
          <w:lang w:eastAsia="en-US"/>
        </w:rPr>
        <w:t>.</w:t>
      </w:r>
    </w:p>
    <w:p w14:paraId="40424E23" w14:textId="77777777" w:rsidR="009667BA" w:rsidRDefault="00BC1364" w:rsidP="003F6B6A">
      <w:pPr>
        <w:pStyle w:val="Heading1"/>
      </w:pPr>
      <w:r w:rsidRPr="00F715D1">
        <w:t>Comparative safety</w:t>
      </w:r>
    </w:p>
    <w:p w14:paraId="4ABC6E67" w14:textId="77777777" w:rsidR="009667BA" w:rsidRDefault="009667BA" w:rsidP="009667BA">
      <w:r>
        <w:t xml:space="preserve">The </w:t>
      </w:r>
      <w:r w:rsidR="00D06F33">
        <w:t>application</w:t>
      </w:r>
      <w:r>
        <w:t xml:space="preserve"> proposed that no additional safety issues arise relating to additional sample collection as the sTfR testing is conducted on the same blood sample used for haemoglobin concentration, serum ferritin, and iron study testing.</w:t>
      </w:r>
    </w:p>
    <w:p w14:paraId="39E44F84" w14:textId="77777777" w:rsidR="009667BA" w:rsidRDefault="009667BA" w:rsidP="009667BA"/>
    <w:p w14:paraId="06CB5C97" w14:textId="77777777" w:rsidR="009667BA" w:rsidRDefault="009667BA" w:rsidP="009667BA">
      <w:r>
        <w:t>No direct evidence was identified on changes in morbidity or mortality related to the use of sTfR testing in the specified population.</w:t>
      </w:r>
    </w:p>
    <w:p w14:paraId="42ABB3F8" w14:textId="77777777" w:rsidR="009667BA" w:rsidRDefault="009667BA" w:rsidP="009667BA"/>
    <w:p w14:paraId="502403E4" w14:textId="77777777" w:rsidR="009667BA" w:rsidRDefault="009667BA" w:rsidP="009667BA">
      <w:r>
        <w:lastRenderedPageBreak/>
        <w:t>No direct evidence was identified on changes in the use of invasive investigations related to the use of sTfR testing in the specified population.</w:t>
      </w:r>
    </w:p>
    <w:p w14:paraId="10B610A8" w14:textId="77777777" w:rsidR="00BC1364" w:rsidRPr="00F715D1" w:rsidRDefault="00BC1364" w:rsidP="00F715D1">
      <w:pPr>
        <w:pStyle w:val="Heading1"/>
      </w:pPr>
      <w:r w:rsidRPr="00F715D1">
        <w:t>Comparative effectiveness</w:t>
      </w:r>
    </w:p>
    <w:p w14:paraId="33A9B3CE" w14:textId="77777777" w:rsidR="009667BA" w:rsidRDefault="009667BA" w:rsidP="009667BA">
      <w:r>
        <w:t>T</w:t>
      </w:r>
      <w:r w:rsidRPr="009667BA">
        <w:t xml:space="preserve">here was no direct evidence to assess sTfR testing in anaemic patients </w:t>
      </w:r>
      <w:r w:rsidRPr="00E46B01">
        <w:t>with ferritin levels of 30–100 µg/L (and 20–100 µg/L in children) and a TSAT &lt;30%;</w:t>
      </w:r>
      <w:r w:rsidRPr="009667BA">
        <w:t xml:space="preserve"> a linked evidence approach was adopted</w:t>
      </w:r>
      <w:r w:rsidR="00D06F33">
        <w:t>.</w:t>
      </w:r>
    </w:p>
    <w:p w14:paraId="1063B736" w14:textId="77777777" w:rsidR="00C9082A" w:rsidRDefault="00C9082A" w:rsidP="009667BA"/>
    <w:p w14:paraId="5C785022" w14:textId="77777777" w:rsidR="00D62AFC" w:rsidRPr="00C9082A" w:rsidRDefault="00D62AFC" w:rsidP="00D06F33">
      <w:pPr>
        <w:spacing w:after="120"/>
        <w:rPr>
          <w:i/>
        </w:rPr>
      </w:pPr>
      <w:r w:rsidRPr="00C9082A">
        <w:rPr>
          <w:i/>
        </w:rPr>
        <w:t>Diagnostic performance</w:t>
      </w:r>
    </w:p>
    <w:p w14:paraId="0EA70710" w14:textId="77777777" w:rsidR="00E002DE" w:rsidRDefault="0030325F" w:rsidP="00E27E59">
      <w:r>
        <w:t xml:space="preserve">The </w:t>
      </w:r>
      <w:r w:rsidR="00D06F33">
        <w:t>application</w:t>
      </w:r>
      <w:r>
        <w:t xml:space="preserve"> identified o</w:t>
      </w:r>
      <w:r w:rsidR="00480753">
        <w:t>ne st</w:t>
      </w:r>
      <w:r w:rsidR="00040DBB">
        <w:t>udy by Shin, Kim et al. (2015)</w:t>
      </w:r>
      <w:r w:rsidR="00040DBB" w:rsidRPr="00040DBB">
        <w:t xml:space="preserve"> </w:t>
      </w:r>
      <w:r w:rsidR="00085FB4">
        <w:t xml:space="preserve">which </w:t>
      </w:r>
      <w:r w:rsidR="00321A77">
        <w:t xml:space="preserve">reported the comparative </w:t>
      </w:r>
      <w:r w:rsidR="00040DBB" w:rsidRPr="00480753">
        <w:t xml:space="preserve">accuracy of </w:t>
      </w:r>
      <w:r w:rsidR="00321A77">
        <w:t>sTfR testing over ferritin in diagnosing</w:t>
      </w:r>
      <w:r w:rsidR="00040DBB" w:rsidRPr="00480753">
        <w:t xml:space="preserve"> IDA </w:t>
      </w:r>
      <w:r w:rsidR="00321A77">
        <w:t xml:space="preserve">and/or ACD </w:t>
      </w:r>
      <w:r w:rsidR="00085FB4">
        <w:t>in a subgroup of</w:t>
      </w:r>
      <w:r w:rsidR="00040DBB">
        <w:t xml:space="preserve"> </w:t>
      </w:r>
      <w:r w:rsidR="00085FB4">
        <w:t xml:space="preserve">107 </w:t>
      </w:r>
      <w:r w:rsidR="00480753" w:rsidRPr="00480753">
        <w:t>patients</w:t>
      </w:r>
      <w:r w:rsidR="00085FB4">
        <w:t xml:space="preserve"> (29.2% of patients overall)</w:t>
      </w:r>
      <w:r w:rsidR="00480753" w:rsidRPr="00480753">
        <w:t xml:space="preserve"> with</w:t>
      </w:r>
      <w:r w:rsidR="00321A77">
        <w:t xml:space="preserve"> anaemia and</w:t>
      </w:r>
      <w:r w:rsidR="00480753" w:rsidRPr="00480753">
        <w:t xml:space="preserve"> serum fer</w:t>
      </w:r>
      <w:r w:rsidR="00085FB4">
        <w:t>ritin levels between 10-100 µg/L.</w:t>
      </w:r>
      <w:r w:rsidR="00E002DE">
        <w:t xml:space="preserve"> </w:t>
      </w:r>
    </w:p>
    <w:p w14:paraId="38C6BB11" w14:textId="77777777" w:rsidR="00040DBB" w:rsidRDefault="00040DBB" w:rsidP="00040DBB">
      <w:pPr>
        <w:pStyle w:val="Caption"/>
        <w:keepNext/>
        <w:jc w:val="both"/>
      </w:pPr>
    </w:p>
    <w:p w14:paraId="3B03553D" w14:textId="77777777" w:rsidR="00040DBB" w:rsidRDefault="00040DBB" w:rsidP="00D06F33">
      <w:pPr>
        <w:pStyle w:val="Caption"/>
        <w:keepNext/>
        <w:ind w:left="1440" w:hanging="1440"/>
      </w:pPr>
      <w:r>
        <w:t xml:space="preserve">Table </w:t>
      </w:r>
      <w:r w:rsidR="00D06F33">
        <w:rPr>
          <w:noProof/>
        </w:rPr>
        <w:fldChar w:fldCharType="begin"/>
      </w:r>
      <w:r w:rsidR="00D06F33">
        <w:rPr>
          <w:noProof/>
        </w:rPr>
        <w:instrText xml:space="preserve"> SEQ Table \* ARABIC </w:instrText>
      </w:r>
      <w:r w:rsidR="00D06F33">
        <w:rPr>
          <w:noProof/>
        </w:rPr>
        <w:fldChar w:fldCharType="separate"/>
      </w:r>
      <w:r w:rsidR="004D6213">
        <w:rPr>
          <w:noProof/>
        </w:rPr>
        <w:t>3</w:t>
      </w:r>
      <w:r w:rsidR="00D06F33">
        <w:rPr>
          <w:noProof/>
        </w:rPr>
        <w:fldChar w:fldCharType="end"/>
      </w:r>
      <w:r w:rsidR="00D06F33">
        <w:tab/>
      </w:r>
      <w:r w:rsidRPr="00410B31">
        <w:t>Summary statistics for sTfR (and sTfR/log ferritin) compared to ferritin level alone, against reference standard</w:t>
      </w:r>
      <w:r>
        <w:t>*</w:t>
      </w:r>
    </w:p>
    <w:tbl>
      <w:tblPr>
        <w:tblStyle w:val="TableGrid1"/>
        <w:tblW w:w="5000" w:type="pct"/>
        <w:tblLook w:val="04A0" w:firstRow="1" w:lastRow="0" w:firstColumn="1" w:lastColumn="0" w:noHBand="0" w:noVBand="1"/>
        <w:tblCaption w:val="Summary statistics for sTfR (and sTfR/log ferritin) compared to ferritin level alone, against reference standard*"/>
        <w:tblDescription w:val="This table provides summary statistics for sTfR and ferritin tests against reference standard."/>
      </w:tblPr>
      <w:tblGrid>
        <w:gridCol w:w="3113"/>
        <w:gridCol w:w="1968"/>
        <w:gridCol w:w="1968"/>
        <w:gridCol w:w="1967"/>
      </w:tblGrid>
      <w:tr w:rsidR="00040DBB" w:rsidRPr="00E2560B" w14:paraId="42EDB9B5" w14:textId="77777777" w:rsidTr="00CC7DE8">
        <w:trPr>
          <w:cnfStyle w:val="100000000000" w:firstRow="1" w:lastRow="0" w:firstColumn="0" w:lastColumn="0" w:oddVBand="0" w:evenVBand="0" w:oddHBand="0" w:evenHBand="0" w:firstRowFirstColumn="0" w:firstRowLastColumn="0" w:lastRowFirstColumn="0" w:lastRowLastColumn="0"/>
          <w:trHeight w:val="469"/>
          <w:tblHeader/>
        </w:trPr>
        <w:tc>
          <w:tcPr>
            <w:tcW w:w="1726" w:type="pct"/>
          </w:tcPr>
          <w:p w14:paraId="09E9EBBE" w14:textId="77777777" w:rsidR="00040DBB" w:rsidRPr="00A435D3" w:rsidRDefault="00040DBB" w:rsidP="008A4B53">
            <w:pPr>
              <w:pStyle w:val="TableText"/>
              <w:jc w:val="both"/>
              <w:rPr>
                <w:rFonts w:cs="Arial"/>
                <w:color w:val="1F497D"/>
                <w:szCs w:val="20"/>
              </w:rPr>
            </w:pPr>
            <w:r>
              <w:rPr>
                <w:b/>
              </w:rPr>
              <w:t>Accuracy</w:t>
            </w:r>
            <w:r w:rsidRPr="00CC54C6">
              <w:rPr>
                <w:b/>
              </w:rPr>
              <w:t xml:space="preserve"> </w:t>
            </w:r>
            <w:r>
              <w:t>(1 study</w:t>
            </w:r>
            <w:r w:rsidRPr="00CC54C6">
              <w:t>)</w:t>
            </w:r>
          </w:p>
        </w:tc>
        <w:tc>
          <w:tcPr>
            <w:tcW w:w="1091" w:type="pct"/>
          </w:tcPr>
          <w:p w14:paraId="6E057EAF" w14:textId="77777777" w:rsidR="00040DBB" w:rsidRDefault="00040DBB" w:rsidP="008A4B53">
            <w:pPr>
              <w:pStyle w:val="TableText"/>
              <w:jc w:val="both"/>
              <w:rPr>
                <w:b/>
              </w:rPr>
            </w:pPr>
            <w:r>
              <w:rPr>
                <w:b/>
              </w:rPr>
              <w:t>sTfR</w:t>
            </w:r>
          </w:p>
          <w:p w14:paraId="63D9F549" w14:textId="77777777" w:rsidR="00040DBB" w:rsidRPr="00040DBB" w:rsidRDefault="00040DBB" w:rsidP="008A4B53">
            <w:pPr>
              <w:pStyle w:val="TableText"/>
              <w:jc w:val="both"/>
              <w:rPr>
                <w:i/>
              </w:rPr>
            </w:pPr>
            <w:r w:rsidRPr="00040DBB">
              <w:rPr>
                <w:i/>
              </w:rPr>
              <w:t>(n=107)</w:t>
            </w:r>
          </w:p>
        </w:tc>
        <w:tc>
          <w:tcPr>
            <w:tcW w:w="1091" w:type="pct"/>
          </w:tcPr>
          <w:p w14:paraId="3BA3D925" w14:textId="77777777" w:rsidR="00040DBB" w:rsidRDefault="00040DBB" w:rsidP="008A4B53">
            <w:pPr>
              <w:pStyle w:val="TableText"/>
              <w:rPr>
                <w:b/>
              </w:rPr>
            </w:pPr>
            <w:r w:rsidRPr="00410B31">
              <w:rPr>
                <w:b/>
              </w:rPr>
              <w:t xml:space="preserve">sTfR/log ferritin </w:t>
            </w:r>
            <w:r w:rsidRPr="00040DBB">
              <w:rPr>
                <w:i/>
              </w:rPr>
              <w:t>(n=107)</w:t>
            </w:r>
          </w:p>
        </w:tc>
        <w:tc>
          <w:tcPr>
            <w:tcW w:w="1091" w:type="pct"/>
          </w:tcPr>
          <w:p w14:paraId="17CE424D" w14:textId="77777777" w:rsidR="00040DBB" w:rsidRDefault="00040DBB" w:rsidP="008A4B53">
            <w:pPr>
              <w:pStyle w:val="TableText"/>
              <w:jc w:val="both"/>
              <w:rPr>
                <w:b/>
              </w:rPr>
            </w:pPr>
            <w:r>
              <w:rPr>
                <w:b/>
              </w:rPr>
              <w:t>Ferritin</w:t>
            </w:r>
          </w:p>
          <w:p w14:paraId="5ED23FFD" w14:textId="77777777" w:rsidR="00040DBB" w:rsidRPr="00040DBB" w:rsidRDefault="00040DBB" w:rsidP="008A4B53">
            <w:pPr>
              <w:pStyle w:val="TableText"/>
              <w:jc w:val="both"/>
              <w:rPr>
                <w:i/>
              </w:rPr>
            </w:pPr>
            <w:r w:rsidRPr="00040DBB">
              <w:rPr>
                <w:i/>
              </w:rPr>
              <w:t>(n=107)</w:t>
            </w:r>
          </w:p>
        </w:tc>
      </w:tr>
      <w:tr w:rsidR="00040DBB" w:rsidRPr="00E2560B" w14:paraId="7D6753F4" w14:textId="77777777" w:rsidTr="00CC7DE8">
        <w:trPr>
          <w:trHeight w:val="255"/>
        </w:trPr>
        <w:tc>
          <w:tcPr>
            <w:tcW w:w="1726" w:type="pct"/>
          </w:tcPr>
          <w:p w14:paraId="34FA24B4" w14:textId="77777777" w:rsidR="00040DBB" w:rsidRPr="003C6B79" w:rsidRDefault="00040DBB" w:rsidP="008A4B53">
            <w:pPr>
              <w:rPr>
                <w:sz w:val="20"/>
                <w:lang w:eastAsia="en-US"/>
              </w:rPr>
            </w:pPr>
            <w:r w:rsidRPr="003C6B79">
              <w:rPr>
                <w:sz w:val="20"/>
                <w:lang w:eastAsia="en-US"/>
              </w:rPr>
              <w:t>Sensitivity, % [95% CI]</w:t>
            </w:r>
          </w:p>
        </w:tc>
        <w:tc>
          <w:tcPr>
            <w:tcW w:w="1091" w:type="pct"/>
          </w:tcPr>
          <w:p w14:paraId="7B5EDFF5" w14:textId="77777777" w:rsidR="00040DBB" w:rsidRPr="00CC54C6" w:rsidRDefault="00040DBB" w:rsidP="008A4B53">
            <w:pPr>
              <w:pStyle w:val="TableText"/>
            </w:pPr>
            <w:r w:rsidRPr="00B92C6D">
              <w:rPr>
                <w:szCs w:val="20"/>
              </w:rPr>
              <w:t>0.85 [0.71-0.94]</w:t>
            </w:r>
          </w:p>
        </w:tc>
        <w:tc>
          <w:tcPr>
            <w:tcW w:w="1091" w:type="pct"/>
          </w:tcPr>
          <w:p w14:paraId="01C2C0A7" w14:textId="77777777" w:rsidR="00040DBB" w:rsidRDefault="00040DBB" w:rsidP="008A4B53">
            <w:pPr>
              <w:pStyle w:val="TableText"/>
            </w:pPr>
            <w:r w:rsidRPr="00B92C6D">
              <w:rPr>
                <w:rFonts w:cs="Arial"/>
                <w:szCs w:val="20"/>
              </w:rPr>
              <w:t>0.87 [0.74-0.95]</w:t>
            </w:r>
          </w:p>
        </w:tc>
        <w:tc>
          <w:tcPr>
            <w:tcW w:w="1091" w:type="pct"/>
          </w:tcPr>
          <w:p w14:paraId="276589E1" w14:textId="77777777" w:rsidR="00040DBB" w:rsidRPr="00CC54C6" w:rsidRDefault="00040DBB" w:rsidP="008A4B53">
            <w:pPr>
              <w:pStyle w:val="TableText"/>
            </w:pPr>
            <w:r w:rsidRPr="00B92C6D">
              <w:rPr>
                <w:szCs w:val="20"/>
              </w:rPr>
              <w:t>0.89 [0.76-0.96]</w:t>
            </w:r>
          </w:p>
        </w:tc>
      </w:tr>
      <w:tr w:rsidR="00040DBB" w:rsidRPr="00E2560B" w14:paraId="5BBF6D64" w14:textId="77777777" w:rsidTr="00CC7DE8">
        <w:trPr>
          <w:trHeight w:val="421"/>
        </w:trPr>
        <w:tc>
          <w:tcPr>
            <w:tcW w:w="1726" w:type="pct"/>
          </w:tcPr>
          <w:p w14:paraId="000CB8F9" w14:textId="77777777" w:rsidR="00040DBB" w:rsidRPr="00CC54C6" w:rsidRDefault="00040DBB" w:rsidP="008A4B53">
            <w:pPr>
              <w:pStyle w:val="TableText"/>
            </w:pPr>
            <w:r w:rsidRPr="00CC54C6">
              <w:t>Specificity, % [95% CI]</w:t>
            </w:r>
          </w:p>
        </w:tc>
        <w:tc>
          <w:tcPr>
            <w:tcW w:w="1091" w:type="pct"/>
          </w:tcPr>
          <w:p w14:paraId="0320C95B" w14:textId="77777777" w:rsidR="00040DBB" w:rsidRPr="00A435D3" w:rsidRDefault="00040DBB" w:rsidP="008A4B53">
            <w:pPr>
              <w:pStyle w:val="TableText"/>
            </w:pPr>
            <w:r w:rsidRPr="00B92C6D">
              <w:rPr>
                <w:szCs w:val="20"/>
              </w:rPr>
              <w:t>0.90 [0.80-0.96]</w:t>
            </w:r>
          </w:p>
        </w:tc>
        <w:tc>
          <w:tcPr>
            <w:tcW w:w="1091" w:type="pct"/>
          </w:tcPr>
          <w:p w14:paraId="1BD95193" w14:textId="77777777" w:rsidR="00040DBB" w:rsidRDefault="00040DBB" w:rsidP="008A4B53">
            <w:pPr>
              <w:pStyle w:val="TableText"/>
            </w:pPr>
            <w:r w:rsidRPr="00B92C6D">
              <w:rPr>
                <w:rFonts w:cs="Arial"/>
                <w:szCs w:val="20"/>
              </w:rPr>
              <w:t>0.97 [0.89-1.00]</w:t>
            </w:r>
          </w:p>
        </w:tc>
        <w:tc>
          <w:tcPr>
            <w:tcW w:w="1091" w:type="pct"/>
          </w:tcPr>
          <w:p w14:paraId="7B1B274B" w14:textId="77777777" w:rsidR="00040DBB" w:rsidRPr="00CC54C6" w:rsidRDefault="00040DBB" w:rsidP="008A4B53">
            <w:pPr>
              <w:pStyle w:val="TableText"/>
            </w:pPr>
            <w:r w:rsidRPr="00B92C6D">
              <w:rPr>
                <w:szCs w:val="20"/>
              </w:rPr>
              <w:t>0.77 [0.65-0.87]</w:t>
            </w:r>
          </w:p>
        </w:tc>
      </w:tr>
      <w:tr w:rsidR="00040DBB" w:rsidRPr="00E2560B" w14:paraId="406C32D0" w14:textId="77777777" w:rsidTr="00CC7DE8">
        <w:trPr>
          <w:trHeight w:val="421"/>
        </w:trPr>
        <w:tc>
          <w:tcPr>
            <w:tcW w:w="1726" w:type="pct"/>
          </w:tcPr>
          <w:p w14:paraId="59D48CFD" w14:textId="77777777" w:rsidR="00040DBB" w:rsidRPr="00CC54C6" w:rsidRDefault="00040DBB" w:rsidP="008A4B53">
            <w:pPr>
              <w:pStyle w:val="TableText"/>
            </w:pPr>
            <w:r w:rsidRPr="00CC54C6">
              <w:t>P</w:t>
            </w:r>
            <w:r>
              <w:t>ositive predictive value</w:t>
            </w:r>
            <w:r w:rsidRPr="00CC54C6">
              <w:t>, % [95% CI]</w:t>
            </w:r>
          </w:p>
        </w:tc>
        <w:tc>
          <w:tcPr>
            <w:tcW w:w="1091" w:type="pct"/>
          </w:tcPr>
          <w:p w14:paraId="4A31A2D2" w14:textId="77777777" w:rsidR="00040DBB" w:rsidRDefault="00040DBB" w:rsidP="008A4B53">
            <w:pPr>
              <w:pStyle w:val="TableText"/>
            </w:pPr>
            <w:r w:rsidRPr="00061287">
              <w:rPr>
                <w:rFonts w:cs="Arial"/>
                <w:szCs w:val="20"/>
              </w:rPr>
              <w:t>0.87 [0.74-0.94]</w:t>
            </w:r>
          </w:p>
        </w:tc>
        <w:tc>
          <w:tcPr>
            <w:tcW w:w="1091" w:type="pct"/>
          </w:tcPr>
          <w:p w14:paraId="6D40351E" w14:textId="77777777" w:rsidR="00040DBB" w:rsidRDefault="00040DBB" w:rsidP="008A4B53">
            <w:pPr>
              <w:pStyle w:val="TableText"/>
            </w:pPr>
            <w:r>
              <w:rPr>
                <w:rFonts w:cs="Arial"/>
                <w:szCs w:val="20"/>
              </w:rPr>
              <w:t>0.95 [0.84-0.99]</w:t>
            </w:r>
          </w:p>
        </w:tc>
        <w:tc>
          <w:tcPr>
            <w:tcW w:w="1091" w:type="pct"/>
          </w:tcPr>
          <w:p w14:paraId="5342B024" w14:textId="77777777" w:rsidR="00040DBB" w:rsidRDefault="00040DBB" w:rsidP="008A4B53">
            <w:pPr>
              <w:pStyle w:val="TableText"/>
            </w:pPr>
            <w:r w:rsidRPr="006C2DDE">
              <w:rPr>
                <w:szCs w:val="20"/>
              </w:rPr>
              <w:t>0.75 [0.62-0.84]</w:t>
            </w:r>
          </w:p>
        </w:tc>
      </w:tr>
      <w:tr w:rsidR="00040DBB" w:rsidRPr="00E2560B" w14:paraId="37778FC6" w14:textId="77777777" w:rsidTr="00CC7DE8">
        <w:trPr>
          <w:trHeight w:val="421"/>
        </w:trPr>
        <w:tc>
          <w:tcPr>
            <w:tcW w:w="1726" w:type="pct"/>
          </w:tcPr>
          <w:p w14:paraId="11E63852" w14:textId="77777777" w:rsidR="00040DBB" w:rsidRPr="00CC54C6" w:rsidRDefault="00040DBB" w:rsidP="008A4B53">
            <w:pPr>
              <w:pStyle w:val="TableText"/>
            </w:pPr>
            <w:r w:rsidRPr="00CC54C6">
              <w:t>N</w:t>
            </w:r>
            <w:r>
              <w:t>egative predictive value</w:t>
            </w:r>
            <w:r w:rsidRPr="00CC54C6">
              <w:t>, % [95% CI]</w:t>
            </w:r>
          </w:p>
        </w:tc>
        <w:tc>
          <w:tcPr>
            <w:tcW w:w="1091" w:type="pct"/>
          </w:tcPr>
          <w:p w14:paraId="480B64B3" w14:textId="77777777" w:rsidR="00040DBB" w:rsidRDefault="00040DBB" w:rsidP="008A4B53">
            <w:pPr>
              <w:pStyle w:val="TableText"/>
            </w:pPr>
            <w:r>
              <w:rPr>
                <w:szCs w:val="20"/>
              </w:rPr>
              <w:t>0.89 [0.80-0.93]</w:t>
            </w:r>
          </w:p>
        </w:tc>
        <w:tc>
          <w:tcPr>
            <w:tcW w:w="1091" w:type="pct"/>
          </w:tcPr>
          <w:p w14:paraId="782308BB" w14:textId="77777777" w:rsidR="00040DBB" w:rsidRDefault="00040DBB" w:rsidP="008A4B53">
            <w:pPr>
              <w:pStyle w:val="TableText"/>
            </w:pPr>
            <w:r>
              <w:rPr>
                <w:rFonts w:cs="Arial"/>
                <w:szCs w:val="20"/>
              </w:rPr>
              <w:t>0.91 [0.86-0.96]</w:t>
            </w:r>
          </w:p>
        </w:tc>
        <w:tc>
          <w:tcPr>
            <w:tcW w:w="1091" w:type="pct"/>
          </w:tcPr>
          <w:p w14:paraId="7312E8BD" w14:textId="77777777" w:rsidR="00040DBB" w:rsidRDefault="00040DBB" w:rsidP="008A4B53">
            <w:pPr>
              <w:pStyle w:val="TableText"/>
            </w:pPr>
            <w:r w:rsidRPr="006C2DDE">
              <w:rPr>
                <w:szCs w:val="20"/>
              </w:rPr>
              <w:t>0.90 [0.79-0.96]</w:t>
            </w:r>
          </w:p>
        </w:tc>
      </w:tr>
    </w:tbl>
    <w:p w14:paraId="00D3752D" w14:textId="77777777" w:rsidR="00FA6295" w:rsidRPr="00FA6295" w:rsidRDefault="00FA6295" w:rsidP="00FA6295">
      <w:pPr>
        <w:pStyle w:val="Tablenotes"/>
      </w:pPr>
      <w:r w:rsidRPr="004F7914">
        <w:t>Abbreviations:</w:t>
      </w:r>
      <w:r>
        <w:t xml:space="preserve"> sTfR=serum soluble transferrin receptor; CI = confidence interval</w:t>
      </w:r>
    </w:p>
    <w:p w14:paraId="4B42F572" w14:textId="77777777" w:rsidR="00040DBB" w:rsidRDefault="00040DBB" w:rsidP="005112C9">
      <w:pPr>
        <w:pStyle w:val="Tablenotes"/>
        <w:spacing w:after="0"/>
      </w:pPr>
      <w:r w:rsidRPr="00410B31">
        <w:t>*</w:t>
      </w:r>
      <w:r w:rsidRPr="00AB2C59">
        <w:t xml:space="preserve"> </w:t>
      </w:r>
      <w:r>
        <w:t>IDA was defined as:</w:t>
      </w:r>
    </w:p>
    <w:p w14:paraId="62CEF5CC" w14:textId="77777777" w:rsidR="00040DBB" w:rsidRDefault="00040DBB" w:rsidP="005112C9">
      <w:pPr>
        <w:pStyle w:val="Tablenotes"/>
        <w:numPr>
          <w:ilvl w:val="0"/>
          <w:numId w:val="27"/>
        </w:numPr>
        <w:spacing w:after="0"/>
      </w:pPr>
      <w:r>
        <w:t xml:space="preserve">serum ferritin levels &lt;15 µg/L in males and &lt;10 µg/L in females; or </w:t>
      </w:r>
    </w:p>
    <w:p w14:paraId="38B8812E" w14:textId="77777777" w:rsidR="00040DBB" w:rsidRDefault="00040DBB" w:rsidP="005112C9">
      <w:pPr>
        <w:pStyle w:val="Tablenotes"/>
        <w:numPr>
          <w:ilvl w:val="0"/>
          <w:numId w:val="27"/>
        </w:numPr>
        <w:spacing w:after="0"/>
      </w:pPr>
      <w:r>
        <w:t xml:space="preserve">serum ferritin &lt;100 µg/L and transferrin saturation (TSAT) &lt;15%, with elevation of sTfR or reduction in hepcidin; or </w:t>
      </w:r>
    </w:p>
    <w:p w14:paraId="19409509" w14:textId="77777777" w:rsidR="00040DBB" w:rsidRDefault="00040DBB" w:rsidP="005112C9">
      <w:pPr>
        <w:pStyle w:val="Tablenotes"/>
        <w:numPr>
          <w:ilvl w:val="0"/>
          <w:numId w:val="27"/>
        </w:numPr>
        <w:spacing w:after="0"/>
      </w:pPr>
      <w:r>
        <w:t>serum ferritin &lt;200 µg/L (with increased CRP) and microcytic hypochromic anaemia responsive to the therapeutic trial of iron (i.e., more than</w:t>
      </w:r>
      <w:r w:rsidRPr="00106F60">
        <w:t xml:space="preserve"> </w:t>
      </w:r>
      <w:r>
        <w:t>10% increase in mean cell volume [MCV] and mean cell Hb concentration [MCHC] within 3 weeks of iron supplementation).</w:t>
      </w:r>
    </w:p>
    <w:p w14:paraId="5DA22D25" w14:textId="77777777" w:rsidR="00040DBB" w:rsidRPr="00040DBB" w:rsidRDefault="00040DBB" w:rsidP="00040DBB">
      <w:pPr>
        <w:rPr>
          <w:rFonts w:ascii="Arial Narrow" w:hAnsi="Arial Narrow"/>
          <w:sz w:val="18"/>
        </w:rPr>
      </w:pPr>
      <w:r w:rsidRPr="00040DBB">
        <w:rPr>
          <w:rFonts w:ascii="Arial Narrow" w:hAnsi="Arial Narrow"/>
          <w:sz w:val="18"/>
        </w:rPr>
        <w:t>Note: n was corrected (</w:t>
      </w:r>
      <w:r w:rsidRPr="00040DBB">
        <w:rPr>
          <w:rFonts w:ascii="Arial Narrow" w:hAnsi="Arial Narrow"/>
          <w:i/>
          <w:sz w:val="18"/>
        </w:rPr>
        <w:t>italics</w:t>
      </w:r>
      <w:r w:rsidRPr="00D06F33">
        <w:rPr>
          <w:rFonts w:ascii="Arial Narrow" w:hAnsi="Arial Narrow"/>
          <w:sz w:val="18"/>
        </w:rPr>
        <w:t>) during critique</w:t>
      </w:r>
    </w:p>
    <w:p w14:paraId="31AACB18" w14:textId="77777777" w:rsidR="00040DBB" w:rsidRDefault="00040DBB" w:rsidP="00040DBB">
      <w:pPr>
        <w:pStyle w:val="Tablenotes"/>
      </w:pPr>
    </w:p>
    <w:p w14:paraId="003E2BB8" w14:textId="77777777" w:rsidR="00CF33CC" w:rsidRDefault="00CF33CC" w:rsidP="00D06F33">
      <w:pPr>
        <w:spacing w:after="120"/>
        <w:rPr>
          <w:i/>
        </w:rPr>
      </w:pPr>
      <w:r>
        <w:rPr>
          <w:i/>
        </w:rPr>
        <w:t>Therapeutic efficacy (change in management)</w:t>
      </w:r>
    </w:p>
    <w:p w14:paraId="6C1FD6B5" w14:textId="77777777" w:rsidR="00CF33CC" w:rsidRDefault="00CF33CC" w:rsidP="00CF33CC">
      <w:pPr>
        <w:jc w:val="both"/>
      </w:pPr>
      <w:r>
        <w:t>No evidence was identified regarding therapeutic efficacy.</w:t>
      </w:r>
    </w:p>
    <w:p w14:paraId="1C7CC5AF" w14:textId="77777777" w:rsidR="00CF33CC" w:rsidRDefault="00CF33CC" w:rsidP="00CF33CC">
      <w:pPr>
        <w:jc w:val="both"/>
      </w:pPr>
    </w:p>
    <w:p w14:paraId="79B88A09" w14:textId="77777777" w:rsidR="00CF33CC" w:rsidRDefault="00CF33CC" w:rsidP="00D06F33">
      <w:pPr>
        <w:spacing w:after="120"/>
        <w:jc w:val="both"/>
        <w:rPr>
          <w:i/>
        </w:rPr>
      </w:pPr>
      <w:r w:rsidRPr="00CF33CC">
        <w:rPr>
          <w:i/>
        </w:rPr>
        <w:t>Therapeutic effectiveness (health benefit from change in management)</w:t>
      </w:r>
    </w:p>
    <w:p w14:paraId="379475B4" w14:textId="77777777" w:rsidR="00040DBB" w:rsidRDefault="00CF33CC" w:rsidP="00E27E59">
      <w:r w:rsidRPr="00CF33CC">
        <w:t>The characteristics of the proposed population are highly uncertain and heterogeneous: no evidence was identified that sufficiently described the population in terms of presentation, symptoms and signs, patient characteristics (including age, gender, past medical history, family history, risk factors), clinical suspicion, and findings from other investigations. Furthermore, existing management strategies are uncertain and likely variable, for example, which patients are given a therapeutic trial of iron as a diagnostic strategy or while waiting for other test results; or, what additional investigations would be ordered and under what circumstances.</w:t>
      </w:r>
    </w:p>
    <w:p w14:paraId="55744CBC" w14:textId="77777777" w:rsidR="000F0E01" w:rsidRDefault="000F0E01" w:rsidP="00CF33CC"/>
    <w:p w14:paraId="69B0BA09" w14:textId="44A6F343" w:rsidR="000F0E01" w:rsidRDefault="000F0E01" w:rsidP="000F0E01">
      <w:pPr>
        <w:jc w:val="both"/>
      </w:pPr>
      <w:r>
        <w:t>Therefore,</w:t>
      </w:r>
      <w:r w:rsidR="0052733B">
        <w:t xml:space="preserve"> </w:t>
      </w:r>
      <w:r>
        <w:t xml:space="preserve"> it is not possible to adequately quantify any health bene</w:t>
      </w:r>
      <w:r w:rsidR="0052733B">
        <w:t xml:space="preserve">fit from a change in management from sTfR testing (relative to proposed comparators). </w:t>
      </w:r>
    </w:p>
    <w:p w14:paraId="3BDDE122" w14:textId="77777777" w:rsidR="00B62164" w:rsidRDefault="00B62164" w:rsidP="000F0E01">
      <w:pPr>
        <w:jc w:val="both"/>
      </w:pPr>
    </w:p>
    <w:p w14:paraId="46372926" w14:textId="77777777" w:rsidR="005112C9" w:rsidRDefault="005112C9">
      <w:pPr>
        <w:rPr>
          <w:i/>
        </w:rPr>
      </w:pPr>
      <w:r>
        <w:rPr>
          <w:i/>
        </w:rPr>
        <w:br w:type="page"/>
      </w:r>
    </w:p>
    <w:p w14:paraId="4A12A47A" w14:textId="584ABCBB" w:rsidR="00B62164" w:rsidRPr="00B62164" w:rsidRDefault="00B62164" w:rsidP="00D06F33">
      <w:pPr>
        <w:spacing w:after="120"/>
        <w:rPr>
          <w:i/>
        </w:rPr>
      </w:pPr>
      <w:r w:rsidRPr="00B62164">
        <w:rPr>
          <w:i/>
        </w:rPr>
        <w:lastRenderedPageBreak/>
        <w:t xml:space="preserve">Summary of </w:t>
      </w:r>
      <w:r w:rsidR="00E002DE">
        <w:rPr>
          <w:i/>
        </w:rPr>
        <w:t xml:space="preserve">linked </w:t>
      </w:r>
      <w:r w:rsidRPr="00B62164">
        <w:rPr>
          <w:i/>
        </w:rPr>
        <w:t>evidence</w:t>
      </w:r>
    </w:p>
    <w:p w14:paraId="483CAEF7" w14:textId="769D2BD1" w:rsidR="00085FB4" w:rsidRDefault="00B7714E" w:rsidP="00B62164">
      <w:r>
        <w:t>Compared with ferritin testing alone, sTfR (and the sTfR</w:t>
      </w:r>
      <w:r w:rsidR="009F0CCC">
        <w:t>/</w:t>
      </w:r>
      <w:r>
        <w:t>lo</w:t>
      </w:r>
      <w:r w:rsidR="009F0CCC">
        <w:t>g</w:t>
      </w:r>
      <w:r>
        <w:t xml:space="preserve"> ferritin ratio) identified fewer patients with IDA (with or without ACD) but identified more patients with ACD alone (</w:t>
      </w:r>
      <w:r w:rsidR="00085FB4">
        <w:fldChar w:fldCharType="begin"/>
      </w:r>
      <w:r w:rsidR="00085FB4">
        <w:instrText xml:space="preserve"> REF _Ref528838208 \h </w:instrText>
      </w:r>
      <w:r w:rsidR="00085FB4">
        <w:fldChar w:fldCharType="separate"/>
      </w:r>
      <w:r w:rsidR="004D6213" w:rsidRPr="0082378D">
        <w:t>Table</w:t>
      </w:r>
      <w:r w:rsidR="005112C9">
        <w:t> </w:t>
      </w:r>
      <w:r w:rsidR="004D6213">
        <w:rPr>
          <w:noProof/>
        </w:rPr>
        <w:t>4</w:t>
      </w:r>
      <w:r w:rsidR="00085FB4">
        <w:fldChar w:fldCharType="end"/>
      </w:r>
      <w:r>
        <w:t>)</w:t>
      </w:r>
      <w:r w:rsidR="00085FB4">
        <w:t>.</w:t>
      </w:r>
      <w:r w:rsidR="00E002DE">
        <w:t xml:space="preserve"> </w:t>
      </w:r>
    </w:p>
    <w:p w14:paraId="5B1120FB" w14:textId="77777777" w:rsidR="00085FB4" w:rsidRDefault="00085FB4" w:rsidP="00B62164"/>
    <w:p w14:paraId="3B2B2290" w14:textId="77777777" w:rsidR="00085FB4" w:rsidRPr="00183E4D" w:rsidRDefault="00085FB4" w:rsidP="00D06F33">
      <w:pPr>
        <w:pStyle w:val="Caption"/>
        <w:keepNext/>
        <w:ind w:left="1440" w:hanging="1440"/>
        <w:rPr>
          <w:rFonts w:cs="Arial"/>
          <w:snapToGrid w:val="0"/>
          <w:szCs w:val="16"/>
          <w:lang w:eastAsia="en-US"/>
        </w:rPr>
      </w:pPr>
      <w:bookmarkStart w:id="6" w:name="_Ref528838208"/>
      <w:bookmarkStart w:id="7" w:name="_Toc519587806"/>
      <w:r w:rsidRPr="0082378D">
        <w:t xml:space="preserve">Table </w:t>
      </w:r>
      <w:r w:rsidR="00D06F33">
        <w:rPr>
          <w:noProof/>
        </w:rPr>
        <w:fldChar w:fldCharType="begin"/>
      </w:r>
      <w:r w:rsidR="00D06F33">
        <w:rPr>
          <w:noProof/>
        </w:rPr>
        <w:instrText xml:space="preserve"> SEQ Table \* ARABIC </w:instrText>
      </w:r>
      <w:r w:rsidR="00D06F33">
        <w:rPr>
          <w:noProof/>
        </w:rPr>
        <w:fldChar w:fldCharType="separate"/>
      </w:r>
      <w:r w:rsidR="004D6213">
        <w:rPr>
          <w:noProof/>
        </w:rPr>
        <w:t>4</w:t>
      </w:r>
      <w:r w:rsidR="00D06F33">
        <w:rPr>
          <w:noProof/>
        </w:rPr>
        <w:fldChar w:fldCharType="end"/>
      </w:r>
      <w:bookmarkEnd w:id="6"/>
      <w:r w:rsidRPr="00183E4D">
        <w:tab/>
      </w:r>
      <w:r>
        <w:t>Summary of findings for the diagnostic accuracy of sTfR and sTfR/log ferritin</w:t>
      </w:r>
      <w:r>
        <w:rPr>
          <w:rFonts w:cs="Arial"/>
          <w:snapToGrid w:val="0"/>
          <w:szCs w:val="16"/>
          <w:lang w:eastAsia="en-US"/>
        </w:rPr>
        <w:t xml:space="preserve">, relative to ferritin alone, in </w:t>
      </w:r>
      <w:r>
        <w:t xml:space="preserve">adult anaemic patients known to have ferritin levels between </w:t>
      </w:r>
      <w:r w:rsidRPr="009468AC">
        <w:rPr>
          <w:i/>
        </w:rPr>
        <w:t xml:space="preserve">10-100 </w:t>
      </w:r>
      <w:r w:rsidR="00F336CF">
        <w:rPr>
          <w:i/>
        </w:rPr>
        <w:t>µg/L</w:t>
      </w:r>
      <w:r>
        <w:t>,</w:t>
      </w:r>
      <w:r>
        <w:rPr>
          <w:rFonts w:cs="Arial"/>
          <w:snapToGrid w:val="0"/>
          <w:szCs w:val="16"/>
          <w:lang w:eastAsia="en-US"/>
        </w:rPr>
        <w:t xml:space="preserve"> with assumed pre-test probability (prevalence) of 43% from </w:t>
      </w:r>
      <w:hyperlink w:anchor="_ENREF_19" w:tooltip="Shin, 2015 #5" w:history="1">
        <w:r>
          <w:fldChar w:fldCharType="begin">
            <w:fldData xml:space="preserve">PEVuZE5vdGU+PENpdGUgQXV0aG9yWWVhcj0iMSI+PEF1dGhvcj5TaGluPC9BdXRob3I+PFllYXI+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</w:fldData>
          </w:fldChar>
        </w:r>
        <w:r>
          <w:instrText xml:space="preserve"> ADDIN EN.CITE </w:instrText>
        </w:r>
        <w:r>
          <w:fldChar w:fldCharType="begin">
            <w:fldData xml:space="preserve">PEVuZE5vdGU+PENpdGUgQXV0aG9yWWVhcj0iMSI+PEF1dGhvcj5TaGluPC9BdXRob3I+PFllYXI+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</w:fldData>
          </w:fldChar>
        </w:r>
        <w:r>
          <w:instrText xml:space="preserve"> ADDIN EN.CITE.DATA </w:instrText>
        </w:r>
        <w:r>
          <w:fldChar w:fldCharType="end"/>
        </w:r>
        <w:r>
          <w:fldChar w:fldCharType="separate"/>
        </w:r>
        <w:r>
          <w:rPr>
            <w:noProof/>
          </w:rPr>
          <w:t>Shin, Kim et al. (2015)</w:t>
        </w:r>
        <w:r>
          <w:fldChar w:fldCharType="end"/>
        </w:r>
      </w:hyperlink>
      <w:bookmarkEnd w:id="7"/>
    </w:p>
    <w:tbl>
      <w:tblPr>
        <w:tblStyle w:val="TableGrid"/>
        <w:tblW w:w="5000" w:type="pct"/>
        <w:tblCellMar>
          <w:left w:w="28" w:type="dxa"/>
          <w:right w:w="28" w:type="dxa"/>
        </w:tblCellMar>
        <w:tblLook w:val="04A0" w:firstRow="1" w:lastRow="0" w:firstColumn="1" w:lastColumn="0" w:noHBand="0" w:noVBand="1"/>
        <w:tblCaption w:val="Summary of findings for the diagnostic accuracy of sTfR and sTfR/log ferritin, relative to ferritin alone, in patients with adult anaemic patients known to have ferritin levels between 10-100 µg/L , with assumed pre-test probability (prevalence) of 43% from Shin, Kim et al. (2015)"/>
        <w:tblDescription w:val="Summary of findings table"/>
      </w:tblPr>
      <w:tblGrid>
        <w:gridCol w:w="1015"/>
        <w:gridCol w:w="1051"/>
        <w:gridCol w:w="898"/>
        <w:gridCol w:w="1251"/>
        <w:gridCol w:w="1196"/>
        <w:gridCol w:w="1324"/>
        <w:gridCol w:w="2281"/>
      </w:tblGrid>
      <w:tr w:rsidR="00085FB4" w:rsidRPr="0082378D" w14:paraId="58AA4385" w14:textId="77777777" w:rsidTr="00E002DE">
        <w:trPr>
          <w:tblHeader/>
        </w:trPr>
        <w:tc>
          <w:tcPr>
            <w:tcW w:w="563" w:type="pct"/>
          </w:tcPr>
          <w:p w14:paraId="00D9BEF1" w14:textId="77777777" w:rsidR="00085FB4" w:rsidRPr="0082378D" w:rsidRDefault="00085FB4" w:rsidP="0064260E">
            <w:pPr>
              <w:pStyle w:val="Tabletext0"/>
              <w:keepNext/>
              <w:ind w:left="0"/>
              <w:rPr>
                <w:b/>
              </w:rPr>
            </w:pPr>
            <w:r w:rsidRPr="0082378D">
              <w:rPr>
                <w:b/>
              </w:rPr>
              <w:t>Outcomes</w:t>
            </w:r>
          </w:p>
        </w:tc>
        <w:tc>
          <w:tcPr>
            <w:tcW w:w="583" w:type="pct"/>
          </w:tcPr>
          <w:p w14:paraId="3C7EC1BF" w14:textId="77777777" w:rsidR="00085FB4" w:rsidRPr="0082378D" w:rsidRDefault="00085FB4" w:rsidP="0064260E">
            <w:pPr>
              <w:pStyle w:val="Tabletext0"/>
              <w:keepNext/>
              <w:ind w:left="0"/>
              <w:rPr>
                <w:b/>
              </w:rPr>
            </w:pPr>
            <w:r w:rsidRPr="0082378D">
              <w:rPr>
                <w:b/>
              </w:rPr>
              <w:t>Participants</w:t>
            </w:r>
          </w:p>
        </w:tc>
        <w:tc>
          <w:tcPr>
            <w:tcW w:w="498" w:type="pct"/>
          </w:tcPr>
          <w:p w14:paraId="65DB9DF1" w14:textId="77777777" w:rsidR="00085FB4" w:rsidRPr="0082378D" w:rsidRDefault="00085FB4" w:rsidP="0064260E">
            <w:pPr>
              <w:pStyle w:val="Tabletext0"/>
              <w:keepNext/>
              <w:ind w:left="0"/>
              <w:rPr>
                <w:b/>
              </w:rPr>
            </w:pPr>
            <w:r w:rsidRPr="0082378D">
              <w:rPr>
                <w:b/>
              </w:rPr>
              <w:t>Quality of evidence</w:t>
            </w:r>
            <w:r w:rsidRPr="004F7914">
              <w:rPr>
                <w:b/>
                <w:vertAlign w:val="superscript"/>
              </w:rPr>
              <w:t xml:space="preserve"> a</w:t>
            </w:r>
          </w:p>
        </w:tc>
        <w:tc>
          <w:tcPr>
            <w:tcW w:w="694" w:type="pct"/>
          </w:tcPr>
          <w:p w14:paraId="35471EE3" w14:textId="77777777" w:rsidR="00085FB4" w:rsidRPr="0082378D" w:rsidRDefault="00085FB4" w:rsidP="0064260E">
            <w:pPr>
              <w:pStyle w:val="Tabletext0"/>
              <w:keepNext/>
              <w:ind w:left="0"/>
              <w:rPr>
                <w:b/>
              </w:rPr>
            </w:pPr>
            <w:r w:rsidRPr="0082378D">
              <w:rPr>
                <w:b/>
              </w:rPr>
              <w:t>No. per 1000 patients with ferritin alone</w:t>
            </w:r>
          </w:p>
        </w:tc>
        <w:tc>
          <w:tcPr>
            <w:tcW w:w="663" w:type="pct"/>
          </w:tcPr>
          <w:p w14:paraId="0478B95E" w14:textId="77777777" w:rsidR="00085FB4" w:rsidRPr="0082378D" w:rsidRDefault="00085FB4" w:rsidP="0064260E">
            <w:pPr>
              <w:pStyle w:val="Tabletext0"/>
              <w:keepNext/>
              <w:ind w:left="0"/>
              <w:rPr>
                <w:b/>
              </w:rPr>
            </w:pPr>
            <w:r w:rsidRPr="0082378D">
              <w:rPr>
                <w:b/>
              </w:rPr>
              <w:t>No. per 1000 patients with sTfR</w:t>
            </w:r>
          </w:p>
        </w:tc>
        <w:tc>
          <w:tcPr>
            <w:tcW w:w="734" w:type="pct"/>
          </w:tcPr>
          <w:p w14:paraId="266C08E4" w14:textId="77777777" w:rsidR="00085FB4" w:rsidRPr="0082378D" w:rsidRDefault="00085FB4" w:rsidP="0064260E">
            <w:pPr>
              <w:pStyle w:val="Tabletext0"/>
              <w:keepNext/>
              <w:ind w:left="0"/>
              <w:rPr>
                <w:b/>
              </w:rPr>
            </w:pPr>
            <w:r w:rsidRPr="0082378D">
              <w:rPr>
                <w:b/>
              </w:rPr>
              <w:t>No. per 1000 patients with sTfR/log ferritin</w:t>
            </w:r>
          </w:p>
        </w:tc>
        <w:tc>
          <w:tcPr>
            <w:tcW w:w="1265" w:type="pct"/>
          </w:tcPr>
          <w:p w14:paraId="199DE015" w14:textId="77777777" w:rsidR="00085FB4" w:rsidRPr="0082378D" w:rsidRDefault="00085FB4" w:rsidP="0064260E">
            <w:pPr>
              <w:pStyle w:val="Tabletext0"/>
              <w:keepNext/>
              <w:ind w:left="0"/>
              <w:rPr>
                <w:b/>
              </w:rPr>
            </w:pPr>
            <w:r>
              <w:rPr>
                <w:b/>
              </w:rPr>
              <w:t>Comments</w:t>
            </w:r>
          </w:p>
        </w:tc>
      </w:tr>
      <w:tr w:rsidR="00085FB4" w14:paraId="4EE544F1" w14:textId="77777777" w:rsidTr="00E002DE">
        <w:tc>
          <w:tcPr>
            <w:tcW w:w="563" w:type="pct"/>
          </w:tcPr>
          <w:p w14:paraId="16ED2082" w14:textId="77777777" w:rsidR="00085FB4" w:rsidRPr="0082378D" w:rsidRDefault="00085FB4" w:rsidP="0064260E">
            <w:pPr>
              <w:pStyle w:val="Tabletext0"/>
              <w:keepNext/>
              <w:ind w:left="0"/>
              <w:rPr>
                <w:rFonts w:cs="Arial"/>
              </w:rPr>
            </w:pPr>
            <w:r w:rsidRPr="0082378D">
              <w:rPr>
                <w:rFonts w:cs="Arial"/>
              </w:rPr>
              <w:t>True positives</w:t>
            </w:r>
          </w:p>
        </w:tc>
        <w:tc>
          <w:tcPr>
            <w:tcW w:w="583" w:type="pct"/>
          </w:tcPr>
          <w:p w14:paraId="2204D0E1" w14:textId="77777777" w:rsidR="00085FB4" w:rsidRPr="0082378D" w:rsidRDefault="00085FB4" w:rsidP="0064260E">
            <w:pPr>
              <w:pStyle w:val="Tabletext0"/>
              <w:keepNext/>
              <w:ind w:left="0"/>
              <w:rPr>
                <w:rFonts w:cs="Arial"/>
              </w:rPr>
            </w:pPr>
            <w:r w:rsidRPr="0082378D">
              <w:rPr>
                <w:rFonts w:cs="Arial"/>
              </w:rPr>
              <w:t>k=1 ; n=46</w:t>
            </w:r>
          </w:p>
        </w:tc>
        <w:tc>
          <w:tcPr>
            <w:tcW w:w="498" w:type="pct"/>
          </w:tcPr>
          <w:p w14:paraId="2DCDFD50" w14:textId="77777777" w:rsidR="00085FB4" w:rsidRDefault="00085FB4" w:rsidP="0064260E">
            <w:pPr>
              <w:pStyle w:val="Tabletext0"/>
              <w:keepNext/>
              <w:ind w:left="0"/>
              <w:rPr>
                <w:rFonts w:ascii="Cambria Math" w:hAnsi="Cambria Math" w:cs="Cambria Math"/>
                <w:color w:val="C00000"/>
              </w:rPr>
            </w:pPr>
            <w:r>
              <w:rPr>
                <w:rFonts w:ascii="Cambria Math" w:hAnsi="Cambria Math"/>
                <w:color w:val="00B050"/>
              </w:rPr>
              <w:t>⨁</w:t>
            </w:r>
            <w:r w:rsidRPr="00D4733A">
              <w:rPr>
                <w:rFonts w:ascii="Cambria Math" w:hAnsi="Cambria Math" w:cs="Cambria Math"/>
                <w:color w:val="C00000"/>
              </w:rPr>
              <w:t>⨀⨀⨀</w:t>
            </w:r>
          </w:p>
          <w:p w14:paraId="527BBB08" w14:textId="77777777" w:rsidR="00085FB4" w:rsidRPr="004A196F" w:rsidRDefault="00085FB4" w:rsidP="0064260E">
            <w:pPr>
              <w:pStyle w:val="Tabletext0"/>
              <w:keepNext/>
              <w:ind w:left="0"/>
              <w:rPr>
                <w:rFonts w:cs="Arial"/>
                <w:sz w:val="18"/>
                <w:szCs w:val="18"/>
              </w:rPr>
            </w:pPr>
            <w:r w:rsidRPr="00F863E4">
              <w:t>VERY LOW</w:t>
            </w:r>
          </w:p>
        </w:tc>
        <w:tc>
          <w:tcPr>
            <w:tcW w:w="694" w:type="pct"/>
          </w:tcPr>
          <w:p w14:paraId="6FC2FAFE" w14:textId="77777777" w:rsidR="00085FB4" w:rsidRPr="00F863E4" w:rsidRDefault="00085FB4" w:rsidP="0064260E">
            <w:pPr>
              <w:pStyle w:val="Tabletext0"/>
              <w:keepNext/>
              <w:ind w:left="0"/>
              <w:rPr>
                <w:rFonts w:cs="Arial"/>
                <w:sz w:val="18"/>
                <w:szCs w:val="18"/>
                <w:highlight w:val="cyan"/>
              </w:rPr>
            </w:pPr>
            <w:r w:rsidRPr="004338BB">
              <w:rPr>
                <w:rStyle w:val="effect"/>
                <w:rFonts w:cs="Arial"/>
              </w:rPr>
              <w:t>383</w:t>
            </w:r>
            <w:r w:rsidRPr="004338BB">
              <w:rPr>
                <w:rFonts w:cs="Arial"/>
              </w:rPr>
              <w:t xml:space="preserve"> (331 to 409)</w:t>
            </w:r>
          </w:p>
        </w:tc>
        <w:tc>
          <w:tcPr>
            <w:tcW w:w="663" w:type="pct"/>
          </w:tcPr>
          <w:p w14:paraId="2623E15B" w14:textId="77777777" w:rsidR="00085FB4" w:rsidRPr="00F863E4" w:rsidRDefault="00085FB4" w:rsidP="0064260E">
            <w:pPr>
              <w:pStyle w:val="Tabletext0"/>
              <w:keepNext/>
              <w:ind w:left="0"/>
              <w:rPr>
                <w:rFonts w:cs="Arial"/>
                <w:sz w:val="18"/>
                <w:szCs w:val="18"/>
                <w:highlight w:val="cyan"/>
              </w:rPr>
            </w:pPr>
            <w:r w:rsidRPr="00CE6762">
              <w:rPr>
                <w:rStyle w:val="effect"/>
                <w:rFonts w:cs="Arial"/>
              </w:rPr>
              <w:t>366</w:t>
            </w:r>
            <w:r w:rsidRPr="00CE6762">
              <w:rPr>
                <w:rFonts w:cs="Arial"/>
              </w:rPr>
              <w:t xml:space="preserve"> (310 to 404)</w:t>
            </w:r>
          </w:p>
        </w:tc>
        <w:tc>
          <w:tcPr>
            <w:tcW w:w="734" w:type="pct"/>
          </w:tcPr>
          <w:p w14:paraId="498915EF" w14:textId="77777777" w:rsidR="00085FB4" w:rsidRPr="00F863E4" w:rsidRDefault="00085FB4" w:rsidP="0064260E">
            <w:pPr>
              <w:pStyle w:val="Tabletext0"/>
              <w:keepNext/>
              <w:ind w:left="0"/>
              <w:rPr>
                <w:rFonts w:cs="Arial"/>
                <w:sz w:val="18"/>
                <w:szCs w:val="18"/>
                <w:highlight w:val="cyan"/>
              </w:rPr>
            </w:pPr>
            <w:r w:rsidRPr="004338BB">
              <w:rPr>
                <w:rStyle w:val="effect"/>
                <w:rFonts w:cs="Arial"/>
              </w:rPr>
              <w:t>374</w:t>
            </w:r>
            <w:r w:rsidRPr="004338BB">
              <w:rPr>
                <w:rFonts w:cs="Arial"/>
              </w:rPr>
              <w:t xml:space="preserve"> (318 to 409)</w:t>
            </w:r>
          </w:p>
        </w:tc>
        <w:tc>
          <w:tcPr>
            <w:tcW w:w="1265" w:type="pct"/>
          </w:tcPr>
          <w:p w14:paraId="2B1B3C4E" w14:textId="77777777" w:rsidR="00085FB4" w:rsidRPr="0082378D" w:rsidRDefault="00085FB4" w:rsidP="0064260E">
            <w:pPr>
              <w:pStyle w:val="Tabletext0"/>
              <w:keepNext/>
              <w:ind w:left="0"/>
              <w:rPr>
                <w:rFonts w:cs="Arial"/>
                <w:sz w:val="18"/>
                <w:szCs w:val="18"/>
                <w:highlight w:val="cyan"/>
              </w:rPr>
            </w:pPr>
            <w:r>
              <w:t xml:space="preserve">Patients </w:t>
            </w:r>
            <w:r w:rsidRPr="004338BB">
              <w:t>cor</w:t>
            </w:r>
            <w:r>
              <w:t>rectly classified as having IDA±</w:t>
            </w:r>
            <w:r w:rsidRPr="004338BB">
              <w:t>ACD</w:t>
            </w:r>
            <w:r>
              <w:t xml:space="preserve"> with </w:t>
            </w:r>
            <w:r w:rsidRPr="00A15B29">
              <w:t>likely benefit from earlier diagnosis and treatment</w:t>
            </w:r>
            <w:r>
              <w:t xml:space="preserve"> of IDA and </w:t>
            </w:r>
            <w:r w:rsidRPr="00A15B29">
              <w:t xml:space="preserve">uncertain benefit/harm from </w:t>
            </w:r>
            <w:r>
              <w:t>avoiding</w:t>
            </w:r>
            <w:r w:rsidRPr="00A15B29">
              <w:t xml:space="preserve"> investigations</w:t>
            </w:r>
            <w:r>
              <w:t xml:space="preserve"> (if any) for known or suspected comorbidity.</w:t>
            </w:r>
            <w:r w:rsidRPr="00865E1D">
              <w:rPr>
                <w:vertAlign w:val="superscript"/>
              </w:rPr>
              <w:t>b</w:t>
            </w:r>
          </w:p>
        </w:tc>
      </w:tr>
      <w:tr w:rsidR="00085FB4" w14:paraId="02796B62" w14:textId="77777777" w:rsidTr="00E002DE">
        <w:tc>
          <w:tcPr>
            <w:tcW w:w="563" w:type="pct"/>
          </w:tcPr>
          <w:p w14:paraId="4C92ABC4" w14:textId="77777777" w:rsidR="00085FB4" w:rsidRPr="0082378D" w:rsidRDefault="00085FB4" w:rsidP="0064260E">
            <w:pPr>
              <w:pStyle w:val="Tabletext0"/>
              <w:ind w:left="0"/>
              <w:rPr>
                <w:rFonts w:cs="Arial"/>
              </w:rPr>
            </w:pPr>
            <w:r w:rsidRPr="0082378D">
              <w:rPr>
                <w:rFonts w:cs="Arial"/>
              </w:rPr>
              <w:t>True negatives</w:t>
            </w:r>
          </w:p>
        </w:tc>
        <w:tc>
          <w:tcPr>
            <w:tcW w:w="583" w:type="pct"/>
          </w:tcPr>
          <w:p w14:paraId="31D44C5B" w14:textId="77777777" w:rsidR="00085FB4" w:rsidRPr="0082378D" w:rsidRDefault="00085FB4" w:rsidP="0064260E">
            <w:pPr>
              <w:pStyle w:val="Tabletext0"/>
              <w:ind w:left="0"/>
              <w:rPr>
                <w:rFonts w:cs="Arial"/>
              </w:rPr>
            </w:pPr>
            <w:r w:rsidRPr="0082378D">
              <w:rPr>
                <w:rFonts w:cs="Arial"/>
              </w:rPr>
              <w:t>k=1 ; n=61</w:t>
            </w:r>
          </w:p>
        </w:tc>
        <w:tc>
          <w:tcPr>
            <w:tcW w:w="498" w:type="pct"/>
          </w:tcPr>
          <w:p w14:paraId="388203D8" w14:textId="77777777" w:rsidR="00085FB4" w:rsidRDefault="00085FB4" w:rsidP="0064260E">
            <w:pPr>
              <w:pStyle w:val="Tabletext0"/>
              <w:ind w:left="0"/>
              <w:rPr>
                <w:rFonts w:ascii="Cambria Math" w:hAnsi="Cambria Math" w:cs="Cambria Math"/>
                <w:color w:val="C00000"/>
              </w:rPr>
            </w:pPr>
            <w:r>
              <w:rPr>
                <w:rFonts w:ascii="Cambria Math" w:hAnsi="Cambria Math"/>
                <w:color w:val="00B050"/>
              </w:rPr>
              <w:t>⨁</w:t>
            </w:r>
            <w:r w:rsidRPr="00D4733A">
              <w:rPr>
                <w:rFonts w:ascii="Cambria Math" w:hAnsi="Cambria Math" w:cs="Cambria Math"/>
                <w:color w:val="C00000"/>
              </w:rPr>
              <w:t>⨀⨀⨀</w:t>
            </w:r>
          </w:p>
          <w:p w14:paraId="6EDA4591" w14:textId="77777777" w:rsidR="00085FB4" w:rsidRPr="004A196F" w:rsidRDefault="00085FB4" w:rsidP="0064260E">
            <w:pPr>
              <w:pStyle w:val="Tabletext0"/>
              <w:ind w:left="0"/>
              <w:rPr>
                <w:rFonts w:cs="Arial"/>
                <w:sz w:val="18"/>
                <w:szCs w:val="18"/>
              </w:rPr>
            </w:pPr>
            <w:r w:rsidRPr="00F863E4">
              <w:t>VERY LOW</w:t>
            </w:r>
          </w:p>
        </w:tc>
        <w:tc>
          <w:tcPr>
            <w:tcW w:w="694" w:type="pct"/>
          </w:tcPr>
          <w:p w14:paraId="46ABAC2F" w14:textId="77777777" w:rsidR="00085FB4" w:rsidRPr="00F863E4" w:rsidRDefault="00085FB4" w:rsidP="0064260E">
            <w:pPr>
              <w:pStyle w:val="Tabletext0"/>
              <w:ind w:left="0"/>
              <w:rPr>
                <w:rFonts w:cs="Arial"/>
                <w:sz w:val="18"/>
                <w:szCs w:val="18"/>
                <w:highlight w:val="cyan"/>
              </w:rPr>
            </w:pPr>
            <w:r w:rsidRPr="004338BB">
              <w:rPr>
                <w:rStyle w:val="effect"/>
                <w:rFonts w:cs="Arial"/>
              </w:rPr>
              <w:t>439</w:t>
            </w:r>
            <w:r w:rsidRPr="004338BB">
              <w:rPr>
                <w:rFonts w:cs="Arial"/>
              </w:rPr>
              <w:t xml:space="preserve"> (371 to 490)</w:t>
            </w:r>
          </w:p>
        </w:tc>
        <w:tc>
          <w:tcPr>
            <w:tcW w:w="663" w:type="pct"/>
          </w:tcPr>
          <w:p w14:paraId="42F95F1D" w14:textId="77777777" w:rsidR="00085FB4" w:rsidRPr="00F863E4" w:rsidRDefault="00085FB4" w:rsidP="0064260E">
            <w:pPr>
              <w:pStyle w:val="Tabletext0"/>
              <w:ind w:left="0"/>
              <w:rPr>
                <w:rFonts w:cs="Arial"/>
                <w:sz w:val="18"/>
                <w:szCs w:val="18"/>
                <w:highlight w:val="cyan"/>
              </w:rPr>
            </w:pPr>
            <w:r w:rsidRPr="00CE6762">
              <w:rPr>
                <w:rStyle w:val="effect"/>
                <w:rFonts w:cs="Arial"/>
              </w:rPr>
              <w:t>513</w:t>
            </w:r>
            <w:r w:rsidRPr="00CE6762">
              <w:rPr>
                <w:rFonts w:cs="Arial"/>
              </w:rPr>
              <w:t xml:space="preserve"> (456 to 542)</w:t>
            </w:r>
          </w:p>
        </w:tc>
        <w:tc>
          <w:tcPr>
            <w:tcW w:w="734" w:type="pct"/>
          </w:tcPr>
          <w:p w14:paraId="73C2C5C8" w14:textId="77777777" w:rsidR="00085FB4" w:rsidRPr="00F863E4" w:rsidRDefault="00085FB4" w:rsidP="0064260E">
            <w:pPr>
              <w:pStyle w:val="Tabletext0"/>
              <w:ind w:left="0"/>
              <w:rPr>
                <w:rFonts w:cs="Arial"/>
                <w:sz w:val="18"/>
                <w:szCs w:val="18"/>
                <w:highlight w:val="cyan"/>
              </w:rPr>
            </w:pPr>
            <w:r w:rsidRPr="004338BB">
              <w:rPr>
                <w:rStyle w:val="effect"/>
                <w:rFonts w:cs="Arial"/>
              </w:rPr>
              <w:t>553</w:t>
            </w:r>
            <w:r w:rsidRPr="004338BB">
              <w:rPr>
                <w:rFonts w:cs="Arial"/>
              </w:rPr>
              <w:t xml:space="preserve"> (507 to 570)</w:t>
            </w:r>
          </w:p>
        </w:tc>
        <w:tc>
          <w:tcPr>
            <w:tcW w:w="1265" w:type="pct"/>
          </w:tcPr>
          <w:p w14:paraId="122A793A" w14:textId="77777777" w:rsidR="00085FB4" w:rsidRPr="0082378D" w:rsidRDefault="00085FB4" w:rsidP="0064260E">
            <w:pPr>
              <w:pStyle w:val="Tabletext0"/>
              <w:ind w:left="0"/>
              <w:rPr>
                <w:rFonts w:cs="Arial"/>
                <w:sz w:val="18"/>
                <w:szCs w:val="18"/>
                <w:highlight w:val="cyan"/>
              </w:rPr>
            </w:pPr>
            <w:r>
              <w:t xml:space="preserve">Patients </w:t>
            </w:r>
            <w:r w:rsidRPr="004338BB">
              <w:t>correctly classified as</w:t>
            </w:r>
            <w:r>
              <w:t xml:space="preserve"> having </w:t>
            </w:r>
            <w:r w:rsidRPr="004338BB">
              <w:t>ACD</w:t>
            </w:r>
            <w:r>
              <w:t xml:space="preserve"> alone</w:t>
            </w:r>
            <w:r w:rsidRPr="004338BB">
              <w:t xml:space="preserve"> </w:t>
            </w:r>
            <w:r>
              <w:t>with possible benefit from earlier additional investigations and/or treatment (if any) for known or suspected comorbidity and avoidance of iron therapy.</w:t>
            </w:r>
            <w:r w:rsidRPr="00865E1D">
              <w:rPr>
                <w:vertAlign w:val="superscript"/>
              </w:rPr>
              <w:t>b</w:t>
            </w:r>
          </w:p>
        </w:tc>
      </w:tr>
      <w:tr w:rsidR="00085FB4" w14:paraId="0CABC825" w14:textId="77777777" w:rsidTr="00E002DE">
        <w:tc>
          <w:tcPr>
            <w:tcW w:w="563" w:type="pct"/>
          </w:tcPr>
          <w:p w14:paraId="071942C1" w14:textId="77777777" w:rsidR="00085FB4" w:rsidRPr="0082378D" w:rsidRDefault="00085FB4" w:rsidP="0064260E">
            <w:pPr>
              <w:pStyle w:val="Tabletext0"/>
              <w:ind w:left="0"/>
              <w:rPr>
                <w:rFonts w:cs="Arial"/>
              </w:rPr>
            </w:pPr>
            <w:r w:rsidRPr="0082378D">
              <w:rPr>
                <w:rFonts w:cs="Arial"/>
              </w:rPr>
              <w:t>False positives</w:t>
            </w:r>
          </w:p>
        </w:tc>
        <w:tc>
          <w:tcPr>
            <w:tcW w:w="583" w:type="pct"/>
          </w:tcPr>
          <w:p w14:paraId="6F22A9C6" w14:textId="77777777" w:rsidR="00085FB4" w:rsidRPr="0082378D" w:rsidRDefault="00085FB4" w:rsidP="0064260E">
            <w:pPr>
              <w:pStyle w:val="Tabletext0"/>
              <w:ind w:left="0"/>
              <w:rPr>
                <w:rFonts w:cs="Arial"/>
              </w:rPr>
            </w:pPr>
            <w:r w:rsidRPr="0082378D">
              <w:rPr>
                <w:rFonts w:cs="Arial"/>
              </w:rPr>
              <w:t>k=1 ; n=46</w:t>
            </w:r>
          </w:p>
        </w:tc>
        <w:tc>
          <w:tcPr>
            <w:tcW w:w="498" w:type="pct"/>
          </w:tcPr>
          <w:p w14:paraId="1FD80297" w14:textId="77777777" w:rsidR="00085FB4" w:rsidRDefault="00085FB4" w:rsidP="0064260E">
            <w:pPr>
              <w:pStyle w:val="Tabletext0"/>
              <w:ind w:left="0"/>
              <w:rPr>
                <w:rFonts w:ascii="Cambria Math" w:hAnsi="Cambria Math" w:cs="Cambria Math"/>
                <w:color w:val="C00000"/>
              </w:rPr>
            </w:pPr>
            <w:r>
              <w:rPr>
                <w:rFonts w:ascii="Cambria Math" w:hAnsi="Cambria Math"/>
                <w:color w:val="00B050"/>
              </w:rPr>
              <w:t>⨁</w:t>
            </w:r>
            <w:r w:rsidRPr="00D4733A">
              <w:rPr>
                <w:rFonts w:ascii="Cambria Math" w:hAnsi="Cambria Math" w:cs="Cambria Math"/>
                <w:color w:val="C00000"/>
              </w:rPr>
              <w:t>⨀⨀⨀</w:t>
            </w:r>
          </w:p>
          <w:p w14:paraId="3CE8142D" w14:textId="77777777" w:rsidR="00085FB4" w:rsidRPr="004A196F" w:rsidRDefault="00085FB4" w:rsidP="0064260E">
            <w:pPr>
              <w:pStyle w:val="Tabletext0"/>
              <w:ind w:left="0"/>
              <w:rPr>
                <w:rFonts w:cs="Arial"/>
                <w:sz w:val="18"/>
                <w:szCs w:val="18"/>
              </w:rPr>
            </w:pPr>
            <w:r w:rsidRPr="00F863E4">
              <w:t>VERY LOW</w:t>
            </w:r>
          </w:p>
        </w:tc>
        <w:tc>
          <w:tcPr>
            <w:tcW w:w="694" w:type="pct"/>
          </w:tcPr>
          <w:p w14:paraId="2E5ADA77" w14:textId="77777777" w:rsidR="00085FB4" w:rsidRPr="00F863E4" w:rsidRDefault="00085FB4" w:rsidP="0064260E">
            <w:pPr>
              <w:pStyle w:val="Tabletext0"/>
              <w:ind w:left="0"/>
              <w:rPr>
                <w:rFonts w:cs="Arial"/>
                <w:sz w:val="18"/>
                <w:szCs w:val="18"/>
                <w:highlight w:val="cyan"/>
              </w:rPr>
            </w:pPr>
            <w:r w:rsidRPr="004338BB">
              <w:rPr>
                <w:rStyle w:val="effect"/>
                <w:rFonts w:cs="Arial"/>
              </w:rPr>
              <w:t>131</w:t>
            </w:r>
            <w:r w:rsidRPr="004338BB">
              <w:rPr>
                <w:rFonts w:cs="Arial"/>
              </w:rPr>
              <w:t xml:space="preserve"> (80 to 199)</w:t>
            </w:r>
          </w:p>
        </w:tc>
        <w:tc>
          <w:tcPr>
            <w:tcW w:w="663" w:type="pct"/>
          </w:tcPr>
          <w:p w14:paraId="6E7BD215" w14:textId="77777777" w:rsidR="00085FB4" w:rsidRPr="00F863E4" w:rsidRDefault="00085FB4" w:rsidP="0064260E">
            <w:pPr>
              <w:pStyle w:val="Tabletext0"/>
              <w:ind w:left="0"/>
              <w:rPr>
                <w:rFonts w:cs="Arial"/>
                <w:sz w:val="18"/>
                <w:szCs w:val="18"/>
                <w:highlight w:val="cyan"/>
              </w:rPr>
            </w:pPr>
            <w:r w:rsidRPr="00CE6762">
              <w:rPr>
                <w:rStyle w:val="effect"/>
                <w:rFonts w:cs="Arial"/>
              </w:rPr>
              <w:t>57</w:t>
            </w:r>
            <w:r w:rsidRPr="00CE6762">
              <w:rPr>
                <w:rFonts w:cs="Arial"/>
              </w:rPr>
              <w:t xml:space="preserve"> (28 to 114)</w:t>
            </w:r>
          </w:p>
        </w:tc>
        <w:tc>
          <w:tcPr>
            <w:tcW w:w="734" w:type="pct"/>
          </w:tcPr>
          <w:p w14:paraId="1F375B14" w14:textId="77777777" w:rsidR="00085FB4" w:rsidRPr="00F863E4" w:rsidRDefault="00085FB4" w:rsidP="0064260E">
            <w:pPr>
              <w:pStyle w:val="Tabletext0"/>
              <w:ind w:left="0"/>
              <w:rPr>
                <w:rFonts w:cs="Arial"/>
                <w:sz w:val="18"/>
                <w:szCs w:val="18"/>
                <w:highlight w:val="cyan"/>
              </w:rPr>
            </w:pPr>
            <w:r w:rsidRPr="004338BB">
              <w:rPr>
                <w:rStyle w:val="effect"/>
                <w:rFonts w:cs="Arial"/>
              </w:rPr>
              <w:t>17</w:t>
            </w:r>
            <w:r w:rsidRPr="004338BB">
              <w:rPr>
                <w:rFonts w:cs="Arial"/>
              </w:rPr>
              <w:t xml:space="preserve"> (0 to 63)</w:t>
            </w:r>
          </w:p>
        </w:tc>
        <w:tc>
          <w:tcPr>
            <w:tcW w:w="1265" w:type="pct"/>
          </w:tcPr>
          <w:p w14:paraId="29ADD407" w14:textId="77777777" w:rsidR="00085FB4" w:rsidRPr="00A15B29" w:rsidRDefault="00085FB4" w:rsidP="0064260E">
            <w:pPr>
              <w:pStyle w:val="Tabletext0"/>
              <w:ind w:left="0"/>
            </w:pPr>
            <w:r>
              <w:t>P</w:t>
            </w:r>
            <w:r w:rsidRPr="004338BB">
              <w:t>atients incor</w:t>
            </w:r>
            <w:r>
              <w:t>rectly classified as having IDA±</w:t>
            </w:r>
            <w:r w:rsidRPr="004338BB">
              <w:t>ACD</w:t>
            </w:r>
            <w:r>
              <w:t xml:space="preserve"> with</w:t>
            </w:r>
            <w:r w:rsidRPr="00A15B29">
              <w:t xml:space="preserve"> </w:t>
            </w:r>
            <w:r>
              <w:t xml:space="preserve">uncertain harm from treatment of IDA and </w:t>
            </w:r>
            <w:r w:rsidRPr="00A15B29">
              <w:t xml:space="preserve">uncertain benefit/harm from </w:t>
            </w:r>
            <w:r>
              <w:t>delayed</w:t>
            </w:r>
            <w:r w:rsidRPr="00A15B29">
              <w:t xml:space="preserve"> investigations</w:t>
            </w:r>
            <w:r>
              <w:t xml:space="preserve"> and/or treatment for comorbidity.</w:t>
            </w:r>
            <w:r w:rsidRPr="00865E1D">
              <w:rPr>
                <w:vertAlign w:val="superscript"/>
              </w:rPr>
              <w:t>b</w:t>
            </w:r>
          </w:p>
        </w:tc>
      </w:tr>
      <w:tr w:rsidR="00085FB4" w14:paraId="1EDC4178" w14:textId="77777777" w:rsidTr="00E002DE">
        <w:tc>
          <w:tcPr>
            <w:tcW w:w="563" w:type="pct"/>
          </w:tcPr>
          <w:p w14:paraId="3529DE60" w14:textId="77777777" w:rsidR="00085FB4" w:rsidRPr="0082378D" w:rsidRDefault="00085FB4" w:rsidP="0064260E">
            <w:pPr>
              <w:pStyle w:val="Tabletext0"/>
              <w:ind w:left="0"/>
              <w:rPr>
                <w:rFonts w:cs="Arial"/>
              </w:rPr>
            </w:pPr>
            <w:r w:rsidRPr="0082378D">
              <w:rPr>
                <w:rFonts w:cs="Arial"/>
              </w:rPr>
              <w:t>False negatives</w:t>
            </w:r>
          </w:p>
        </w:tc>
        <w:tc>
          <w:tcPr>
            <w:tcW w:w="583" w:type="pct"/>
          </w:tcPr>
          <w:p w14:paraId="2244E5CA" w14:textId="77777777" w:rsidR="00085FB4" w:rsidRPr="0082378D" w:rsidRDefault="00085FB4" w:rsidP="0064260E">
            <w:pPr>
              <w:pStyle w:val="Tabletext0"/>
              <w:ind w:left="0"/>
              <w:rPr>
                <w:rFonts w:cs="Arial"/>
              </w:rPr>
            </w:pPr>
            <w:r w:rsidRPr="0082378D">
              <w:rPr>
                <w:rFonts w:cs="Arial"/>
              </w:rPr>
              <w:t>k=1 ; n=61</w:t>
            </w:r>
          </w:p>
        </w:tc>
        <w:tc>
          <w:tcPr>
            <w:tcW w:w="498" w:type="pct"/>
          </w:tcPr>
          <w:p w14:paraId="483032DA" w14:textId="77777777" w:rsidR="00085FB4" w:rsidRDefault="00085FB4" w:rsidP="0064260E">
            <w:pPr>
              <w:pStyle w:val="Tabletext0"/>
              <w:ind w:left="0"/>
              <w:rPr>
                <w:rFonts w:ascii="Cambria Math" w:hAnsi="Cambria Math" w:cs="Cambria Math"/>
                <w:color w:val="C00000"/>
              </w:rPr>
            </w:pPr>
            <w:r>
              <w:rPr>
                <w:rFonts w:ascii="Cambria Math" w:hAnsi="Cambria Math"/>
                <w:color w:val="00B050"/>
              </w:rPr>
              <w:t>⨁</w:t>
            </w:r>
            <w:r w:rsidRPr="00D4733A">
              <w:rPr>
                <w:rFonts w:ascii="Cambria Math" w:hAnsi="Cambria Math" w:cs="Cambria Math"/>
                <w:color w:val="C00000"/>
              </w:rPr>
              <w:t>⨀⨀⨀</w:t>
            </w:r>
          </w:p>
          <w:p w14:paraId="7C1B9F12" w14:textId="77777777" w:rsidR="00085FB4" w:rsidRPr="004A196F" w:rsidRDefault="00085FB4" w:rsidP="0064260E">
            <w:pPr>
              <w:pStyle w:val="Tabletext0"/>
              <w:ind w:left="0"/>
              <w:rPr>
                <w:rFonts w:cs="Arial"/>
                <w:sz w:val="18"/>
                <w:szCs w:val="18"/>
              </w:rPr>
            </w:pPr>
            <w:r w:rsidRPr="00F863E4">
              <w:t>VERY LOW</w:t>
            </w:r>
          </w:p>
        </w:tc>
        <w:tc>
          <w:tcPr>
            <w:tcW w:w="694" w:type="pct"/>
          </w:tcPr>
          <w:p w14:paraId="4AB2797D" w14:textId="77777777" w:rsidR="00085FB4" w:rsidRPr="00F863E4" w:rsidRDefault="00085FB4" w:rsidP="0064260E">
            <w:pPr>
              <w:pStyle w:val="Tabletext0"/>
              <w:ind w:left="0"/>
              <w:rPr>
                <w:rFonts w:cs="Arial"/>
                <w:sz w:val="18"/>
                <w:szCs w:val="18"/>
                <w:highlight w:val="cyan"/>
              </w:rPr>
            </w:pPr>
            <w:r w:rsidRPr="004338BB">
              <w:rPr>
                <w:rStyle w:val="effect"/>
                <w:rFonts w:cs="Arial"/>
              </w:rPr>
              <w:t>47</w:t>
            </w:r>
            <w:r w:rsidRPr="004338BB">
              <w:rPr>
                <w:rFonts w:cs="Arial"/>
              </w:rPr>
              <w:t xml:space="preserve"> (21 to 99)</w:t>
            </w:r>
          </w:p>
        </w:tc>
        <w:tc>
          <w:tcPr>
            <w:tcW w:w="663" w:type="pct"/>
          </w:tcPr>
          <w:p w14:paraId="3BEB854E" w14:textId="77777777" w:rsidR="00085FB4" w:rsidRPr="00F863E4" w:rsidRDefault="00085FB4" w:rsidP="0064260E">
            <w:pPr>
              <w:pStyle w:val="Tabletext0"/>
              <w:ind w:left="0"/>
              <w:rPr>
                <w:rFonts w:cs="Arial"/>
                <w:sz w:val="18"/>
                <w:szCs w:val="18"/>
                <w:highlight w:val="cyan"/>
              </w:rPr>
            </w:pPr>
            <w:r w:rsidRPr="00CE6762">
              <w:rPr>
                <w:rStyle w:val="effect"/>
                <w:rFonts w:cs="Arial"/>
              </w:rPr>
              <w:t>64</w:t>
            </w:r>
            <w:r w:rsidRPr="00CE6762">
              <w:rPr>
                <w:rFonts w:cs="Arial"/>
              </w:rPr>
              <w:t xml:space="preserve"> (26 to 120)</w:t>
            </w:r>
          </w:p>
        </w:tc>
        <w:tc>
          <w:tcPr>
            <w:tcW w:w="734" w:type="pct"/>
          </w:tcPr>
          <w:p w14:paraId="5565D375" w14:textId="77777777" w:rsidR="00085FB4" w:rsidRPr="00F863E4" w:rsidRDefault="00085FB4" w:rsidP="0064260E">
            <w:pPr>
              <w:pStyle w:val="Tabletext0"/>
              <w:ind w:left="0"/>
              <w:rPr>
                <w:rFonts w:cs="Arial"/>
                <w:sz w:val="18"/>
                <w:szCs w:val="18"/>
                <w:highlight w:val="cyan"/>
              </w:rPr>
            </w:pPr>
            <w:r w:rsidRPr="004338BB">
              <w:rPr>
                <w:rStyle w:val="effect"/>
                <w:rFonts w:cs="Arial"/>
              </w:rPr>
              <w:t>56</w:t>
            </w:r>
            <w:r w:rsidRPr="004338BB">
              <w:rPr>
                <w:rFonts w:cs="Arial"/>
              </w:rPr>
              <w:t xml:space="preserve"> (21 to 112)</w:t>
            </w:r>
          </w:p>
        </w:tc>
        <w:tc>
          <w:tcPr>
            <w:tcW w:w="1265" w:type="pct"/>
          </w:tcPr>
          <w:p w14:paraId="3E6E0C57" w14:textId="77777777" w:rsidR="00085FB4" w:rsidRPr="00F863E4" w:rsidRDefault="00085FB4" w:rsidP="0064260E">
            <w:pPr>
              <w:pStyle w:val="Tabletext0"/>
              <w:ind w:left="0"/>
              <w:rPr>
                <w:rFonts w:cs="Arial"/>
                <w:sz w:val="18"/>
                <w:szCs w:val="18"/>
                <w:highlight w:val="cyan"/>
              </w:rPr>
            </w:pPr>
            <w:r>
              <w:t>P</w:t>
            </w:r>
            <w:r w:rsidRPr="004338BB">
              <w:t>atients incorrectly classified as</w:t>
            </w:r>
            <w:r>
              <w:t xml:space="preserve"> having </w:t>
            </w:r>
            <w:r w:rsidRPr="004338BB">
              <w:t>ACD</w:t>
            </w:r>
            <w:r>
              <w:t xml:space="preserve"> alone</w:t>
            </w:r>
            <w:r w:rsidRPr="004338BB">
              <w:t xml:space="preserve"> </w:t>
            </w:r>
            <w:r>
              <w:t>with</w:t>
            </w:r>
            <w:r w:rsidRPr="00A15B29">
              <w:t xml:space="preserve"> possible detriment from delayed </w:t>
            </w:r>
            <w:r>
              <w:t>treatment</w:t>
            </w:r>
            <w:r w:rsidRPr="00A15B29">
              <w:t xml:space="preserve"> of IDA and uncertain benefit/harm from additional investigations</w:t>
            </w:r>
            <w:r>
              <w:t xml:space="preserve"> and/or treatment for comorbidity.</w:t>
            </w:r>
            <w:r w:rsidRPr="00865E1D">
              <w:rPr>
                <w:vertAlign w:val="superscript"/>
              </w:rPr>
              <w:t>b</w:t>
            </w:r>
          </w:p>
        </w:tc>
      </w:tr>
      <w:tr w:rsidR="00085FB4" w14:paraId="7EFA1808" w14:textId="77777777" w:rsidTr="00E002DE">
        <w:tc>
          <w:tcPr>
            <w:tcW w:w="563" w:type="pct"/>
          </w:tcPr>
          <w:p w14:paraId="02C86699" w14:textId="77777777" w:rsidR="00085FB4" w:rsidRPr="0082378D" w:rsidRDefault="00085FB4" w:rsidP="0064260E">
            <w:pPr>
              <w:pStyle w:val="Tabletext0"/>
              <w:ind w:left="0"/>
              <w:rPr>
                <w:rFonts w:cs="Arial"/>
              </w:rPr>
            </w:pPr>
            <w:r w:rsidRPr="0082378D">
              <w:rPr>
                <w:rFonts w:cs="Arial"/>
              </w:rPr>
              <w:t>Inconclusive results</w:t>
            </w:r>
          </w:p>
        </w:tc>
        <w:tc>
          <w:tcPr>
            <w:tcW w:w="583" w:type="pct"/>
          </w:tcPr>
          <w:p w14:paraId="5D14B26E" w14:textId="77777777" w:rsidR="00085FB4" w:rsidRPr="0082378D" w:rsidRDefault="00085FB4" w:rsidP="0064260E">
            <w:pPr>
              <w:pStyle w:val="Tabletext0"/>
              <w:ind w:left="0"/>
              <w:rPr>
                <w:rFonts w:cs="Arial"/>
              </w:rPr>
            </w:pPr>
            <w:r w:rsidRPr="0082378D">
              <w:rPr>
                <w:rFonts w:cs="Arial"/>
              </w:rPr>
              <w:t>k=1 ; n=</w:t>
            </w:r>
            <w:r>
              <w:rPr>
                <w:rFonts w:cs="Arial"/>
              </w:rPr>
              <w:t>107</w:t>
            </w:r>
          </w:p>
        </w:tc>
        <w:tc>
          <w:tcPr>
            <w:tcW w:w="498" w:type="pct"/>
          </w:tcPr>
          <w:p w14:paraId="7E0DFE4D" w14:textId="77777777" w:rsidR="00085FB4" w:rsidRPr="0082378D" w:rsidRDefault="00085FB4" w:rsidP="0064260E">
            <w:pPr>
              <w:pStyle w:val="Tabletext0"/>
              <w:ind w:left="0"/>
              <w:rPr>
                <w:rFonts w:cs="Arial"/>
              </w:rPr>
            </w:pPr>
            <w:r w:rsidRPr="0082378D">
              <w:rPr>
                <w:rFonts w:cs="Arial"/>
              </w:rPr>
              <w:t>None reported</w:t>
            </w:r>
          </w:p>
        </w:tc>
        <w:tc>
          <w:tcPr>
            <w:tcW w:w="694" w:type="pct"/>
          </w:tcPr>
          <w:p w14:paraId="79E1C6BB" w14:textId="77777777" w:rsidR="00085FB4" w:rsidRPr="0082378D" w:rsidRDefault="00085FB4" w:rsidP="0064260E">
            <w:pPr>
              <w:pStyle w:val="Tabletext0"/>
              <w:ind w:left="0"/>
              <w:rPr>
                <w:rFonts w:cs="Arial"/>
                <w:sz w:val="18"/>
                <w:szCs w:val="18"/>
              </w:rPr>
            </w:pPr>
            <w:r w:rsidRPr="0082378D">
              <w:rPr>
                <w:rFonts w:cs="Arial"/>
                <w:sz w:val="18"/>
                <w:szCs w:val="18"/>
              </w:rPr>
              <w:t>NA</w:t>
            </w:r>
          </w:p>
        </w:tc>
        <w:tc>
          <w:tcPr>
            <w:tcW w:w="663" w:type="pct"/>
          </w:tcPr>
          <w:p w14:paraId="6591F063" w14:textId="77777777" w:rsidR="00085FB4" w:rsidRPr="0082378D" w:rsidRDefault="00085FB4" w:rsidP="0064260E">
            <w:pPr>
              <w:pStyle w:val="Tabletext0"/>
              <w:ind w:left="0"/>
              <w:rPr>
                <w:rFonts w:cs="Arial"/>
                <w:sz w:val="18"/>
                <w:szCs w:val="18"/>
              </w:rPr>
            </w:pPr>
            <w:r w:rsidRPr="000C034D">
              <w:rPr>
                <w:rFonts w:cs="Arial"/>
                <w:sz w:val="18"/>
                <w:szCs w:val="18"/>
              </w:rPr>
              <w:t>NA</w:t>
            </w:r>
          </w:p>
        </w:tc>
        <w:tc>
          <w:tcPr>
            <w:tcW w:w="734" w:type="pct"/>
          </w:tcPr>
          <w:p w14:paraId="2ABFFAEE" w14:textId="77777777" w:rsidR="00085FB4" w:rsidRPr="00F863E4" w:rsidRDefault="00085FB4" w:rsidP="0064260E">
            <w:pPr>
              <w:pStyle w:val="Tabletext0"/>
              <w:ind w:left="0"/>
              <w:rPr>
                <w:rFonts w:cs="Arial"/>
                <w:sz w:val="18"/>
                <w:szCs w:val="18"/>
                <w:highlight w:val="cyan"/>
              </w:rPr>
            </w:pPr>
            <w:r w:rsidRPr="000C034D">
              <w:rPr>
                <w:rFonts w:cs="Arial"/>
                <w:sz w:val="18"/>
                <w:szCs w:val="18"/>
              </w:rPr>
              <w:t>NA</w:t>
            </w:r>
          </w:p>
        </w:tc>
        <w:tc>
          <w:tcPr>
            <w:tcW w:w="1265" w:type="pct"/>
          </w:tcPr>
          <w:p w14:paraId="220A44B2" w14:textId="77777777" w:rsidR="00085FB4" w:rsidRPr="00F863E4" w:rsidRDefault="00085FB4" w:rsidP="0064260E">
            <w:pPr>
              <w:pStyle w:val="Tabletext0"/>
              <w:ind w:left="0"/>
              <w:rPr>
                <w:rFonts w:cs="Arial"/>
                <w:sz w:val="18"/>
                <w:szCs w:val="18"/>
                <w:highlight w:val="cyan"/>
              </w:rPr>
            </w:pPr>
            <w:r w:rsidRPr="000C034D">
              <w:rPr>
                <w:rFonts w:cs="Arial"/>
                <w:sz w:val="18"/>
                <w:szCs w:val="18"/>
              </w:rPr>
              <w:t>NA</w:t>
            </w:r>
          </w:p>
        </w:tc>
      </w:tr>
      <w:tr w:rsidR="00085FB4" w14:paraId="0FDBFD04" w14:textId="77777777" w:rsidTr="00E002DE">
        <w:tc>
          <w:tcPr>
            <w:tcW w:w="563" w:type="pct"/>
          </w:tcPr>
          <w:p w14:paraId="5B78F406" w14:textId="77777777" w:rsidR="00085FB4" w:rsidRPr="0082378D" w:rsidRDefault="00085FB4" w:rsidP="0064260E">
            <w:pPr>
              <w:pStyle w:val="Tabletext0"/>
              <w:ind w:left="0"/>
              <w:rPr>
                <w:rFonts w:cs="Arial"/>
              </w:rPr>
            </w:pPr>
            <w:r w:rsidRPr="0082378D">
              <w:rPr>
                <w:rFonts w:cs="Arial"/>
              </w:rPr>
              <w:t>Harms</w:t>
            </w:r>
          </w:p>
        </w:tc>
        <w:tc>
          <w:tcPr>
            <w:tcW w:w="583" w:type="pct"/>
          </w:tcPr>
          <w:p w14:paraId="4A36739A" w14:textId="77777777" w:rsidR="00085FB4" w:rsidRPr="0082378D" w:rsidRDefault="00085FB4" w:rsidP="0064260E">
            <w:pPr>
              <w:pStyle w:val="Tabletext0"/>
              <w:ind w:left="0"/>
              <w:rPr>
                <w:rFonts w:cs="Arial"/>
              </w:rPr>
            </w:pPr>
            <w:r w:rsidRPr="0082378D">
              <w:rPr>
                <w:rFonts w:cs="Arial"/>
              </w:rPr>
              <w:t>k=1 ; n=</w:t>
            </w:r>
            <w:r>
              <w:rPr>
                <w:rFonts w:cs="Arial"/>
              </w:rPr>
              <w:t>107</w:t>
            </w:r>
          </w:p>
        </w:tc>
        <w:tc>
          <w:tcPr>
            <w:tcW w:w="498" w:type="pct"/>
          </w:tcPr>
          <w:p w14:paraId="25FDCA97" w14:textId="77777777" w:rsidR="00085FB4" w:rsidRPr="0082378D" w:rsidRDefault="00085FB4" w:rsidP="0064260E">
            <w:pPr>
              <w:pStyle w:val="Tabletext0"/>
              <w:ind w:left="0"/>
              <w:rPr>
                <w:rFonts w:cs="Arial"/>
              </w:rPr>
            </w:pPr>
            <w:r w:rsidRPr="0082378D">
              <w:rPr>
                <w:rFonts w:cs="Arial"/>
              </w:rPr>
              <w:t>None reported</w:t>
            </w:r>
          </w:p>
        </w:tc>
        <w:tc>
          <w:tcPr>
            <w:tcW w:w="694" w:type="pct"/>
          </w:tcPr>
          <w:p w14:paraId="1451CF0F" w14:textId="77777777" w:rsidR="00085FB4" w:rsidRPr="00F863E4" w:rsidRDefault="00085FB4" w:rsidP="0064260E">
            <w:pPr>
              <w:pStyle w:val="Tabletext0"/>
              <w:ind w:left="0"/>
              <w:rPr>
                <w:rFonts w:cs="Arial"/>
                <w:sz w:val="18"/>
                <w:szCs w:val="18"/>
                <w:highlight w:val="cyan"/>
              </w:rPr>
            </w:pPr>
            <w:r w:rsidRPr="00C334C2">
              <w:rPr>
                <w:rFonts w:cs="Arial"/>
                <w:sz w:val="18"/>
                <w:szCs w:val="18"/>
              </w:rPr>
              <w:t>NA</w:t>
            </w:r>
          </w:p>
        </w:tc>
        <w:tc>
          <w:tcPr>
            <w:tcW w:w="663" w:type="pct"/>
          </w:tcPr>
          <w:p w14:paraId="218141E0" w14:textId="77777777" w:rsidR="00085FB4" w:rsidRPr="00F863E4" w:rsidRDefault="00085FB4" w:rsidP="0064260E">
            <w:pPr>
              <w:pStyle w:val="Tabletext0"/>
              <w:ind w:left="0"/>
              <w:rPr>
                <w:rFonts w:cs="Arial"/>
                <w:sz w:val="18"/>
                <w:szCs w:val="18"/>
                <w:highlight w:val="cyan"/>
              </w:rPr>
            </w:pPr>
            <w:r w:rsidRPr="00C334C2">
              <w:rPr>
                <w:rFonts w:cs="Arial"/>
                <w:sz w:val="18"/>
                <w:szCs w:val="18"/>
              </w:rPr>
              <w:t>NA</w:t>
            </w:r>
          </w:p>
        </w:tc>
        <w:tc>
          <w:tcPr>
            <w:tcW w:w="734" w:type="pct"/>
          </w:tcPr>
          <w:p w14:paraId="76C8F687" w14:textId="77777777" w:rsidR="00085FB4" w:rsidRPr="00F863E4" w:rsidRDefault="00085FB4" w:rsidP="0064260E">
            <w:pPr>
              <w:pStyle w:val="Tabletext0"/>
              <w:ind w:left="0"/>
              <w:rPr>
                <w:rFonts w:cs="Arial"/>
                <w:sz w:val="18"/>
                <w:szCs w:val="18"/>
                <w:highlight w:val="cyan"/>
              </w:rPr>
            </w:pPr>
            <w:r w:rsidRPr="00C334C2">
              <w:rPr>
                <w:rFonts w:cs="Arial"/>
                <w:sz w:val="18"/>
                <w:szCs w:val="18"/>
              </w:rPr>
              <w:t>NA</w:t>
            </w:r>
          </w:p>
        </w:tc>
        <w:tc>
          <w:tcPr>
            <w:tcW w:w="1265" w:type="pct"/>
          </w:tcPr>
          <w:p w14:paraId="16A6962D" w14:textId="77777777" w:rsidR="00085FB4" w:rsidRPr="00F863E4" w:rsidRDefault="00085FB4" w:rsidP="0064260E">
            <w:pPr>
              <w:pStyle w:val="Tabletext0"/>
              <w:ind w:left="0"/>
              <w:rPr>
                <w:rFonts w:cs="Arial"/>
                <w:sz w:val="18"/>
                <w:szCs w:val="18"/>
                <w:highlight w:val="cyan"/>
              </w:rPr>
            </w:pPr>
            <w:r w:rsidRPr="00C334C2">
              <w:rPr>
                <w:rFonts w:cs="Arial"/>
                <w:sz w:val="18"/>
                <w:szCs w:val="18"/>
              </w:rPr>
              <w:t>NA</w:t>
            </w:r>
          </w:p>
        </w:tc>
      </w:tr>
    </w:tbl>
    <w:p w14:paraId="05862C91" w14:textId="77777777" w:rsidR="00085FB4" w:rsidRPr="004F7914" w:rsidRDefault="00085FB4" w:rsidP="00D06F33">
      <w:pPr>
        <w:pStyle w:val="Tablenotes"/>
        <w:spacing w:after="0"/>
        <w:jc w:val="left"/>
      </w:pPr>
      <w:r w:rsidRPr="004F7914">
        <w:t>Abbreviations:</w:t>
      </w:r>
      <w:r>
        <w:t xml:space="preserve"> sTfR=serum soluble transferrin receptor; k=number of studies; n=number of participants; IDA=iron deficiency anaemia; ACD=anaemia of chronic disease; NA=not applicable</w:t>
      </w:r>
    </w:p>
    <w:p w14:paraId="07686D4D" w14:textId="77777777" w:rsidR="00085FB4" w:rsidRDefault="00085FB4" w:rsidP="00D06F33">
      <w:pPr>
        <w:pStyle w:val="Tablenotes"/>
        <w:spacing w:after="0"/>
        <w:jc w:val="left"/>
      </w:pPr>
      <w:r w:rsidRPr="004F7914">
        <w:rPr>
          <w:vertAlign w:val="superscript"/>
        </w:rPr>
        <w:t xml:space="preserve">a </w:t>
      </w:r>
      <w:r w:rsidRPr="00E10B76">
        <w:t>GRADE Working Group grades of evidence</w:t>
      </w:r>
      <w:r>
        <w:t xml:space="preserve"> </w:t>
      </w:r>
      <w:r>
        <w:fldChar w:fldCharType="begin">
          <w:fldData xml:space="preserve">PEVuZE5vdGU+PENpdGU+PEF1dGhvcj5HdXlhdHQ8L0F1dGhvcj48WWVhcj4yMDEzPC9ZZWFyPjxS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=
</w:fldData>
        </w:fldChar>
      </w:r>
      <w:r>
        <w:instrText xml:space="preserve"> ADDIN EN.CITE </w:instrText>
      </w:r>
      <w:r>
        <w:fldChar w:fldCharType="begin">
          <w:fldData xml:space="preserve">PEVuZE5vdGU+PENpdGU+PEF1dGhvcj5HdXlhdHQ8L0F1dGhvcj48WWVhcj4yMDEzPC9ZZWFyPjxS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=
</w:fldData>
        </w:fldChar>
      </w:r>
      <w:r>
        <w:instrText xml:space="preserve"> ADDIN EN.CITE.DATA </w:instrText>
      </w:r>
      <w:r>
        <w:fldChar w:fldCharType="end"/>
      </w:r>
      <w:r>
        <w:fldChar w:fldCharType="separate"/>
      </w:r>
      <w:r>
        <w:rPr>
          <w:noProof/>
        </w:rPr>
        <w:t>(</w:t>
      </w:r>
      <w:hyperlink w:anchor="_ENREF_6" w:tooltip="Guyatt, 2013 #34" w:history="1">
        <w:r>
          <w:rPr>
            <w:noProof/>
          </w:rPr>
          <w:t>Guyatt, Oxman et al. 2013</w:t>
        </w:r>
      </w:hyperlink>
      <w:r>
        <w:rPr>
          <w:noProof/>
        </w:rPr>
        <w:t>)</w:t>
      </w:r>
      <w:r>
        <w:fldChar w:fldCharType="end"/>
      </w:r>
      <w:r w:rsidRPr="00E10B76">
        <w:br/>
      </w: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r w:rsidRPr="00E10B76">
        <w:t xml:space="preserve"> </w:t>
      </w:r>
      <w:r w:rsidRPr="00E10B76">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 xml:space="preserve">We are moderately confident in the effect estimate: The true effect is likely to be close to the estimate of the effect, but there is a possibility that it is substantially different. </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4C35E668" w14:textId="77777777" w:rsidR="00165223" w:rsidRPr="009F26D3" w:rsidRDefault="00085FB4" w:rsidP="009F26D3">
      <w:pPr>
        <w:pStyle w:val="Tablenotes"/>
        <w:jc w:val="left"/>
        <w:rPr>
          <w:b/>
          <w:i/>
        </w:rPr>
      </w:pPr>
      <w:r w:rsidRPr="000C3C7A">
        <w:rPr>
          <w:b/>
          <w:i/>
          <w:vertAlign w:val="superscript"/>
        </w:rPr>
        <w:t>b</w:t>
      </w:r>
      <w:r w:rsidRPr="000C3C7A">
        <w:rPr>
          <w:b/>
          <w:i/>
        </w:rPr>
        <w:t xml:space="preserve"> this is all contingent on multiple factors including how the patient presents, what symptoms and signs are elicited, patient characteristics (including age, gender, past medical history, family history, risk factors), clinical suspicion, and findings from other investigations.</w:t>
      </w:r>
    </w:p>
    <w:p w14:paraId="6ACFEEE0" w14:textId="0852737A" w:rsidR="009667BA" w:rsidRDefault="00B62164" w:rsidP="009667BA">
      <w:r w:rsidRPr="009929BE">
        <w:lastRenderedPageBreak/>
        <w:t xml:space="preserve">The </w:t>
      </w:r>
      <w:r w:rsidR="00D06F33">
        <w:t>application</w:t>
      </w:r>
      <w:r w:rsidR="009F26D3">
        <w:t xml:space="preserve"> </w:t>
      </w:r>
      <w:r w:rsidRPr="009929BE">
        <w:t>clin</w:t>
      </w:r>
      <w:r>
        <w:t xml:space="preserve">ical evaluation suggested that, </w:t>
      </w:r>
      <w:r w:rsidRPr="003920EF">
        <w:t>relative to ferritin testing or iron studies</w:t>
      </w:r>
      <w:r>
        <w:t>, sTfR testing (and the sTfR/log ferritin ratio) and associated interventions have uncertain safety and uncertain effectiveness.</w:t>
      </w:r>
    </w:p>
    <w:p w14:paraId="26F27C6A" w14:textId="08AFC91E" w:rsidR="00BC1364" w:rsidRPr="00F715D1" w:rsidRDefault="00BC1364" w:rsidP="00F715D1">
      <w:pPr>
        <w:pStyle w:val="Heading1"/>
      </w:pPr>
      <w:r w:rsidRPr="00F715D1">
        <w:t>Economic evaluation</w:t>
      </w:r>
    </w:p>
    <w:p w14:paraId="3F9BB444" w14:textId="77777777" w:rsidR="00A87E78" w:rsidRDefault="0030325F" w:rsidP="00A87E78">
      <w:r>
        <w:t xml:space="preserve">The </w:t>
      </w:r>
      <w:r w:rsidR="00D06F33">
        <w:t>application</w:t>
      </w:r>
      <w:r>
        <w:t xml:space="preserve"> stated that a</w:t>
      </w:r>
      <w:r w:rsidR="00A87E78">
        <w:t>n economic evaluation was not conducted because of the significant uncertainties surrounding the complex diagnostic and treatment pathways with subsequent unacceptable levels of uncertainty of any cost and probability estimates.</w:t>
      </w:r>
      <w:r w:rsidR="00D433A1">
        <w:t xml:space="preserve"> </w:t>
      </w:r>
    </w:p>
    <w:p w14:paraId="535F72AA" w14:textId="77777777" w:rsidR="00BC1364" w:rsidRPr="00F715D1" w:rsidRDefault="00BC1364" w:rsidP="00F715D1">
      <w:pPr>
        <w:pStyle w:val="Heading1"/>
      </w:pPr>
      <w:r w:rsidRPr="00F715D1">
        <w:t>Financial/budgetary impacts</w:t>
      </w:r>
    </w:p>
    <w:p w14:paraId="0FBEB50F" w14:textId="77777777" w:rsidR="00117AF2" w:rsidRDefault="00FC1696" w:rsidP="00117AF2">
      <w:r>
        <w:t xml:space="preserve">An epidemiological approach was used to estimate the </w:t>
      </w:r>
      <w:r w:rsidRPr="00FC1696">
        <w:t>financial implications of the introduction of the proposed public funding of sTfR testing based on the prevalence estimates reported from a single laboratory</w:t>
      </w:r>
      <w:r w:rsidR="00FA6295">
        <w:t xml:space="preserve">. </w:t>
      </w:r>
    </w:p>
    <w:p w14:paraId="2234B700" w14:textId="77777777" w:rsidR="00873C94" w:rsidRDefault="00873C94" w:rsidP="00873C94">
      <w:pPr>
        <w:jc w:val="both"/>
      </w:pPr>
    </w:p>
    <w:p w14:paraId="5B5D3777" w14:textId="77777777" w:rsidR="00873C94" w:rsidRDefault="00873C94" w:rsidP="00D06F33">
      <w:r w:rsidRPr="00F30989">
        <w:t xml:space="preserve">The direct </w:t>
      </w:r>
      <w:r>
        <w:t xml:space="preserve">MBS </w:t>
      </w:r>
      <w:r w:rsidRPr="00F30989">
        <w:t>cost</w:t>
      </w:r>
      <w:r>
        <w:t xml:space="preserve"> of the proposed listing</w:t>
      </w:r>
      <w:r w:rsidRPr="00F30989">
        <w:t xml:space="preserve"> in 2018 of $9.6 million rising to $11.3 million in 2021. When the additional cost of switching from ferritin quantitation to iron studies is included, the cost rises to $18.6 million in 2018 and $21.8 million is 2021</w:t>
      </w:r>
      <w:r>
        <w:t xml:space="preserve"> (</w:t>
      </w:r>
      <w:r>
        <w:fldChar w:fldCharType="begin"/>
      </w:r>
      <w:r>
        <w:instrText xml:space="preserve"> REF _Ref519533213 \h </w:instrText>
      </w:r>
      <w:r>
        <w:fldChar w:fldCharType="separate"/>
      </w:r>
      <w:r w:rsidR="004D6213">
        <w:t xml:space="preserve">Table </w:t>
      </w:r>
      <w:r w:rsidR="004D6213">
        <w:rPr>
          <w:noProof/>
        </w:rPr>
        <w:t>5</w:t>
      </w:r>
      <w:r>
        <w:fldChar w:fldCharType="end"/>
      </w:r>
      <w:r>
        <w:t>)</w:t>
      </w:r>
      <w:r w:rsidRPr="00F30989">
        <w:t>. The</w:t>
      </w:r>
      <w:r>
        <w:t xml:space="preserve"> CA stated that the</w:t>
      </w:r>
      <w:r w:rsidRPr="00F30989">
        <w:t xml:space="preserve"> estimates are based on the 85% rebate, but it is not known how many tests would be undertaken in hospital, nor how many patients are likely to have reached the Medicare Safety Net.</w:t>
      </w:r>
      <w:r w:rsidRPr="00643186">
        <w:t xml:space="preserve"> </w:t>
      </w:r>
      <w:r>
        <w:t>The estimates are uncertain as the clinical pathway is heterogeneous and uptake of the test is unknown.</w:t>
      </w:r>
    </w:p>
    <w:p w14:paraId="2225C07A" w14:textId="77777777" w:rsidR="00873C94" w:rsidRDefault="00873C94" w:rsidP="00873C94">
      <w:pPr>
        <w:jc w:val="both"/>
      </w:pPr>
    </w:p>
    <w:p w14:paraId="1D55BF8B" w14:textId="77777777" w:rsidR="00873C94" w:rsidRDefault="00873C94" w:rsidP="00873C94">
      <w:pPr>
        <w:pStyle w:val="Caption"/>
        <w:keepNext/>
      </w:pPr>
      <w:bookmarkStart w:id="8" w:name="_Ref519533213"/>
      <w:bookmarkStart w:id="9" w:name="_Toc519587807"/>
      <w:r>
        <w:t xml:space="preserve">Table </w:t>
      </w:r>
      <w:r w:rsidR="00D06F33">
        <w:rPr>
          <w:noProof/>
        </w:rPr>
        <w:fldChar w:fldCharType="begin"/>
      </w:r>
      <w:r w:rsidR="00D06F33">
        <w:rPr>
          <w:noProof/>
        </w:rPr>
        <w:instrText xml:space="preserve"> SEQ Table \* ARABIC </w:instrText>
      </w:r>
      <w:r w:rsidR="00D06F33">
        <w:rPr>
          <w:noProof/>
        </w:rPr>
        <w:fldChar w:fldCharType="separate"/>
      </w:r>
      <w:r w:rsidR="004D6213">
        <w:rPr>
          <w:noProof/>
        </w:rPr>
        <w:t>5</w:t>
      </w:r>
      <w:r w:rsidR="00D06F33">
        <w:rPr>
          <w:noProof/>
        </w:rPr>
        <w:fldChar w:fldCharType="end"/>
      </w:r>
      <w:bookmarkEnd w:id="8"/>
      <w:r>
        <w:tab/>
      </w:r>
      <w:r w:rsidRPr="00183E4D">
        <w:tab/>
        <w:t xml:space="preserve">Total costs to the MBS associated with </w:t>
      </w:r>
      <w:r>
        <w:t>sTfR testing</w:t>
      </w:r>
      <w:bookmarkEnd w:id="9"/>
    </w:p>
    <w:tbl>
      <w:tblPr>
        <w:tblStyle w:val="TableGrid1"/>
        <w:tblW w:w="5000" w:type="pct"/>
        <w:tblCellMar>
          <w:left w:w="28" w:type="dxa"/>
          <w:right w:w="28" w:type="dxa"/>
        </w:tblCellMar>
        <w:tblLook w:val="04A0" w:firstRow="1" w:lastRow="0" w:firstColumn="1" w:lastColumn="0" w:noHBand="0" w:noVBand="1"/>
        <w:tblCaption w:val="Total costs to the MBS associated with sTfR testing"/>
        <w:tblDescription w:val="This table provides a summary of the financial impact of the proposed new medical service over the next five years."/>
      </w:tblPr>
      <w:tblGrid>
        <w:gridCol w:w="3589"/>
        <w:gridCol w:w="1085"/>
        <w:gridCol w:w="1086"/>
        <w:gridCol w:w="1086"/>
        <w:gridCol w:w="1086"/>
        <w:gridCol w:w="1084"/>
      </w:tblGrid>
      <w:tr w:rsidR="00873C94" w:rsidRPr="00183E4D" w14:paraId="789D26A9" w14:textId="77777777" w:rsidTr="004219F5">
        <w:trPr>
          <w:cnfStyle w:val="100000000000" w:firstRow="1" w:lastRow="0" w:firstColumn="0" w:lastColumn="0" w:oddVBand="0" w:evenVBand="0" w:oddHBand="0" w:evenHBand="0" w:firstRowFirstColumn="0" w:firstRowLastColumn="0" w:lastRowFirstColumn="0" w:lastRowLastColumn="0"/>
          <w:trHeight w:val="300"/>
          <w:tblHeader/>
        </w:trPr>
        <w:tc>
          <w:tcPr>
            <w:tcW w:w="1991" w:type="pct"/>
            <w:tcBorders>
              <w:bottom w:val="single" w:sz="4" w:space="0" w:color="auto"/>
            </w:tcBorders>
          </w:tcPr>
          <w:p w14:paraId="7DA20C50" w14:textId="77777777" w:rsidR="00873C94" w:rsidRPr="00183E4D" w:rsidRDefault="00873C94" w:rsidP="0064260E">
            <w:pPr>
              <w:keepNext/>
              <w:tabs>
                <w:tab w:val="left" w:pos="851"/>
              </w:tabs>
              <w:ind w:left="851" w:hanging="851"/>
              <w:rPr>
                <w:b/>
                <w:sz w:val="20"/>
              </w:rPr>
            </w:pPr>
            <w:r w:rsidRPr="00183E4D">
              <w:rPr>
                <w:b/>
                <w:color w:val="FFFFFF" w:themeColor="background1"/>
                <w:sz w:val="20"/>
              </w:rPr>
              <w:t>-</w:t>
            </w:r>
          </w:p>
        </w:tc>
        <w:tc>
          <w:tcPr>
            <w:tcW w:w="602" w:type="pct"/>
            <w:tcBorders>
              <w:bottom w:val="single" w:sz="4" w:space="0" w:color="auto"/>
            </w:tcBorders>
          </w:tcPr>
          <w:p w14:paraId="4CBF4A94" w14:textId="77777777" w:rsidR="00873C94" w:rsidRPr="00183E4D" w:rsidRDefault="00873C94" w:rsidP="0064260E">
            <w:pPr>
              <w:pStyle w:val="TableHeading"/>
              <w:jc w:val="center"/>
            </w:pPr>
            <w:r w:rsidRPr="008B6084">
              <w:t>2017</w:t>
            </w:r>
          </w:p>
        </w:tc>
        <w:tc>
          <w:tcPr>
            <w:tcW w:w="602" w:type="pct"/>
            <w:tcBorders>
              <w:bottom w:val="single" w:sz="4" w:space="0" w:color="auto"/>
            </w:tcBorders>
          </w:tcPr>
          <w:p w14:paraId="619CF0CC" w14:textId="77777777" w:rsidR="00873C94" w:rsidRPr="00183E4D" w:rsidRDefault="00873C94" w:rsidP="0064260E">
            <w:pPr>
              <w:pStyle w:val="TableHeading"/>
              <w:jc w:val="center"/>
            </w:pPr>
            <w:r w:rsidRPr="008B6084">
              <w:t>2018</w:t>
            </w:r>
          </w:p>
        </w:tc>
        <w:tc>
          <w:tcPr>
            <w:tcW w:w="602" w:type="pct"/>
            <w:tcBorders>
              <w:bottom w:val="single" w:sz="4" w:space="0" w:color="auto"/>
            </w:tcBorders>
          </w:tcPr>
          <w:p w14:paraId="5CCEA490" w14:textId="77777777" w:rsidR="00873C94" w:rsidRPr="00183E4D" w:rsidRDefault="00873C94" w:rsidP="0064260E">
            <w:pPr>
              <w:pStyle w:val="TableHeading"/>
              <w:jc w:val="center"/>
            </w:pPr>
            <w:r w:rsidRPr="008B6084">
              <w:t>2019</w:t>
            </w:r>
          </w:p>
        </w:tc>
        <w:tc>
          <w:tcPr>
            <w:tcW w:w="602" w:type="pct"/>
            <w:tcBorders>
              <w:bottom w:val="single" w:sz="4" w:space="0" w:color="auto"/>
            </w:tcBorders>
          </w:tcPr>
          <w:p w14:paraId="7E8C1C13" w14:textId="77777777" w:rsidR="00873C94" w:rsidRPr="00183E4D" w:rsidRDefault="00873C94" w:rsidP="0064260E">
            <w:pPr>
              <w:pStyle w:val="TableHeading"/>
              <w:jc w:val="center"/>
            </w:pPr>
            <w:r w:rsidRPr="008B6084">
              <w:t>2020</w:t>
            </w:r>
          </w:p>
        </w:tc>
        <w:tc>
          <w:tcPr>
            <w:tcW w:w="601" w:type="pct"/>
          </w:tcPr>
          <w:p w14:paraId="601DF717" w14:textId="77777777" w:rsidR="00873C94" w:rsidRPr="00183E4D" w:rsidRDefault="00873C94" w:rsidP="0064260E">
            <w:pPr>
              <w:pStyle w:val="TableHeading"/>
              <w:jc w:val="center"/>
            </w:pPr>
            <w:r w:rsidRPr="008B6084">
              <w:t>2021</w:t>
            </w:r>
          </w:p>
        </w:tc>
      </w:tr>
      <w:tr w:rsidR="00873C94" w:rsidRPr="00183E4D" w14:paraId="058E6C07" w14:textId="77777777" w:rsidTr="004219F5">
        <w:trPr>
          <w:trHeight w:val="300"/>
        </w:trPr>
        <w:tc>
          <w:tcPr>
            <w:tcW w:w="1991" w:type="pct"/>
            <w:tcBorders>
              <w:right w:val="nil"/>
            </w:tcBorders>
          </w:tcPr>
          <w:p w14:paraId="3FE12485" w14:textId="77777777" w:rsidR="00873C94" w:rsidRPr="00183E4D" w:rsidRDefault="00873C94" w:rsidP="0064260E">
            <w:pPr>
              <w:keepNext/>
              <w:widowControl w:val="0"/>
              <w:tabs>
                <w:tab w:val="left" w:pos="851"/>
              </w:tabs>
              <w:rPr>
                <w:b/>
                <w:sz w:val="20"/>
                <w:highlight w:val="cyan"/>
              </w:rPr>
            </w:pPr>
            <w:r w:rsidRPr="00000C91">
              <w:rPr>
                <w:b/>
                <w:sz w:val="20"/>
              </w:rPr>
              <w:t>Direct cost of sTfR testing</w:t>
            </w:r>
          </w:p>
        </w:tc>
        <w:tc>
          <w:tcPr>
            <w:tcW w:w="602" w:type="pct"/>
            <w:tcBorders>
              <w:left w:val="nil"/>
              <w:right w:val="nil"/>
            </w:tcBorders>
          </w:tcPr>
          <w:p w14:paraId="3B42D75C" w14:textId="77777777" w:rsidR="00873C94" w:rsidRPr="00183E4D" w:rsidRDefault="00873C94" w:rsidP="0064260E">
            <w:pPr>
              <w:keepNext/>
              <w:widowControl w:val="0"/>
              <w:rPr>
                <w:b/>
                <w:color w:val="FFFFFF" w:themeColor="background1"/>
                <w:sz w:val="20"/>
              </w:rPr>
            </w:pPr>
            <w:r>
              <w:rPr>
                <w:b/>
                <w:color w:val="FFFFFF" w:themeColor="background1"/>
                <w:sz w:val="20"/>
              </w:rPr>
              <w:t>--</w:t>
            </w:r>
          </w:p>
        </w:tc>
        <w:tc>
          <w:tcPr>
            <w:tcW w:w="602" w:type="pct"/>
            <w:tcBorders>
              <w:left w:val="nil"/>
              <w:right w:val="nil"/>
            </w:tcBorders>
          </w:tcPr>
          <w:p w14:paraId="0E4CC47C" w14:textId="77777777" w:rsidR="00873C94" w:rsidRPr="00183E4D" w:rsidRDefault="00873C94" w:rsidP="0064260E">
            <w:pPr>
              <w:keepNext/>
              <w:widowControl w:val="0"/>
              <w:rPr>
                <w:b/>
                <w:color w:val="FFFFFF" w:themeColor="background1"/>
                <w:sz w:val="20"/>
              </w:rPr>
            </w:pPr>
            <w:r>
              <w:rPr>
                <w:b/>
                <w:color w:val="FFFFFF" w:themeColor="background1"/>
                <w:sz w:val="20"/>
              </w:rPr>
              <w:t>-</w:t>
            </w:r>
          </w:p>
        </w:tc>
        <w:tc>
          <w:tcPr>
            <w:tcW w:w="602" w:type="pct"/>
            <w:tcBorders>
              <w:left w:val="nil"/>
              <w:right w:val="nil"/>
            </w:tcBorders>
          </w:tcPr>
          <w:p w14:paraId="321A7747" w14:textId="77777777" w:rsidR="00873C94" w:rsidRPr="00183E4D" w:rsidRDefault="00873C94" w:rsidP="0064260E">
            <w:pPr>
              <w:keepNext/>
              <w:widowControl w:val="0"/>
              <w:rPr>
                <w:b/>
                <w:color w:val="FFFFFF" w:themeColor="background1"/>
                <w:sz w:val="20"/>
              </w:rPr>
            </w:pPr>
          </w:p>
        </w:tc>
        <w:tc>
          <w:tcPr>
            <w:tcW w:w="602" w:type="pct"/>
            <w:tcBorders>
              <w:left w:val="nil"/>
              <w:right w:val="nil"/>
            </w:tcBorders>
          </w:tcPr>
          <w:p w14:paraId="3C5EBB68" w14:textId="77777777" w:rsidR="00873C94" w:rsidRPr="00183E4D" w:rsidRDefault="00873C94" w:rsidP="0064260E">
            <w:pPr>
              <w:keepNext/>
              <w:widowControl w:val="0"/>
              <w:rPr>
                <w:b/>
                <w:color w:val="FFFFFF" w:themeColor="background1"/>
                <w:sz w:val="20"/>
              </w:rPr>
            </w:pPr>
          </w:p>
        </w:tc>
        <w:tc>
          <w:tcPr>
            <w:tcW w:w="601" w:type="pct"/>
            <w:tcBorders>
              <w:left w:val="nil"/>
            </w:tcBorders>
          </w:tcPr>
          <w:p w14:paraId="19484BBE" w14:textId="77777777" w:rsidR="00873C94" w:rsidRPr="00183E4D" w:rsidRDefault="00873C94" w:rsidP="0064260E">
            <w:pPr>
              <w:keepNext/>
              <w:widowControl w:val="0"/>
              <w:rPr>
                <w:b/>
                <w:color w:val="FFFFFF" w:themeColor="background1"/>
                <w:sz w:val="20"/>
              </w:rPr>
            </w:pPr>
          </w:p>
        </w:tc>
      </w:tr>
      <w:tr w:rsidR="00873C94" w:rsidRPr="00183E4D" w14:paraId="0F39395F" w14:textId="77777777" w:rsidTr="004219F5">
        <w:trPr>
          <w:trHeight w:val="300"/>
        </w:trPr>
        <w:tc>
          <w:tcPr>
            <w:tcW w:w="1991" w:type="pct"/>
          </w:tcPr>
          <w:p w14:paraId="43D2FE44" w14:textId="77777777" w:rsidR="00873C94" w:rsidRPr="00183E4D" w:rsidRDefault="00873C94" w:rsidP="0064260E">
            <w:pPr>
              <w:keepNext/>
              <w:widowControl w:val="0"/>
              <w:tabs>
                <w:tab w:val="left" w:pos="851"/>
              </w:tabs>
              <w:rPr>
                <w:b/>
                <w:sz w:val="20"/>
                <w:highlight w:val="cyan"/>
              </w:rPr>
            </w:pPr>
            <w:r w:rsidRPr="00183E4D">
              <w:rPr>
                <w:sz w:val="20"/>
              </w:rPr>
              <w:t>Number of services</w:t>
            </w:r>
          </w:p>
        </w:tc>
        <w:tc>
          <w:tcPr>
            <w:tcW w:w="602" w:type="pct"/>
          </w:tcPr>
          <w:p w14:paraId="1071599D" w14:textId="77777777" w:rsidR="00873C94" w:rsidRPr="00183E4D" w:rsidRDefault="00873C94" w:rsidP="0064260E">
            <w:pPr>
              <w:pStyle w:val="TableText"/>
              <w:jc w:val="center"/>
              <w:rPr>
                <w:b/>
                <w:color w:val="FFFFFF" w:themeColor="background1"/>
                <w:szCs w:val="20"/>
              </w:rPr>
            </w:pPr>
            <w:r w:rsidRPr="007C1CBF">
              <w:t>261,347</w:t>
            </w:r>
          </w:p>
        </w:tc>
        <w:tc>
          <w:tcPr>
            <w:tcW w:w="602" w:type="pct"/>
          </w:tcPr>
          <w:p w14:paraId="67878684" w14:textId="77777777" w:rsidR="00873C94" w:rsidRPr="00183E4D" w:rsidRDefault="00873C94" w:rsidP="0064260E">
            <w:pPr>
              <w:pStyle w:val="TableText"/>
              <w:jc w:val="center"/>
              <w:rPr>
                <w:b/>
                <w:color w:val="FFFFFF" w:themeColor="background1"/>
                <w:szCs w:val="20"/>
              </w:rPr>
            </w:pPr>
            <w:r w:rsidRPr="007C1CBF">
              <w:t>253,030</w:t>
            </w:r>
          </w:p>
        </w:tc>
        <w:tc>
          <w:tcPr>
            <w:tcW w:w="602" w:type="pct"/>
          </w:tcPr>
          <w:p w14:paraId="554075C8" w14:textId="77777777" w:rsidR="00873C94" w:rsidRPr="00183E4D" w:rsidRDefault="00873C94" w:rsidP="0064260E">
            <w:pPr>
              <w:pStyle w:val="TableText"/>
              <w:jc w:val="center"/>
              <w:rPr>
                <w:b/>
                <w:color w:val="FFFFFF" w:themeColor="background1"/>
                <w:szCs w:val="20"/>
              </w:rPr>
            </w:pPr>
            <w:r w:rsidRPr="007C1CBF">
              <w:t>267,229</w:t>
            </w:r>
          </w:p>
        </w:tc>
        <w:tc>
          <w:tcPr>
            <w:tcW w:w="602" w:type="pct"/>
          </w:tcPr>
          <w:p w14:paraId="24F34EDA" w14:textId="77777777" w:rsidR="00873C94" w:rsidRPr="00183E4D" w:rsidRDefault="00873C94" w:rsidP="0064260E">
            <w:pPr>
              <w:pStyle w:val="TableText"/>
              <w:jc w:val="center"/>
              <w:rPr>
                <w:b/>
                <w:color w:val="FFFFFF" w:themeColor="background1"/>
                <w:szCs w:val="20"/>
              </w:rPr>
            </w:pPr>
            <w:r w:rsidRPr="007C1CBF">
              <w:t>281,428</w:t>
            </w:r>
          </w:p>
        </w:tc>
        <w:tc>
          <w:tcPr>
            <w:tcW w:w="601" w:type="pct"/>
          </w:tcPr>
          <w:p w14:paraId="2524C8D4" w14:textId="77777777" w:rsidR="00873C94" w:rsidRPr="00183E4D" w:rsidRDefault="00873C94" w:rsidP="0064260E">
            <w:pPr>
              <w:pStyle w:val="TableText"/>
              <w:jc w:val="center"/>
              <w:rPr>
                <w:b/>
                <w:color w:val="FFFFFF" w:themeColor="background1"/>
                <w:szCs w:val="20"/>
              </w:rPr>
            </w:pPr>
            <w:r w:rsidRPr="007C1CBF">
              <w:t>295,626</w:t>
            </w:r>
          </w:p>
        </w:tc>
      </w:tr>
      <w:tr w:rsidR="00873C94" w:rsidRPr="00183E4D" w14:paraId="7FFAFC35" w14:textId="77777777" w:rsidTr="004219F5">
        <w:trPr>
          <w:trHeight w:val="300"/>
        </w:trPr>
        <w:tc>
          <w:tcPr>
            <w:tcW w:w="1991" w:type="pct"/>
            <w:tcBorders>
              <w:bottom w:val="single" w:sz="4" w:space="0" w:color="auto"/>
            </w:tcBorders>
          </w:tcPr>
          <w:p w14:paraId="215AA883" w14:textId="77777777" w:rsidR="00873C94" w:rsidRPr="00183E4D" w:rsidRDefault="00873C94" w:rsidP="0064260E">
            <w:pPr>
              <w:keepNext/>
              <w:widowControl w:val="0"/>
              <w:tabs>
                <w:tab w:val="left" w:pos="851"/>
              </w:tabs>
              <w:rPr>
                <w:b/>
                <w:sz w:val="20"/>
                <w:highlight w:val="cyan"/>
              </w:rPr>
            </w:pPr>
            <w:r w:rsidRPr="00183E4D">
              <w:rPr>
                <w:sz w:val="20"/>
              </w:rPr>
              <w:t>Sub-total cost</w:t>
            </w:r>
          </w:p>
        </w:tc>
        <w:tc>
          <w:tcPr>
            <w:tcW w:w="602" w:type="pct"/>
            <w:tcBorders>
              <w:bottom w:val="single" w:sz="4" w:space="0" w:color="auto"/>
            </w:tcBorders>
          </w:tcPr>
          <w:p w14:paraId="2DFF6981" w14:textId="77777777" w:rsidR="00873C94" w:rsidRPr="00183E4D" w:rsidRDefault="00873C94" w:rsidP="0064260E">
            <w:pPr>
              <w:pStyle w:val="TableText"/>
              <w:jc w:val="right"/>
              <w:rPr>
                <w:b/>
                <w:color w:val="FFFFFF" w:themeColor="background1"/>
                <w:szCs w:val="20"/>
              </w:rPr>
            </w:pPr>
            <w:r w:rsidRPr="00622F37">
              <w:t xml:space="preserve"> $9,996,516 </w:t>
            </w:r>
          </w:p>
        </w:tc>
        <w:tc>
          <w:tcPr>
            <w:tcW w:w="602" w:type="pct"/>
            <w:tcBorders>
              <w:bottom w:val="single" w:sz="4" w:space="0" w:color="auto"/>
            </w:tcBorders>
          </w:tcPr>
          <w:p w14:paraId="3A7F5161" w14:textId="77777777" w:rsidR="00873C94" w:rsidRPr="00183E4D" w:rsidRDefault="00873C94" w:rsidP="0064260E">
            <w:pPr>
              <w:pStyle w:val="TableText"/>
              <w:jc w:val="right"/>
              <w:rPr>
                <w:b/>
                <w:color w:val="FFFFFF" w:themeColor="background1"/>
                <w:szCs w:val="20"/>
              </w:rPr>
            </w:pPr>
            <w:r w:rsidRPr="00622F37">
              <w:t xml:space="preserve"> $9,678,410 </w:t>
            </w:r>
          </w:p>
        </w:tc>
        <w:tc>
          <w:tcPr>
            <w:tcW w:w="602" w:type="pct"/>
            <w:tcBorders>
              <w:bottom w:val="single" w:sz="4" w:space="0" w:color="auto"/>
            </w:tcBorders>
          </w:tcPr>
          <w:p w14:paraId="4161D612" w14:textId="77777777" w:rsidR="00873C94" w:rsidRPr="00183E4D" w:rsidRDefault="00873C94" w:rsidP="0064260E">
            <w:pPr>
              <w:pStyle w:val="TableText"/>
              <w:jc w:val="right"/>
              <w:rPr>
                <w:b/>
                <w:color w:val="FFFFFF" w:themeColor="background1"/>
                <w:szCs w:val="20"/>
              </w:rPr>
            </w:pPr>
            <w:r w:rsidRPr="00622F37">
              <w:t xml:space="preserve"> $10,221,508 </w:t>
            </w:r>
          </w:p>
        </w:tc>
        <w:tc>
          <w:tcPr>
            <w:tcW w:w="602" w:type="pct"/>
            <w:tcBorders>
              <w:bottom w:val="single" w:sz="4" w:space="0" w:color="auto"/>
            </w:tcBorders>
          </w:tcPr>
          <w:p w14:paraId="615E5697" w14:textId="77777777" w:rsidR="00873C94" w:rsidRPr="00183E4D" w:rsidRDefault="00873C94" w:rsidP="0064260E">
            <w:pPr>
              <w:pStyle w:val="TableText"/>
              <w:jc w:val="right"/>
              <w:rPr>
                <w:b/>
                <w:color w:val="FFFFFF" w:themeColor="background1"/>
                <w:szCs w:val="20"/>
              </w:rPr>
            </w:pPr>
            <w:r w:rsidRPr="00622F37">
              <w:t xml:space="preserve"> $10,764,605 </w:t>
            </w:r>
          </w:p>
        </w:tc>
        <w:tc>
          <w:tcPr>
            <w:tcW w:w="601" w:type="pct"/>
          </w:tcPr>
          <w:p w14:paraId="7B2CC7D4" w14:textId="77777777" w:rsidR="00873C94" w:rsidRPr="00183E4D" w:rsidRDefault="00873C94" w:rsidP="0064260E">
            <w:pPr>
              <w:pStyle w:val="TableText"/>
              <w:jc w:val="right"/>
              <w:rPr>
                <w:b/>
                <w:color w:val="FFFFFF" w:themeColor="background1"/>
                <w:szCs w:val="20"/>
              </w:rPr>
            </w:pPr>
            <w:r w:rsidRPr="00622F37">
              <w:t xml:space="preserve"> $11,307,703 </w:t>
            </w:r>
          </w:p>
        </w:tc>
      </w:tr>
      <w:tr w:rsidR="00873C94" w:rsidRPr="00183E4D" w14:paraId="6696B283" w14:textId="77777777" w:rsidTr="004219F5">
        <w:trPr>
          <w:trHeight w:val="300"/>
        </w:trPr>
        <w:tc>
          <w:tcPr>
            <w:tcW w:w="1991" w:type="pct"/>
            <w:tcBorders>
              <w:right w:val="nil"/>
            </w:tcBorders>
          </w:tcPr>
          <w:p w14:paraId="5AAA888B" w14:textId="77777777" w:rsidR="00873C94" w:rsidRPr="00183E4D" w:rsidRDefault="00873C94" w:rsidP="0064260E">
            <w:pPr>
              <w:keepNext/>
              <w:widowControl w:val="0"/>
              <w:tabs>
                <w:tab w:val="left" w:pos="851"/>
              </w:tabs>
              <w:rPr>
                <w:b/>
                <w:sz w:val="20"/>
              </w:rPr>
            </w:pPr>
            <w:r>
              <w:rPr>
                <w:b/>
                <w:sz w:val="20"/>
              </w:rPr>
              <w:t>Incremental cost of additional iron studies</w:t>
            </w:r>
          </w:p>
        </w:tc>
        <w:tc>
          <w:tcPr>
            <w:tcW w:w="602" w:type="pct"/>
            <w:tcBorders>
              <w:left w:val="nil"/>
              <w:right w:val="nil"/>
            </w:tcBorders>
          </w:tcPr>
          <w:p w14:paraId="5B45301C" w14:textId="77777777" w:rsidR="00873C94" w:rsidRPr="00183E4D" w:rsidRDefault="00873C94" w:rsidP="0064260E">
            <w:pPr>
              <w:keepNext/>
              <w:widowControl w:val="0"/>
              <w:rPr>
                <w:b/>
                <w:color w:val="FFFFFF" w:themeColor="background1"/>
                <w:sz w:val="20"/>
              </w:rPr>
            </w:pPr>
            <w:r w:rsidRPr="00183E4D">
              <w:rPr>
                <w:b/>
                <w:color w:val="FFFFFF" w:themeColor="background1"/>
                <w:sz w:val="20"/>
              </w:rPr>
              <w:t>-</w:t>
            </w:r>
          </w:p>
        </w:tc>
        <w:tc>
          <w:tcPr>
            <w:tcW w:w="602" w:type="pct"/>
            <w:tcBorders>
              <w:left w:val="nil"/>
              <w:right w:val="nil"/>
            </w:tcBorders>
          </w:tcPr>
          <w:p w14:paraId="0853866E" w14:textId="77777777" w:rsidR="00873C94" w:rsidRPr="00183E4D" w:rsidRDefault="00873C94" w:rsidP="0064260E">
            <w:pPr>
              <w:keepNext/>
              <w:widowControl w:val="0"/>
              <w:rPr>
                <w:b/>
                <w:color w:val="FFFFFF" w:themeColor="background1"/>
                <w:sz w:val="20"/>
              </w:rPr>
            </w:pPr>
            <w:r w:rsidRPr="00183E4D">
              <w:rPr>
                <w:b/>
                <w:color w:val="FFFFFF" w:themeColor="background1"/>
                <w:sz w:val="20"/>
              </w:rPr>
              <w:t>-</w:t>
            </w:r>
          </w:p>
        </w:tc>
        <w:tc>
          <w:tcPr>
            <w:tcW w:w="602" w:type="pct"/>
            <w:tcBorders>
              <w:left w:val="nil"/>
              <w:right w:val="nil"/>
            </w:tcBorders>
          </w:tcPr>
          <w:p w14:paraId="0758DECA" w14:textId="77777777" w:rsidR="00873C94" w:rsidRPr="00183E4D" w:rsidRDefault="00873C94" w:rsidP="0064260E">
            <w:pPr>
              <w:keepNext/>
              <w:widowControl w:val="0"/>
              <w:rPr>
                <w:b/>
                <w:color w:val="FFFFFF" w:themeColor="background1"/>
                <w:sz w:val="20"/>
              </w:rPr>
            </w:pPr>
            <w:r w:rsidRPr="00183E4D">
              <w:rPr>
                <w:b/>
                <w:color w:val="FFFFFF" w:themeColor="background1"/>
                <w:sz w:val="20"/>
              </w:rPr>
              <w:t>-</w:t>
            </w:r>
          </w:p>
        </w:tc>
        <w:tc>
          <w:tcPr>
            <w:tcW w:w="602" w:type="pct"/>
            <w:tcBorders>
              <w:left w:val="nil"/>
              <w:right w:val="nil"/>
            </w:tcBorders>
          </w:tcPr>
          <w:p w14:paraId="7767A107" w14:textId="77777777" w:rsidR="00873C94" w:rsidRPr="00183E4D" w:rsidRDefault="00873C94" w:rsidP="0064260E">
            <w:pPr>
              <w:keepNext/>
              <w:widowControl w:val="0"/>
              <w:rPr>
                <w:b/>
                <w:color w:val="FFFFFF" w:themeColor="background1"/>
                <w:sz w:val="20"/>
              </w:rPr>
            </w:pPr>
            <w:r w:rsidRPr="00183E4D">
              <w:rPr>
                <w:b/>
                <w:color w:val="FFFFFF" w:themeColor="background1"/>
                <w:sz w:val="20"/>
              </w:rPr>
              <w:t>-</w:t>
            </w:r>
          </w:p>
        </w:tc>
        <w:tc>
          <w:tcPr>
            <w:tcW w:w="601" w:type="pct"/>
            <w:tcBorders>
              <w:left w:val="nil"/>
            </w:tcBorders>
          </w:tcPr>
          <w:p w14:paraId="5D998BD7" w14:textId="77777777" w:rsidR="00873C94" w:rsidRPr="00183E4D" w:rsidRDefault="00873C94" w:rsidP="0064260E">
            <w:pPr>
              <w:keepNext/>
              <w:widowControl w:val="0"/>
              <w:rPr>
                <w:b/>
                <w:color w:val="FFFFFF" w:themeColor="background1"/>
                <w:sz w:val="20"/>
              </w:rPr>
            </w:pPr>
            <w:r w:rsidRPr="00183E4D">
              <w:rPr>
                <w:b/>
                <w:color w:val="FFFFFF" w:themeColor="background1"/>
                <w:sz w:val="20"/>
              </w:rPr>
              <w:t>-</w:t>
            </w:r>
          </w:p>
        </w:tc>
      </w:tr>
      <w:tr w:rsidR="00873C94" w:rsidRPr="00183E4D" w14:paraId="51735CCF" w14:textId="77777777" w:rsidTr="004219F5">
        <w:trPr>
          <w:trHeight w:val="300"/>
        </w:trPr>
        <w:tc>
          <w:tcPr>
            <w:tcW w:w="1991" w:type="pct"/>
          </w:tcPr>
          <w:p w14:paraId="3E4B2BA6" w14:textId="77777777" w:rsidR="00873C94" w:rsidRPr="00183E4D" w:rsidRDefault="00873C94" w:rsidP="0064260E">
            <w:pPr>
              <w:keepNext/>
              <w:widowControl w:val="0"/>
              <w:tabs>
                <w:tab w:val="left" w:pos="851"/>
              </w:tabs>
              <w:ind w:left="851" w:hanging="851"/>
              <w:rPr>
                <w:sz w:val="20"/>
              </w:rPr>
            </w:pPr>
            <w:r w:rsidRPr="00183E4D">
              <w:rPr>
                <w:sz w:val="20"/>
              </w:rPr>
              <w:t>Number of services</w:t>
            </w:r>
          </w:p>
        </w:tc>
        <w:tc>
          <w:tcPr>
            <w:tcW w:w="602" w:type="pct"/>
          </w:tcPr>
          <w:p w14:paraId="64D653E6" w14:textId="77777777" w:rsidR="00873C94" w:rsidRPr="00183E4D" w:rsidRDefault="00873C94" w:rsidP="0064260E">
            <w:pPr>
              <w:pStyle w:val="TableText"/>
              <w:jc w:val="center"/>
              <w:rPr>
                <w:szCs w:val="20"/>
              </w:rPr>
            </w:pPr>
            <w:r w:rsidRPr="000910EA">
              <w:t>668,361</w:t>
            </w:r>
          </w:p>
        </w:tc>
        <w:tc>
          <w:tcPr>
            <w:tcW w:w="602" w:type="pct"/>
          </w:tcPr>
          <w:p w14:paraId="0D5D7B2B" w14:textId="77777777" w:rsidR="00873C94" w:rsidRPr="00183E4D" w:rsidRDefault="00873C94" w:rsidP="0064260E">
            <w:pPr>
              <w:pStyle w:val="TableText"/>
              <w:jc w:val="center"/>
              <w:rPr>
                <w:szCs w:val="20"/>
              </w:rPr>
            </w:pPr>
            <w:r w:rsidRPr="000910EA">
              <w:t>676,326</w:t>
            </w:r>
          </w:p>
        </w:tc>
        <w:tc>
          <w:tcPr>
            <w:tcW w:w="602" w:type="pct"/>
          </w:tcPr>
          <w:p w14:paraId="564AE794" w14:textId="77777777" w:rsidR="00873C94" w:rsidRPr="00183E4D" w:rsidRDefault="00873C94" w:rsidP="0064260E">
            <w:pPr>
              <w:pStyle w:val="TableText"/>
              <w:jc w:val="center"/>
              <w:rPr>
                <w:szCs w:val="20"/>
              </w:rPr>
            </w:pPr>
            <w:r w:rsidRPr="000910EA">
              <w:t>714,237</w:t>
            </w:r>
          </w:p>
        </w:tc>
        <w:tc>
          <w:tcPr>
            <w:tcW w:w="602" w:type="pct"/>
          </w:tcPr>
          <w:p w14:paraId="12A2F322" w14:textId="77777777" w:rsidR="00873C94" w:rsidRPr="00183E4D" w:rsidRDefault="00873C94" w:rsidP="0064260E">
            <w:pPr>
              <w:pStyle w:val="TableText"/>
              <w:jc w:val="center"/>
              <w:rPr>
                <w:szCs w:val="20"/>
              </w:rPr>
            </w:pPr>
            <w:r w:rsidRPr="000910EA">
              <w:t>752,361</w:t>
            </w:r>
          </w:p>
        </w:tc>
        <w:tc>
          <w:tcPr>
            <w:tcW w:w="601" w:type="pct"/>
          </w:tcPr>
          <w:p w14:paraId="10561514" w14:textId="77777777" w:rsidR="00873C94" w:rsidRPr="00183E4D" w:rsidRDefault="00873C94" w:rsidP="0064260E">
            <w:pPr>
              <w:pStyle w:val="TableText"/>
              <w:jc w:val="center"/>
              <w:rPr>
                <w:szCs w:val="20"/>
              </w:rPr>
            </w:pPr>
            <w:r w:rsidRPr="000910EA">
              <w:t>795,332</w:t>
            </w:r>
          </w:p>
        </w:tc>
      </w:tr>
      <w:tr w:rsidR="00873C94" w:rsidRPr="00183E4D" w14:paraId="66A669AF" w14:textId="77777777" w:rsidTr="004219F5">
        <w:trPr>
          <w:trHeight w:val="315"/>
        </w:trPr>
        <w:tc>
          <w:tcPr>
            <w:tcW w:w="1991" w:type="pct"/>
          </w:tcPr>
          <w:p w14:paraId="51BC420C" w14:textId="77777777" w:rsidR="00873C94" w:rsidRPr="00183E4D" w:rsidRDefault="00873C94" w:rsidP="0064260E">
            <w:pPr>
              <w:widowControl w:val="0"/>
              <w:rPr>
                <w:sz w:val="20"/>
              </w:rPr>
            </w:pPr>
            <w:r>
              <w:rPr>
                <w:sz w:val="20"/>
              </w:rPr>
              <w:t>Additional incremental</w:t>
            </w:r>
            <w:r w:rsidRPr="00183E4D">
              <w:rPr>
                <w:sz w:val="20"/>
              </w:rPr>
              <w:t xml:space="preserve"> cost</w:t>
            </w:r>
          </w:p>
        </w:tc>
        <w:tc>
          <w:tcPr>
            <w:tcW w:w="602" w:type="pct"/>
          </w:tcPr>
          <w:p w14:paraId="3E3E9FD3" w14:textId="77777777" w:rsidR="00873C94" w:rsidRPr="00183E4D" w:rsidRDefault="00873C94" w:rsidP="0064260E">
            <w:pPr>
              <w:pStyle w:val="TableText"/>
              <w:jc w:val="right"/>
              <w:rPr>
                <w:szCs w:val="20"/>
              </w:rPr>
            </w:pPr>
            <w:r w:rsidRPr="008944ED">
              <w:t xml:space="preserve"> $8,287,676 </w:t>
            </w:r>
          </w:p>
        </w:tc>
        <w:tc>
          <w:tcPr>
            <w:tcW w:w="602" w:type="pct"/>
          </w:tcPr>
          <w:p w14:paraId="038636DA" w14:textId="77777777" w:rsidR="00873C94" w:rsidRPr="00183E4D" w:rsidRDefault="00873C94" w:rsidP="0064260E">
            <w:pPr>
              <w:pStyle w:val="TableText"/>
              <w:jc w:val="right"/>
              <w:rPr>
                <w:szCs w:val="20"/>
              </w:rPr>
            </w:pPr>
            <w:r w:rsidRPr="008944ED">
              <w:t xml:space="preserve"> $8,386,446 </w:t>
            </w:r>
          </w:p>
        </w:tc>
        <w:tc>
          <w:tcPr>
            <w:tcW w:w="602" w:type="pct"/>
          </w:tcPr>
          <w:p w14:paraId="4EF2EA77" w14:textId="77777777" w:rsidR="00873C94" w:rsidRPr="00183E4D" w:rsidRDefault="00873C94" w:rsidP="0064260E">
            <w:pPr>
              <w:pStyle w:val="TableText"/>
              <w:jc w:val="right"/>
              <w:rPr>
                <w:szCs w:val="20"/>
              </w:rPr>
            </w:pPr>
            <w:r w:rsidRPr="008944ED">
              <w:t xml:space="preserve"> $8,856,544 </w:t>
            </w:r>
          </w:p>
        </w:tc>
        <w:tc>
          <w:tcPr>
            <w:tcW w:w="602" w:type="pct"/>
          </w:tcPr>
          <w:p w14:paraId="5819A395" w14:textId="77777777" w:rsidR="00873C94" w:rsidRPr="00183E4D" w:rsidRDefault="00873C94" w:rsidP="0064260E">
            <w:pPr>
              <w:pStyle w:val="TableText"/>
              <w:jc w:val="right"/>
              <w:rPr>
                <w:szCs w:val="20"/>
              </w:rPr>
            </w:pPr>
            <w:r w:rsidRPr="008944ED">
              <w:t xml:space="preserve"> $9,329,279 </w:t>
            </w:r>
          </w:p>
        </w:tc>
        <w:tc>
          <w:tcPr>
            <w:tcW w:w="601" w:type="pct"/>
          </w:tcPr>
          <w:p w14:paraId="6AA5687D" w14:textId="77777777" w:rsidR="00873C94" w:rsidRPr="00183E4D" w:rsidRDefault="00873C94" w:rsidP="0064260E">
            <w:pPr>
              <w:pStyle w:val="TableText"/>
              <w:jc w:val="right"/>
              <w:rPr>
                <w:szCs w:val="20"/>
              </w:rPr>
            </w:pPr>
            <w:r w:rsidRPr="008944ED">
              <w:t xml:space="preserve"> $9,862,121 </w:t>
            </w:r>
          </w:p>
        </w:tc>
      </w:tr>
      <w:tr w:rsidR="00873C94" w:rsidRPr="00183E4D" w14:paraId="2886B4E5" w14:textId="77777777" w:rsidTr="004219F5">
        <w:trPr>
          <w:trHeight w:val="315"/>
        </w:trPr>
        <w:tc>
          <w:tcPr>
            <w:tcW w:w="1991" w:type="pct"/>
          </w:tcPr>
          <w:p w14:paraId="19315C75" w14:textId="77777777" w:rsidR="00873C94" w:rsidRPr="00183E4D" w:rsidRDefault="00873C94" w:rsidP="0064260E">
            <w:pPr>
              <w:widowControl w:val="0"/>
              <w:rPr>
                <w:b/>
                <w:sz w:val="20"/>
              </w:rPr>
            </w:pPr>
            <w:r w:rsidRPr="00183E4D">
              <w:rPr>
                <w:b/>
                <w:sz w:val="20"/>
              </w:rPr>
              <w:t>Total cost</w:t>
            </w:r>
          </w:p>
        </w:tc>
        <w:tc>
          <w:tcPr>
            <w:tcW w:w="602" w:type="pct"/>
          </w:tcPr>
          <w:p w14:paraId="15B4ADFA" w14:textId="77777777" w:rsidR="00873C94" w:rsidRPr="00183E4D" w:rsidRDefault="00873C94" w:rsidP="0064260E">
            <w:pPr>
              <w:pStyle w:val="Tabletext0"/>
              <w:jc w:val="right"/>
              <w:rPr>
                <w:b/>
              </w:rPr>
            </w:pPr>
            <w:r w:rsidRPr="003E3813">
              <w:t xml:space="preserve"> $18,284,193 </w:t>
            </w:r>
          </w:p>
        </w:tc>
        <w:tc>
          <w:tcPr>
            <w:tcW w:w="602" w:type="pct"/>
          </w:tcPr>
          <w:p w14:paraId="4F830F82" w14:textId="77777777" w:rsidR="00873C94" w:rsidRPr="00183E4D" w:rsidRDefault="00873C94" w:rsidP="0064260E">
            <w:pPr>
              <w:pStyle w:val="Tabletext0"/>
              <w:jc w:val="right"/>
              <w:rPr>
                <w:b/>
              </w:rPr>
            </w:pPr>
            <w:r w:rsidRPr="003E3813">
              <w:t xml:space="preserve"> $18,064,856 </w:t>
            </w:r>
          </w:p>
        </w:tc>
        <w:tc>
          <w:tcPr>
            <w:tcW w:w="602" w:type="pct"/>
          </w:tcPr>
          <w:p w14:paraId="71F6D733" w14:textId="77777777" w:rsidR="00873C94" w:rsidRPr="00183E4D" w:rsidRDefault="00873C94" w:rsidP="0064260E">
            <w:pPr>
              <w:pStyle w:val="Tabletext0"/>
              <w:jc w:val="right"/>
              <w:rPr>
                <w:b/>
              </w:rPr>
            </w:pPr>
            <w:r w:rsidRPr="003E3813">
              <w:t xml:space="preserve"> $19,078,052 </w:t>
            </w:r>
          </w:p>
        </w:tc>
        <w:tc>
          <w:tcPr>
            <w:tcW w:w="602" w:type="pct"/>
          </w:tcPr>
          <w:p w14:paraId="25AAABBA" w14:textId="77777777" w:rsidR="00873C94" w:rsidRPr="00183E4D" w:rsidRDefault="00873C94" w:rsidP="0064260E">
            <w:pPr>
              <w:pStyle w:val="Tabletext0"/>
              <w:jc w:val="right"/>
              <w:rPr>
                <w:b/>
              </w:rPr>
            </w:pPr>
            <w:r w:rsidRPr="003E3813">
              <w:t xml:space="preserve"> $20,093,885 </w:t>
            </w:r>
          </w:p>
        </w:tc>
        <w:tc>
          <w:tcPr>
            <w:tcW w:w="601" w:type="pct"/>
          </w:tcPr>
          <w:p w14:paraId="1F8ABD23" w14:textId="77777777" w:rsidR="00873C94" w:rsidRPr="00183E4D" w:rsidRDefault="00873C94" w:rsidP="0064260E">
            <w:pPr>
              <w:pStyle w:val="Tabletext0"/>
              <w:jc w:val="right"/>
              <w:rPr>
                <w:b/>
              </w:rPr>
            </w:pPr>
            <w:r w:rsidRPr="003E3813">
              <w:t xml:space="preserve"> $21,169,824 </w:t>
            </w:r>
          </w:p>
        </w:tc>
      </w:tr>
    </w:tbl>
    <w:p w14:paraId="52D66C1D" w14:textId="77777777" w:rsidR="00B51184" w:rsidRPr="00FA6295" w:rsidRDefault="00B51184" w:rsidP="00B51184">
      <w:pPr>
        <w:pStyle w:val="Tablenotes"/>
      </w:pPr>
      <w:r w:rsidRPr="004F7914">
        <w:t>Abbreviations:</w:t>
      </w:r>
      <w:r>
        <w:t xml:space="preserve"> MBS = Medicare Benefits Schedule; sTfR=serum soluble transferrin receptor</w:t>
      </w:r>
    </w:p>
    <w:p w14:paraId="06FE73D9" w14:textId="77777777" w:rsidR="00873C94" w:rsidRDefault="00873C94" w:rsidP="00117AF2"/>
    <w:p w14:paraId="6AAF011B"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Caption w:val="Summary of Key issues from ESC to MSAC"/>
        <w:tblDescription w:val="Description of ESC issues fromr MSAC 1498"/>
      </w:tblPr>
      <w:tblGrid>
        <w:gridCol w:w="2830"/>
        <w:gridCol w:w="6186"/>
      </w:tblGrid>
      <w:tr w:rsidR="00DC0B4C" w:rsidRPr="00D06F33" w14:paraId="14527503" w14:textId="77777777" w:rsidTr="004219F5">
        <w:trPr>
          <w:tblHeader/>
        </w:trPr>
        <w:tc>
          <w:tcPr>
            <w:tcW w:w="2830" w:type="dxa"/>
          </w:tcPr>
          <w:p w14:paraId="56CA4844" w14:textId="77777777" w:rsidR="00DC0B4C" w:rsidRPr="00D06F33" w:rsidRDefault="00DC0B4C" w:rsidP="00DC0B4C">
            <w:pPr>
              <w:pStyle w:val="TableText"/>
              <w:ind w:left="0"/>
              <w:rPr>
                <w:rFonts w:ascii="Times New Roman" w:hAnsi="Times New Roman" w:cs="Times New Roman"/>
                <w:b/>
                <w:sz w:val="24"/>
                <w:szCs w:val="24"/>
              </w:rPr>
            </w:pPr>
            <w:r w:rsidRPr="00D06F33">
              <w:rPr>
                <w:rFonts w:ascii="Times New Roman" w:hAnsi="Times New Roman" w:cs="Times New Roman"/>
                <w:b/>
                <w:sz w:val="24"/>
                <w:szCs w:val="24"/>
              </w:rPr>
              <w:t>ESC key issue</w:t>
            </w:r>
          </w:p>
        </w:tc>
        <w:tc>
          <w:tcPr>
            <w:tcW w:w="6186" w:type="dxa"/>
          </w:tcPr>
          <w:p w14:paraId="29434247" w14:textId="77777777" w:rsidR="00DC0B4C" w:rsidRPr="00D06F33" w:rsidRDefault="00DC0B4C" w:rsidP="00DC0B4C">
            <w:pPr>
              <w:pStyle w:val="TableText"/>
              <w:ind w:left="0"/>
              <w:rPr>
                <w:rFonts w:ascii="Times New Roman" w:hAnsi="Times New Roman" w:cs="Times New Roman"/>
                <w:b/>
                <w:sz w:val="24"/>
                <w:szCs w:val="24"/>
              </w:rPr>
            </w:pPr>
            <w:r w:rsidRPr="00D06F33">
              <w:rPr>
                <w:rFonts w:ascii="Times New Roman" w:hAnsi="Times New Roman" w:cs="Times New Roman"/>
                <w:b/>
                <w:sz w:val="24"/>
                <w:szCs w:val="24"/>
              </w:rPr>
              <w:t>ESC advice to MSAC</w:t>
            </w:r>
          </w:p>
        </w:tc>
      </w:tr>
      <w:tr w:rsidR="00DC0B4C" w:rsidRPr="00D06F33" w14:paraId="68572AAA" w14:textId="77777777" w:rsidTr="0064260E">
        <w:trPr>
          <w:trHeight w:val="56"/>
        </w:trPr>
        <w:tc>
          <w:tcPr>
            <w:tcW w:w="2830" w:type="dxa"/>
            <w:hideMark/>
          </w:tcPr>
          <w:p w14:paraId="3A5FB80D"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 xml:space="preserve">The clinical pathway </w:t>
            </w:r>
          </w:p>
        </w:tc>
        <w:tc>
          <w:tcPr>
            <w:tcW w:w="6186" w:type="dxa"/>
            <w:hideMark/>
          </w:tcPr>
          <w:p w14:paraId="05249AE6"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Some guidelines recommend use of sTfR testing in a slightly different pathway to that in the proposed clinical management algorithm.</w:t>
            </w:r>
          </w:p>
        </w:tc>
      </w:tr>
      <w:tr w:rsidR="00DC0B4C" w:rsidRPr="00D06F33" w14:paraId="146811BD" w14:textId="77777777" w:rsidTr="0064260E">
        <w:trPr>
          <w:trHeight w:val="109"/>
        </w:trPr>
        <w:tc>
          <w:tcPr>
            <w:tcW w:w="2830" w:type="dxa"/>
            <w:hideMark/>
          </w:tcPr>
          <w:p w14:paraId="730CB60A"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 xml:space="preserve">Trial data </w:t>
            </w:r>
          </w:p>
        </w:tc>
        <w:tc>
          <w:tcPr>
            <w:tcW w:w="6186" w:type="dxa"/>
            <w:hideMark/>
          </w:tcPr>
          <w:p w14:paraId="49B08841"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 xml:space="preserve">There is no direct evidence in the proposed population, and very limited and biased evidence about the test’s effectiveness and applicability. </w:t>
            </w:r>
          </w:p>
        </w:tc>
      </w:tr>
      <w:tr w:rsidR="00DC0B4C" w:rsidRPr="00D06F33" w14:paraId="1D204A6B" w14:textId="77777777" w:rsidTr="0064260E">
        <w:trPr>
          <w:trHeight w:val="61"/>
        </w:trPr>
        <w:tc>
          <w:tcPr>
            <w:tcW w:w="2830" w:type="dxa"/>
            <w:hideMark/>
          </w:tcPr>
          <w:p w14:paraId="777D3741"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 xml:space="preserve">Test methodology </w:t>
            </w:r>
          </w:p>
        </w:tc>
        <w:tc>
          <w:tcPr>
            <w:tcW w:w="6186" w:type="dxa"/>
            <w:hideMark/>
          </w:tcPr>
          <w:p w14:paraId="19BDB047"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 xml:space="preserve">There is limited evidence of standardisation. </w:t>
            </w:r>
          </w:p>
        </w:tc>
      </w:tr>
      <w:tr w:rsidR="00DC0B4C" w:rsidRPr="00D06F33" w14:paraId="23E0B08A" w14:textId="77777777" w:rsidTr="0064260E">
        <w:trPr>
          <w:trHeight w:val="276"/>
        </w:trPr>
        <w:tc>
          <w:tcPr>
            <w:tcW w:w="2830" w:type="dxa"/>
            <w:hideMark/>
          </w:tcPr>
          <w:p w14:paraId="7AD3AE4E"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 xml:space="preserve">Heterogeneous population </w:t>
            </w:r>
          </w:p>
        </w:tc>
        <w:tc>
          <w:tcPr>
            <w:tcW w:w="6186" w:type="dxa"/>
            <w:hideMark/>
          </w:tcPr>
          <w:p w14:paraId="25D2D276"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There is no outcome or clinical utility data due to the heterogeneity of the population with chronic disease in terms of ages, conditions and outcomes.</w:t>
            </w:r>
          </w:p>
        </w:tc>
      </w:tr>
      <w:tr w:rsidR="00DC0B4C" w:rsidRPr="00D06F33" w14:paraId="756EE4BF" w14:textId="77777777" w:rsidTr="0064260E">
        <w:trPr>
          <w:trHeight w:val="610"/>
        </w:trPr>
        <w:tc>
          <w:tcPr>
            <w:tcW w:w="2830" w:type="dxa"/>
            <w:hideMark/>
          </w:tcPr>
          <w:p w14:paraId="7DE17665"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Uncertainty in evidence</w:t>
            </w:r>
          </w:p>
        </w:tc>
        <w:tc>
          <w:tcPr>
            <w:tcW w:w="6186" w:type="dxa"/>
            <w:hideMark/>
          </w:tcPr>
          <w:p w14:paraId="4D87FFD8"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Overall, there is a need to develop models based on more defined pathways, if possible.</w:t>
            </w:r>
          </w:p>
        </w:tc>
      </w:tr>
      <w:tr w:rsidR="00DC0B4C" w:rsidRPr="00D06F33" w14:paraId="5259B5B1" w14:textId="77777777" w:rsidTr="0064260E">
        <w:trPr>
          <w:trHeight w:val="56"/>
        </w:trPr>
        <w:tc>
          <w:tcPr>
            <w:tcW w:w="2830" w:type="dxa"/>
            <w:hideMark/>
          </w:tcPr>
          <w:p w14:paraId="3A4A6714"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 xml:space="preserve">No conclusions on cost-effectiveness </w:t>
            </w:r>
          </w:p>
        </w:tc>
        <w:tc>
          <w:tcPr>
            <w:tcW w:w="6186" w:type="dxa"/>
            <w:hideMark/>
          </w:tcPr>
          <w:p w14:paraId="53612F20"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An economic evaluation was not conducted because of the significant uncertainties surrounding the complex diagnostic and treatment pathways, with subsequent unacceptable levels of uncertainty of any cost and probability estimates.</w:t>
            </w:r>
          </w:p>
        </w:tc>
      </w:tr>
      <w:tr w:rsidR="00DC0B4C" w:rsidRPr="00D06F33" w14:paraId="2E18366C" w14:textId="77777777" w:rsidTr="0064260E">
        <w:trPr>
          <w:trHeight w:val="56"/>
        </w:trPr>
        <w:tc>
          <w:tcPr>
            <w:tcW w:w="2830" w:type="dxa"/>
            <w:hideMark/>
          </w:tcPr>
          <w:p w14:paraId="569C23B0"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Budget implications are uncertain</w:t>
            </w:r>
          </w:p>
        </w:tc>
        <w:tc>
          <w:tcPr>
            <w:tcW w:w="6186" w:type="dxa"/>
            <w:hideMark/>
          </w:tcPr>
          <w:p w14:paraId="3F11EF5A" w14:textId="77777777" w:rsidR="00DC0B4C" w:rsidRPr="00D06F33" w:rsidRDefault="00DC0B4C" w:rsidP="00DC0B4C">
            <w:pPr>
              <w:pStyle w:val="TableText"/>
              <w:ind w:left="0"/>
              <w:rPr>
                <w:rFonts w:ascii="Times New Roman" w:hAnsi="Times New Roman" w:cs="Times New Roman"/>
                <w:sz w:val="24"/>
                <w:szCs w:val="24"/>
              </w:rPr>
            </w:pPr>
            <w:r w:rsidRPr="00D06F33">
              <w:rPr>
                <w:rFonts w:ascii="Times New Roman" w:hAnsi="Times New Roman" w:cs="Times New Roman"/>
                <w:sz w:val="24"/>
                <w:szCs w:val="24"/>
              </w:rPr>
              <w:t>Estimates of budget impact are uncertain for a number of reasons (e.g. heterogeneous clinical pathway; unknown values for test uptake, inpatient tests and exclusion of costs of services related to ACD). However, because of the high number of iron studies tests performed, the potential implications for the MBS budget are significant. The impact on the PBS (for iron) and hospital system were not considered.</w:t>
            </w:r>
          </w:p>
        </w:tc>
      </w:tr>
    </w:tbl>
    <w:p w14:paraId="71ECA832" w14:textId="77777777" w:rsidR="00DC0B4C" w:rsidRDefault="00DC0B4C" w:rsidP="00DC0B4C">
      <w:pPr>
        <w:pStyle w:val="Tablenotes"/>
      </w:pPr>
      <w:r>
        <w:t xml:space="preserve">Abbreviations: ESC = Evaluation Sub-Committee; MSAC = Medical Services Advisory Committee; </w:t>
      </w:r>
      <w:r w:rsidRPr="00BF5B6E">
        <w:t>sTfR</w:t>
      </w:r>
      <w:r>
        <w:t xml:space="preserve"> = serum soluble transferrin receptor; ACD = anaemia of chronic disease; PBS = Pharmaceutical Benefits Scheme; MBS = Medicare Benefits Schedule</w:t>
      </w:r>
    </w:p>
    <w:p w14:paraId="1EFD73A3" w14:textId="77777777" w:rsidR="004A6964" w:rsidRDefault="004A6964" w:rsidP="004A6964">
      <w:pPr>
        <w:pStyle w:val="Heading2"/>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ESC d</w:t>
      </w:r>
      <w:r w:rsidRPr="00BF5B6E">
        <w:rPr>
          <w:rFonts w:ascii="Times New Roman" w:hAnsi="Times New Roman" w:cs="Times New Roman"/>
          <w:color w:val="auto"/>
          <w:sz w:val="24"/>
          <w:szCs w:val="24"/>
          <w:u w:val="single"/>
        </w:rPr>
        <w:t>iscussion</w:t>
      </w:r>
    </w:p>
    <w:p w14:paraId="7C49F639" w14:textId="77777777" w:rsidR="004A6964" w:rsidRPr="00BF5B6E" w:rsidRDefault="004A6964" w:rsidP="004A6964"/>
    <w:p w14:paraId="3C77E9E2" w14:textId="77777777" w:rsidR="004A6964" w:rsidRDefault="004A6964" w:rsidP="004A6964">
      <w:r>
        <w:t>ESC noted that the original descriptor was considered not restrictive enough to conform with the PICO, so a new descriptor was proposed in the contracted assessment.</w:t>
      </w:r>
      <w:r w:rsidRPr="00C949D6">
        <w:t xml:space="preserve"> Note that this item descriptor has not been ratified either by the applicant or PASC.</w:t>
      </w:r>
    </w:p>
    <w:p w14:paraId="5F5462A2" w14:textId="77777777" w:rsidR="004A6964" w:rsidRDefault="004A6964" w:rsidP="004A6964"/>
    <w:p w14:paraId="4358D165" w14:textId="77777777" w:rsidR="004A6964" w:rsidRDefault="004A6964" w:rsidP="004A6964">
      <w:r>
        <w:t xml:space="preserve">ESC noted that there are currently two clinically relevant MBS items relating to iron studies: 66593 (serum ferritin) and 66596 (iron studies). Neither of these have specific eligibility requirements or restrictions. </w:t>
      </w:r>
    </w:p>
    <w:p w14:paraId="4165E2CA" w14:textId="77777777" w:rsidR="004A6964" w:rsidRDefault="004A6964" w:rsidP="004A6964"/>
    <w:p w14:paraId="7CBA23B7" w14:textId="77777777" w:rsidR="004A6964" w:rsidRDefault="004A6964" w:rsidP="004A6964">
      <w:r>
        <w:t>ESC noted that some guidelines would place sTfR testing at a different place in the clinical pathway to what is proposed in the clinical management algorithm in the application.</w:t>
      </w:r>
    </w:p>
    <w:p w14:paraId="0BF91680" w14:textId="77777777" w:rsidR="004A6964" w:rsidRDefault="004A6964" w:rsidP="004A6964">
      <w:r>
        <w:t>ESC noted that there is a paucity of epidemiological data reporting on the prevalence of anaemic patients with ferritin levels of 30–100 µg/L (or 20–100 µg/L in childr</w:t>
      </w:r>
      <w:r w:rsidR="00D06F33">
        <w:t xml:space="preserve">en) and </w:t>
      </w:r>
      <w:r>
        <w:t xml:space="preserve">TSAT of less than 30%; however, data were provided by the RCPA Working Group. ESC noted that these data were sourced from a single large community and hospital-based practice and estimated to include about 10% of all Medicare Pathology activity over 1 month. The prevalence estimated from that data was 3.7%. </w:t>
      </w:r>
      <w:r w:rsidRPr="0044339D">
        <w:t>However, the estimate in the PICO confirmation was 5%.</w:t>
      </w:r>
    </w:p>
    <w:p w14:paraId="6DE0D914" w14:textId="77777777" w:rsidR="004A6964" w:rsidRDefault="004A6964" w:rsidP="004A6964"/>
    <w:p w14:paraId="65F4D763" w14:textId="77777777" w:rsidR="004A6964" w:rsidRDefault="004A6964" w:rsidP="004A6964">
      <w:r>
        <w:lastRenderedPageBreak/>
        <w:t>ESC noted that, as there was no direct evidence to assess sTfR testing in anaemic patients with ferritin levels of 30–100 µg/L (and 20–100 µg/L in children) and a TSAT &lt;30%, a linked evidence approach was adopted. ESC noted that one study was identified (Shin et al. 2015) that included an analysis of the diagnostic accuracy of sTfR testing in adults with anaemia who had serum ferritin levels of 10–100 µg/L. This single study was included in the assessment because it reported the diagnostic accuracy of sTfR and ferritin separately in a range of ferritin levels close to that specified in the PICO.</w:t>
      </w:r>
    </w:p>
    <w:p w14:paraId="7CF7EC5E" w14:textId="77777777" w:rsidR="004A6964" w:rsidRDefault="004A6964" w:rsidP="004A6964"/>
    <w:p w14:paraId="4E33D892" w14:textId="77777777" w:rsidR="004A6964" w:rsidRDefault="004A6964" w:rsidP="004A6964">
      <w:r>
        <w:t xml:space="preserve">ESC noted that the reference standard used in the Shin study was a composite of three criteria, each of uncertain accuracy, and also included the index test; therefore, the study was at risk of verification and incorporation bias. Coupled with poor reporting of patient selection and uncertainty of whether a case-control design was avoided, this led to the study being assessed as being at a high risk of bias. </w:t>
      </w:r>
    </w:p>
    <w:p w14:paraId="36082DC9" w14:textId="77777777" w:rsidR="004A6964" w:rsidRDefault="004A6964" w:rsidP="004A6964"/>
    <w:p w14:paraId="72D13C34" w14:textId="77777777" w:rsidR="004A6964" w:rsidRDefault="004A6964" w:rsidP="004A6964">
      <w:r>
        <w:t xml:space="preserve">ESC noted the uncertainty about the sensitivity and specificity of the sTfR test compared to ferritin tests; sTfR appears to be less sensitive but perhaps more specific. </w:t>
      </w:r>
      <w:r w:rsidRPr="000E7BF9">
        <w:t xml:space="preserve">Both sTfR and </w:t>
      </w:r>
      <w:r>
        <w:t xml:space="preserve">the </w:t>
      </w:r>
      <w:r w:rsidRPr="000E7BF9">
        <w:t>sTfR/log ferritin ratio identified fewer patients with IDA (with or without ACD)</w:t>
      </w:r>
      <w:r>
        <w:t xml:space="preserve"> </w:t>
      </w:r>
      <w:r w:rsidRPr="000E7BF9">
        <w:t>than ferritin</w:t>
      </w:r>
      <w:r>
        <w:t xml:space="preserve"> level alone,</w:t>
      </w:r>
      <w:r w:rsidRPr="000E7BF9">
        <w:t xml:space="preserve"> but identified more patients with ACD alone</w:t>
      </w:r>
      <w:r>
        <w:t>.</w:t>
      </w:r>
    </w:p>
    <w:p w14:paraId="5FFF7BF8" w14:textId="77777777" w:rsidR="004A6964" w:rsidRDefault="004A6964" w:rsidP="00C96797">
      <w:pPr>
        <w:spacing w:before="240"/>
      </w:pPr>
      <w:r>
        <w:t>ESC noted that t</w:t>
      </w:r>
      <w:r w:rsidRPr="00834533">
        <w:t>he ROC curve (Figure 7</w:t>
      </w:r>
      <w:r>
        <w:t xml:space="preserve"> in the assessment group critique</w:t>
      </w:r>
      <w:r w:rsidRPr="00834533">
        <w:t xml:space="preserve">) for sTfR/log ferritin </w:t>
      </w:r>
      <w:r>
        <w:t>had</w:t>
      </w:r>
      <w:r w:rsidRPr="00834533">
        <w:t xml:space="preserve"> the highest </w:t>
      </w:r>
      <w:r>
        <w:t>area under the curve</w:t>
      </w:r>
      <w:r w:rsidRPr="00834533">
        <w:t xml:space="preserve"> (</w:t>
      </w:r>
      <w:r>
        <w:t xml:space="preserve">AUC; </w:t>
      </w:r>
      <w:r w:rsidRPr="00834533">
        <w:t>0.96)</w:t>
      </w:r>
      <w:r>
        <w:t>.</w:t>
      </w:r>
      <w:r w:rsidRPr="00834533">
        <w:t xml:space="preserve"> sTfR </w:t>
      </w:r>
      <w:r>
        <w:t>had</w:t>
      </w:r>
      <w:r w:rsidRPr="00834533">
        <w:t xml:space="preserve"> the highest AUC of any single test (0.93) in differentiating between IDA (±ACD) and ACD alone, followed by TSAT, </w:t>
      </w:r>
      <w:r w:rsidRPr="00340DE9">
        <w:t>total iron-binding capacity</w:t>
      </w:r>
      <w:r>
        <w:t>,</w:t>
      </w:r>
      <w:r w:rsidRPr="00340DE9">
        <w:t xml:space="preserve"> mean cell haemoglobin concentration</w:t>
      </w:r>
      <w:r>
        <w:t xml:space="preserve">, </w:t>
      </w:r>
      <w:r w:rsidRPr="00340DE9">
        <w:t>mean cell volume</w:t>
      </w:r>
      <w:r>
        <w:t>, ferritin (AUC </w:t>
      </w:r>
      <w:r w:rsidRPr="00834533">
        <w:t>0.88)</w:t>
      </w:r>
      <w:r>
        <w:t>,</w:t>
      </w:r>
      <w:r w:rsidRPr="00834533">
        <w:t xml:space="preserve"> iron and hepcidin. The AUC for sTfR/log ferritin ratio was significantly larger than the AUC for ferritin (</w:t>
      </w:r>
      <w:r w:rsidRPr="0070193C">
        <w:rPr>
          <w:i/>
        </w:rPr>
        <w:t>p</w:t>
      </w:r>
      <w:r w:rsidRPr="00834533">
        <w:t xml:space="preserve">=0.0086). </w:t>
      </w:r>
    </w:p>
    <w:p w14:paraId="6743B448" w14:textId="77777777" w:rsidR="004A6964" w:rsidRDefault="004A6964" w:rsidP="004A6964"/>
    <w:p w14:paraId="2B680A2B" w14:textId="77777777" w:rsidR="004A6964" w:rsidRDefault="004A6964" w:rsidP="004A6964">
      <w:r>
        <w:t>ESC noted that the high level of heterogeneity of the population and the complex management options for patients diagnosed with IDA and/or ACD made creating an economic model representative of these patient populations challenging and complex. Moreover, there was a paucity of clinical evidence regarding patient presentation, patient characteristics and findings on examination. ESC noted that this introduced a very high level of uncertainty regarding what additional investigations would be conducted, how often and in whom, and what changes in patient management would occur in which patients. Therefore, an economic evaluation was not conducted because of the significant uncertainties surrounding the complex diagnostic and treatment pathways with subsequent unacceptable levels of uncertainty of any cost and probability estimates.</w:t>
      </w:r>
    </w:p>
    <w:p w14:paraId="515AEF8F" w14:textId="77777777" w:rsidR="004A6964" w:rsidRDefault="004A6964" w:rsidP="004A6964"/>
    <w:p w14:paraId="28A515EB" w14:textId="77777777" w:rsidR="004A6964" w:rsidRDefault="004A6964" w:rsidP="004A6964">
      <w:r>
        <w:t>ESC noted</w:t>
      </w:r>
      <w:r w:rsidRPr="00013BED">
        <w:t xml:space="preserve"> that the</w:t>
      </w:r>
      <w:r>
        <w:t xml:space="preserve"> prevalence</w:t>
      </w:r>
      <w:r w:rsidRPr="00013BED">
        <w:t xml:space="preserve"> data </w:t>
      </w:r>
      <w:r>
        <w:t xml:space="preserve">(3.7% vs 5%, as noted above) </w:t>
      </w:r>
      <w:r w:rsidRPr="00013BED">
        <w:t xml:space="preserve">used to estimate the costs and utilisation of the proposed items were limited and have the potential for bias. </w:t>
      </w:r>
    </w:p>
    <w:p w14:paraId="6046B176" w14:textId="77777777" w:rsidR="004A6964" w:rsidRDefault="004A6964" w:rsidP="004A6964">
      <w:r>
        <w:t>ESC noted the price of $45 proposed by the applicant for the singular sTfR item; however, a cost of $33 was listed in the contracted assessment. Furthermore, as stated in the contracted assessment, testing can be found for as little as $16.24. ESC noted that the Department proposes that this is the price that should be reflected by the proposed item.</w:t>
      </w:r>
    </w:p>
    <w:p w14:paraId="1312D496" w14:textId="77777777" w:rsidR="004A6964" w:rsidRDefault="004A6964" w:rsidP="004A6964">
      <w:r w:rsidRPr="005C5767">
        <w:t xml:space="preserve">ESC noted that opportunity costs were not factored into the economic analysis. </w:t>
      </w:r>
      <w:r>
        <w:t>There is a wide range of possible additional investigations that may be undertaken in response to test results and clinical context; in the absence of sTfR testing, additional investigations and/or a trial of iron therapy may occur concurrently in response to a finding of a ferritin level of 30–100 µg/L (and TSAT &lt;30%).</w:t>
      </w:r>
    </w:p>
    <w:p w14:paraId="5472345D" w14:textId="77777777" w:rsidR="004A6964" w:rsidRDefault="004A6964" w:rsidP="004A6964">
      <w:r>
        <w:t xml:space="preserve">Consequently, it was uncertain that sTfR testing would make any significant impact on patient management with regards to: reducing additional investigations in those patients with a positive test; identifying patients who will not respond to iron supplementation; allowing more timely and targeted investigations to diagnose underlying disease, by potentially earlier </w:t>
      </w:r>
      <w:r>
        <w:lastRenderedPageBreak/>
        <w:t>identification of patients who have ACD; reducing the duration of anaemia, due to changes in management informed by sTfR testing results; or impact on quality of life, due to reducing the duration of anaemia.</w:t>
      </w:r>
    </w:p>
    <w:p w14:paraId="3C4FC4A1" w14:textId="77777777" w:rsidR="004A6964" w:rsidRDefault="004A6964" w:rsidP="004A6964"/>
    <w:p w14:paraId="5B371D18" w14:textId="77777777" w:rsidR="004A6964" w:rsidRDefault="004A6964" w:rsidP="004A6964">
      <w:pPr>
        <w:rPr>
          <w:lang w:val="en-US"/>
        </w:rPr>
      </w:pPr>
      <w:r>
        <w:t>ESC noted that the budget implications are uncertain. An epidemiological approach was taken based on data from a single</w:t>
      </w:r>
      <w:r w:rsidRPr="007862F2">
        <w:rPr>
          <w:lang w:val="en-US"/>
        </w:rPr>
        <w:t xml:space="preserve"> laboratory – </w:t>
      </w:r>
      <w:r>
        <w:rPr>
          <w:lang w:val="en-US"/>
        </w:rPr>
        <w:t>a 1-</w:t>
      </w:r>
      <w:r w:rsidRPr="007862F2">
        <w:rPr>
          <w:lang w:val="en-US"/>
        </w:rPr>
        <w:t>month sample summary provided by</w:t>
      </w:r>
      <w:r>
        <w:rPr>
          <w:lang w:val="en-US"/>
        </w:rPr>
        <w:t xml:space="preserve"> the</w:t>
      </w:r>
      <w:r w:rsidRPr="007862F2">
        <w:rPr>
          <w:lang w:val="en-US"/>
        </w:rPr>
        <w:t xml:space="preserve"> applicant</w:t>
      </w:r>
      <w:r>
        <w:rPr>
          <w:lang w:val="en-US"/>
        </w:rPr>
        <w:t>. There was also u</w:t>
      </w:r>
      <w:r w:rsidRPr="007862F2">
        <w:rPr>
          <w:lang w:val="en-US"/>
        </w:rPr>
        <w:t xml:space="preserve">ncertainty </w:t>
      </w:r>
      <w:r>
        <w:rPr>
          <w:lang w:val="en-US"/>
        </w:rPr>
        <w:t xml:space="preserve">about the setting. </w:t>
      </w:r>
      <w:r w:rsidRPr="007862F2">
        <w:rPr>
          <w:lang w:val="en-US"/>
        </w:rPr>
        <w:t xml:space="preserve">Estimates </w:t>
      </w:r>
      <w:r>
        <w:rPr>
          <w:lang w:val="en-US"/>
        </w:rPr>
        <w:t xml:space="preserve">were </w:t>
      </w:r>
      <w:r w:rsidRPr="007862F2">
        <w:rPr>
          <w:lang w:val="en-US"/>
        </w:rPr>
        <w:t xml:space="preserve">provided at </w:t>
      </w:r>
      <w:r>
        <w:rPr>
          <w:lang w:val="en-US"/>
        </w:rPr>
        <w:t xml:space="preserve">the </w:t>
      </w:r>
      <w:r w:rsidRPr="007862F2">
        <w:rPr>
          <w:lang w:val="en-US"/>
        </w:rPr>
        <w:t>85% rebate (primary care setting)</w:t>
      </w:r>
      <w:r>
        <w:rPr>
          <w:lang w:val="en-US"/>
        </w:rPr>
        <w:t xml:space="preserve"> but </w:t>
      </w:r>
      <w:r w:rsidRPr="000B33A3">
        <w:t>it is likely that some sTfR testing would be conducted in hospital (75% rebate)</w:t>
      </w:r>
      <w:r>
        <w:t xml:space="preserve">, which </w:t>
      </w:r>
      <w:r w:rsidRPr="000B33A3">
        <w:t xml:space="preserve">was not taken into account. </w:t>
      </w:r>
      <w:r>
        <w:t xml:space="preserve">ESC noted that an assumption was made </w:t>
      </w:r>
      <w:r w:rsidRPr="000B33A3">
        <w:rPr>
          <w:lang w:val="en-US"/>
        </w:rPr>
        <w:t xml:space="preserve">that all </w:t>
      </w:r>
      <w:r w:rsidRPr="001B3109">
        <w:rPr>
          <w:lang w:val="en-US"/>
        </w:rPr>
        <w:t xml:space="preserve">ferritin studies </w:t>
      </w:r>
      <w:r>
        <w:rPr>
          <w:lang w:val="en-US"/>
        </w:rPr>
        <w:t xml:space="preserve">would be </w:t>
      </w:r>
      <w:r w:rsidRPr="001B3109">
        <w:rPr>
          <w:lang w:val="en-US"/>
        </w:rPr>
        <w:t>replaced by iron studies, a pre-requisite for sTfr access</w:t>
      </w:r>
      <w:r>
        <w:rPr>
          <w:lang w:val="en-US"/>
        </w:rPr>
        <w:t>. ESC considered that this is n</w:t>
      </w:r>
      <w:r w:rsidRPr="007862F2">
        <w:rPr>
          <w:lang w:val="en-US"/>
        </w:rPr>
        <w:t>ot justified and hence maybe an overestimation.</w:t>
      </w:r>
      <w:r>
        <w:rPr>
          <w:lang w:val="en-US"/>
        </w:rPr>
        <w:t xml:space="preserve"> </w:t>
      </w:r>
    </w:p>
    <w:p w14:paraId="6C63FBEE" w14:textId="77777777" w:rsidR="004A6964" w:rsidRPr="007862F2" w:rsidRDefault="004A6964" w:rsidP="004A6964">
      <w:r>
        <w:rPr>
          <w:lang w:val="en-US"/>
        </w:rPr>
        <w:t>ESC noted that the critique advised that s</w:t>
      </w:r>
      <w:r w:rsidRPr="007862F2">
        <w:rPr>
          <w:lang w:val="en-US"/>
        </w:rPr>
        <w:t xml:space="preserve">ervices related to ACD </w:t>
      </w:r>
      <w:r>
        <w:rPr>
          <w:lang w:val="en-US"/>
        </w:rPr>
        <w:t xml:space="preserve">were </w:t>
      </w:r>
      <w:r w:rsidRPr="007862F2">
        <w:rPr>
          <w:lang w:val="en-US"/>
        </w:rPr>
        <w:t>not included</w:t>
      </w:r>
      <w:r>
        <w:rPr>
          <w:lang w:val="en-US"/>
        </w:rPr>
        <w:t xml:space="preserve"> and that that the i</w:t>
      </w:r>
      <w:r w:rsidRPr="007862F2">
        <w:rPr>
          <w:lang w:val="en-US"/>
        </w:rPr>
        <w:t xml:space="preserve">mpact on </w:t>
      </w:r>
      <w:r>
        <w:rPr>
          <w:lang w:val="en-US"/>
        </w:rPr>
        <w:t xml:space="preserve">both the </w:t>
      </w:r>
      <w:r w:rsidRPr="007862F2">
        <w:rPr>
          <w:lang w:val="en-US"/>
        </w:rPr>
        <w:t>PBS for iron</w:t>
      </w:r>
      <w:r>
        <w:rPr>
          <w:lang w:val="en-US"/>
        </w:rPr>
        <w:t>,</w:t>
      </w:r>
      <w:r w:rsidRPr="007862F2">
        <w:rPr>
          <w:lang w:val="en-US"/>
        </w:rPr>
        <w:t xml:space="preserve"> and on </w:t>
      </w:r>
      <w:r>
        <w:rPr>
          <w:lang w:val="en-US"/>
        </w:rPr>
        <w:t xml:space="preserve">the </w:t>
      </w:r>
      <w:r w:rsidRPr="007862F2">
        <w:rPr>
          <w:lang w:val="en-US"/>
        </w:rPr>
        <w:t>hospital system</w:t>
      </w:r>
      <w:r>
        <w:rPr>
          <w:lang w:val="en-US"/>
        </w:rPr>
        <w:t>,</w:t>
      </w:r>
      <w:r w:rsidRPr="007862F2">
        <w:rPr>
          <w:lang w:val="en-US"/>
        </w:rPr>
        <w:t xml:space="preserve"> </w:t>
      </w:r>
      <w:r>
        <w:rPr>
          <w:lang w:val="en-US"/>
        </w:rPr>
        <w:t xml:space="preserve">were </w:t>
      </w:r>
      <w:r w:rsidRPr="007862F2">
        <w:rPr>
          <w:lang w:val="en-US"/>
        </w:rPr>
        <w:t>not considered.</w:t>
      </w:r>
    </w:p>
    <w:p w14:paraId="52C4CDF9" w14:textId="77777777" w:rsidR="004A6964" w:rsidRDefault="004A6964" w:rsidP="004A6964"/>
    <w:p w14:paraId="631EB4AD" w14:textId="77777777" w:rsidR="004A6964" w:rsidRDefault="004A6964" w:rsidP="004A6964">
      <w:r>
        <w:t xml:space="preserve">ESC noted that the critique identified an error in the epidemiology approach. The number of anaemic patients was multiplied by 3.7% to estimate the number eligible for sTfR testing. However, the 3.7% figure is the proportion of iron and full blood count studies that are in the eligible population, not the proportion of anaemic patients that are in the eligible population. </w:t>
      </w:r>
    </w:p>
    <w:p w14:paraId="2C064E47" w14:textId="77777777" w:rsidR="004A6964" w:rsidRDefault="004A6964" w:rsidP="004A6964">
      <w:r>
        <w:t>The critique calculated that the proportion applied to the total anaemia patients should be 3.05%. The corrected values are much lower (approximately 18%) and even more discordant with the market share approach taken in the base case.</w:t>
      </w:r>
    </w:p>
    <w:p w14:paraId="08F5D62F" w14:textId="77777777" w:rsidR="004A6964" w:rsidRDefault="004A6964" w:rsidP="004A6964">
      <w:r>
        <w:t>ESC noted that the estimated direct cost to the MBS in 2018 is $9.6 million rising to $11.3 million in 2021. When the additional cost of switching from ferritin quantitation to iron studies is included, the cost rises to $18.6 million in 2018 and $21.8 million in 2021. ESC noted that these estimates are based on the 85% rebate, but it is not known how many tests would be undertaken in hospital. ESC noted that the estimates are also uncertain because the clinical pathway is heterogeneous and uptake of the test is unknown.</w:t>
      </w:r>
    </w:p>
    <w:p w14:paraId="5A267B20" w14:textId="77777777" w:rsidR="004A6964" w:rsidRDefault="004A6964" w:rsidP="004A6964"/>
    <w:p w14:paraId="114E615B" w14:textId="77777777" w:rsidR="004A6964" w:rsidRDefault="004A6964" w:rsidP="004A6964">
      <w:r>
        <w:t xml:space="preserve">ESC noted that most iron studies are performed for patients in the community sector and are bulk-billed, so out-of-pocket expense for patients is small. However, with </w:t>
      </w:r>
      <w:r w:rsidR="009F0CCC">
        <w:t xml:space="preserve">more than </w:t>
      </w:r>
      <w:r>
        <w:t xml:space="preserve">6 million iron studies tests per year ($200 million in 2017), the potential implications for the MBS budget of adding this test are significant. </w:t>
      </w:r>
    </w:p>
    <w:p w14:paraId="06F994A9" w14:textId="77777777" w:rsidR="004A6964" w:rsidRDefault="004A6964" w:rsidP="004A6964"/>
    <w:p w14:paraId="2FC8DE81" w14:textId="77777777" w:rsidR="004A6964" w:rsidRDefault="004A6964" w:rsidP="004A6964">
      <w:r w:rsidRPr="007A2E51">
        <w:t>ESC noted that there is active debate in the expert community about</w:t>
      </w:r>
      <w:r>
        <w:t xml:space="preserve"> the use of</w:t>
      </w:r>
      <w:r w:rsidRPr="007A2E51">
        <w:t xml:space="preserve"> ferr</w:t>
      </w:r>
      <w:r>
        <w:t>i</w:t>
      </w:r>
      <w:r w:rsidRPr="007A2E51">
        <w:t xml:space="preserve">tin </w:t>
      </w:r>
      <w:r>
        <w:t>versus</w:t>
      </w:r>
      <w:r w:rsidRPr="007A2E51">
        <w:t xml:space="preserve"> iron</w:t>
      </w:r>
      <w:r>
        <w:t xml:space="preserve"> studies</w:t>
      </w:r>
      <w:r w:rsidRPr="007A2E51">
        <w:t xml:space="preserve">. </w:t>
      </w:r>
    </w:p>
    <w:p w14:paraId="480CBCCD" w14:textId="77777777" w:rsidR="004A6964" w:rsidRDefault="004A6964" w:rsidP="004A6964"/>
    <w:p w14:paraId="2BB3D852" w14:textId="77777777" w:rsidR="004A6964" w:rsidRDefault="004A6964" w:rsidP="004A6964">
      <w:r>
        <w:t>ESC queried whether there w</w:t>
      </w:r>
      <w:r w:rsidRPr="007A2E51">
        <w:t xml:space="preserve">as a lost opportunity with </w:t>
      </w:r>
      <w:r>
        <w:t>the analysis in the application.</w:t>
      </w:r>
      <w:r w:rsidRPr="007A2E51">
        <w:t xml:space="preserve"> </w:t>
      </w:r>
      <w:r>
        <w:t>Limiting the</w:t>
      </w:r>
      <w:r w:rsidRPr="007A2E51">
        <w:t xml:space="preserve"> population </w:t>
      </w:r>
      <w:r>
        <w:t>to</w:t>
      </w:r>
      <w:r w:rsidRPr="007A2E51">
        <w:t xml:space="preserve"> patient</w:t>
      </w:r>
      <w:r>
        <w:t>s</w:t>
      </w:r>
      <w:r w:rsidRPr="007A2E51">
        <w:t xml:space="preserve"> having full panel iron studies missed out a group of patients who had full </w:t>
      </w:r>
      <w:r>
        <w:t>blood count</w:t>
      </w:r>
      <w:r w:rsidRPr="007A2E51">
        <w:t xml:space="preserve"> </w:t>
      </w:r>
      <w:r>
        <w:t>and</w:t>
      </w:r>
      <w:r w:rsidRPr="007A2E51">
        <w:t xml:space="preserve"> ferritin</w:t>
      </w:r>
      <w:r>
        <w:t xml:space="preserve"> tests</w:t>
      </w:r>
      <w:r w:rsidRPr="007A2E51">
        <w:t xml:space="preserve">. </w:t>
      </w:r>
      <w:r>
        <w:t xml:space="preserve">ESC noted that the Department intended there </w:t>
      </w:r>
      <w:r w:rsidRPr="007A2E51">
        <w:t xml:space="preserve">to be </w:t>
      </w:r>
      <w:r>
        <w:t>two</w:t>
      </w:r>
      <w:r w:rsidRPr="007A2E51">
        <w:t xml:space="preserve"> pathways and </w:t>
      </w:r>
      <w:r>
        <w:t>two</w:t>
      </w:r>
      <w:r w:rsidRPr="007A2E51">
        <w:t xml:space="preserve"> comparators.</w:t>
      </w:r>
      <w:r>
        <w:t xml:space="preserve"> </w:t>
      </w:r>
    </w:p>
    <w:p w14:paraId="2D7E7F15" w14:textId="77777777" w:rsidR="004A6964" w:rsidRDefault="004A6964" w:rsidP="004A6964"/>
    <w:p w14:paraId="68DE126E" w14:textId="5AC33F17" w:rsidR="004A6964" w:rsidRDefault="004A6964" w:rsidP="004A6964">
      <w:r>
        <w:t xml:space="preserve">ESC noted that the MBS Review was concerned that more ferritin testing should be done rather than iron studies to investigate iron deficiency. ESC considered that this has good grounds because there is a $12 price difference, which is significant when there are more than </w:t>
      </w:r>
      <w:r w:rsidR="009F0CCC">
        <w:t>6</w:t>
      </w:r>
      <w:r>
        <w:t> million tests. One option could be that the first test is always ferritin. If the result was low (e.g. 15–20 µg/L), no further testing would be required. If the ferritin level is 30–100 µg/L, then the full iron study could be done as a reflex test.</w:t>
      </w:r>
    </w:p>
    <w:p w14:paraId="2A7602F1" w14:textId="77777777" w:rsidR="004A6964" w:rsidRDefault="004A6964" w:rsidP="004A6964"/>
    <w:p w14:paraId="348E9C8E" w14:textId="15DA1D5F" w:rsidR="004A6964" w:rsidRDefault="004A6964" w:rsidP="005112C9">
      <w:r>
        <w:t>ESC suggested that MSAC could investigate potential options for the future, such as the use of ferritin tests for specific indications, or the potential to incorporate sTfR into a different pathway, as a bundle with iron studies rather than as an additional test.</w:t>
      </w:r>
      <w:r w:rsidRPr="007A2E51">
        <w:t xml:space="preserve"> </w:t>
      </w:r>
      <w:r>
        <w:t xml:space="preserve">ESC queried whether </w:t>
      </w:r>
      <w:r>
        <w:lastRenderedPageBreak/>
        <w:t>there should be different item numbers for different populations, for ease of service provision.</w:t>
      </w:r>
    </w:p>
    <w:p w14:paraId="5E18B1B3" w14:textId="77777777" w:rsidR="00D90A38" w:rsidRPr="00F715D1" w:rsidRDefault="00BC1364" w:rsidP="00F715D1">
      <w:pPr>
        <w:pStyle w:val="Heading1"/>
      </w:pPr>
      <w:r w:rsidRPr="00F715D1">
        <w:t>Other significant factors</w:t>
      </w:r>
    </w:p>
    <w:p w14:paraId="7466101E" w14:textId="77777777" w:rsidR="00BC1364" w:rsidRPr="00D06F33" w:rsidRDefault="00BC1364" w:rsidP="00F715D1">
      <w:pPr>
        <w:spacing w:after="240"/>
        <w:rPr>
          <w:szCs w:val="24"/>
        </w:rPr>
      </w:pPr>
      <w:r w:rsidRPr="00D06F33">
        <w:rPr>
          <w:szCs w:val="24"/>
        </w:rPr>
        <w:t>Nil</w:t>
      </w:r>
    </w:p>
    <w:p w14:paraId="0A8544EA" w14:textId="77777777" w:rsidR="00BC1364" w:rsidRPr="00F715D1" w:rsidRDefault="00BC1364" w:rsidP="00F715D1">
      <w:pPr>
        <w:pStyle w:val="Heading1"/>
      </w:pPr>
      <w:r w:rsidRPr="00F715D1">
        <w:t xml:space="preserve">Applicant’s comments on MSAC’s </w:t>
      </w:r>
      <w:r w:rsidR="00DA56AA" w:rsidRPr="00F715D1">
        <w:t>Public Summary Document</w:t>
      </w:r>
    </w:p>
    <w:p w14:paraId="35B17BC8" w14:textId="1594698D" w:rsidR="00BC1364" w:rsidRPr="00A30BD8" w:rsidRDefault="00A30BD8" w:rsidP="00F715D1">
      <w:pPr>
        <w:spacing w:after="240"/>
        <w:rPr>
          <w:szCs w:val="24"/>
        </w:rPr>
      </w:pPr>
      <w:r w:rsidRPr="00A30BD8">
        <w:rPr>
          <w:szCs w:val="24"/>
        </w:rPr>
        <w:t>The applicant is disappointed with the outcome for this application.</w:t>
      </w:r>
    </w:p>
    <w:p w14:paraId="74E67907" w14:textId="77777777" w:rsidR="00BC1364" w:rsidRPr="00F715D1" w:rsidRDefault="00271F18" w:rsidP="00F715D1">
      <w:pPr>
        <w:pStyle w:val="Heading1"/>
      </w:pPr>
      <w:r w:rsidRPr="00F715D1">
        <w:t>Further information on MSAC</w:t>
      </w:r>
    </w:p>
    <w:p w14:paraId="48BDE56C"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4C7637" w16cid:durableId="1FD9B954"/>
  <w16cid:commentId w16cid:paraId="005FEEA1" w16cid:durableId="1FD9B955"/>
  <w16cid:commentId w16cid:paraId="7B52575F" w16cid:durableId="1FD9B956"/>
  <w16cid:commentId w16cid:paraId="20EEE342" w16cid:durableId="1FD9B957"/>
  <w16cid:commentId w16cid:paraId="079113B3" w16cid:durableId="1FD9B958"/>
  <w16cid:commentId w16cid:paraId="63AD80C2" w16cid:durableId="1FD9C54E"/>
  <w16cid:commentId w16cid:paraId="12317E4D" w16cid:durableId="1FD9B959"/>
  <w16cid:commentId w16cid:paraId="0FC71210" w16cid:durableId="1FD9B95A"/>
  <w16cid:commentId w16cid:paraId="630CAB3B" w16cid:durableId="1FD9B95B"/>
  <w16cid:commentId w16cid:paraId="7811D1D8" w16cid:durableId="1FD9B95C"/>
  <w16cid:commentId w16cid:paraId="5EAC3C62" w16cid:durableId="1FD9B95D"/>
  <w16cid:commentId w16cid:paraId="1095719E" w16cid:durableId="1FD9B95E"/>
  <w16cid:commentId w16cid:paraId="50347118" w16cid:durableId="1FD9B95F"/>
  <w16cid:commentId w16cid:paraId="06E3967D" w16cid:durableId="1FD9B960"/>
  <w16cid:commentId w16cid:paraId="6410FB0C" w16cid:durableId="1FD9B961"/>
  <w16cid:commentId w16cid:paraId="7A7BD9B1" w16cid:durableId="1FD9B9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1748" w14:textId="77777777" w:rsidR="00B7190D" w:rsidRDefault="00B7190D" w:rsidP="00065623">
      <w:r>
        <w:separator/>
      </w:r>
    </w:p>
  </w:endnote>
  <w:endnote w:type="continuationSeparator" w:id="0">
    <w:p w14:paraId="5C5C43F6" w14:textId="77777777" w:rsidR="00B7190D" w:rsidRDefault="00B7190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1C41" w14:textId="77777777" w:rsidR="00B432DC" w:rsidRDefault="00B43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BE77AA4" w14:textId="6C7A355C" w:rsidR="00352224" w:rsidRDefault="00352224">
        <w:pPr>
          <w:pStyle w:val="Footer"/>
          <w:jc w:val="right"/>
        </w:pPr>
        <w:r>
          <w:fldChar w:fldCharType="begin"/>
        </w:r>
        <w:r>
          <w:instrText xml:space="preserve"> PAGE   \* MERGEFORMAT </w:instrText>
        </w:r>
        <w:r>
          <w:fldChar w:fldCharType="separate"/>
        </w:r>
        <w:r w:rsidR="00B432DC">
          <w:rPr>
            <w:noProof/>
          </w:rPr>
          <w:t>1</w:t>
        </w:r>
        <w:r>
          <w:rPr>
            <w:noProof/>
          </w:rPr>
          <w:fldChar w:fldCharType="end"/>
        </w:r>
      </w:p>
    </w:sdtContent>
  </w:sdt>
  <w:p w14:paraId="5A58CA81" w14:textId="77777777" w:rsidR="00BC1364" w:rsidRDefault="00BC1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2657" w14:textId="77777777" w:rsidR="00B432DC" w:rsidRDefault="00B4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BC10B" w14:textId="77777777" w:rsidR="00B7190D" w:rsidRDefault="00B7190D" w:rsidP="00065623">
      <w:r>
        <w:separator/>
      </w:r>
    </w:p>
  </w:footnote>
  <w:footnote w:type="continuationSeparator" w:id="0">
    <w:p w14:paraId="2B2D26B2" w14:textId="77777777" w:rsidR="00B7190D" w:rsidRDefault="00B7190D"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BDE3" w14:textId="77777777" w:rsidR="00B432DC" w:rsidRDefault="00B43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ED9AF" w14:textId="77777777" w:rsidR="00B432DC" w:rsidRDefault="00B43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E363" w14:textId="77777777" w:rsidR="00B432DC" w:rsidRDefault="00B43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F46E9"/>
    <w:multiLevelType w:val="hybridMultilevel"/>
    <w:tmpl w:val="404AB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9A1BF1"/>
    <w:multiLevelType w:val="hybridMultilevel"/>
    <w:tmpl w:val="4B205D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35BB0"/>
    <w:multiLevelType w:val="hybridMultilevel"/>
    <w:tmpl w:val="8F1C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7AB6A58"/>
    <w:multiLevelType w:val="hybridMultilevel"/>
    <w:tmpl w:val="F6DAA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C12190"/>
    <w:multiLevelType w:val="hybridMultilevel"/>
    <w:tmpl w:val="22D6E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
  </w:num>
  <w:num w:numId="4">
    <w:abstractNumId w:val="16"/>
  </w:num>
  <w:num w:numId="5">
    <w:abstractNumId w:val="10"/>
  </w:num>
  <w:num w:numId="6">
    <w:abstractNumId w:val="15"/>
  </w:num>
  <w:num w:numId="7">
    <w:abstractNumId w:val="21"/>
  </w:num>
  <w:num w:numId="8">
    <w:abstractNumId w:val="11"/>
  </w:num>
  <w:num w:numId="9">
    <w:abstractNumId w:val="30"/>
  </w:num>
  <w:num w:numId="10">
    <w:abstractNumId w:val="0"/>
  </w:num>
  <w:num w:numId="11">
    <w:abstractNumId w:val="20"/>
  </w:num>
  <w:num w:numId="12">
    <w:abstractNumId w:val="22"/>
  </w:num>
  <w:num w:numId="13">
    <w:abstractNumId w:val="4"/>
  </w:num>
  <w:num w:numId="14">
    <w:abstractNumId w:val="28"/>
  </w:num>
  <w:num w:numId="15">
    <w:abstractNumId w:val="19"/>
  </w:num>
  <w:num w:numId="16">
    <w:abstractNumId w:val="23"/>
  </w:num>
  <w:num w:numId="17">
    <w:abstractNumId w:val="12"/>
  </w:num>
  <w:num w:numId="18">
    <w:abstractNumId w:val="13"/>
  </w:num>
  <w:num w:numId="19">
    <w:abstractNumId w:val="27"/>
  </w:num>
  <w:num w:numId="20">
    <w:abstractNumId w:val="24"/>
  </w:num>
  <w:num w:numId="21">
    <w:abstractNumId w:val="3"/>
  </w:num>
  <w:num w:numId="22">
    <w:abstractNumId w:val="8"/>
  </w:num>
  <w:num w:numId="23">
    <w:abstractNumId w:val="2"/>
  </w:num>
  <w:num w:numId="24">
    <w:abstractNumId w:val="7"/>
  </w:num>
  <w:num w:numId="25">
    <w:abstractNumId w:val="5"/>
  </w:num>
  <w:num w:numId="26">
    <w:abstractNumId w:val="25"/>
  </w:num>
  <w:num w:numId="27">
    <w:abstractNumId w:val="26"/>
  </w:num>
  <w:num w:numId="28">
    <w:abstractNumId w:val="9"/>
  </w:num>
  <w:num w:numId="29">
    <w:abstractNumId w:val="29"/>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66C6"/>
    <w:rsid w:val="00007312"/>
    <w:rsid w:val="00011A36"/>
    <w:rsid w:val="00015CD3"/>
    <w:rsid w:val="00031287"/>
    <w:rsid w:val="00040DBB"/>
    <w:rsid w:val="00046460"/>
    <w:rsid w:val="00047606"/>
    <w:rsid w:val="00065468"/>
    <w:rsid w:val="00065623"/>
    <w:rsid w:val="000756B9"/>
    <w:rsid w:val="000817AC"/>
    <w:rsid w:val="00082BC8"/>
    <w:rsid w:val="00085D90"/>
    <w:rsid w:val="00085FB4"/>
    <w:rsid w:val="00096B67"/>
    <w:rsid w:val="00096DAF"/>
    <w:rsid w:val="000C2F47"/>
    <w:rsid w:val="000D166D"/>
    <w:rsid w:val="000D2B9A"/>
    <w:rsid w:val="000D6C00"/>
    <w:rsid w:val="000E4E04"/>
    <w:rsid w:val="000F0E01"/>
    <w:rsid w:val="000F14B4"/>
    <w:rsid w:val="000F3B2D"/>
    <w:rsid w:val="000F75DF"/>
    <w:rsid w:val="0010075C"/>
    <w:rsid w:val="001023DC"/>
    <w:rsid w:val="00117AF2"/>
    <w:rsid w:val="001328FA"/>
    <w:rsid w:val="0013540C"/>
    <w:rsid w:val="00147AAF"/>
    <w:rsid w:val="00152619"/>
    <w:rsid w:val="001552C0"/>
    <w:rsid w:val="001640B1"/>
    <w:rsid w:val="00165223"/>
    <w:rsid w:val="00165D26"/>
    <w:rsid w:val="0018435E"/>
    <w:rsid w:val="002041A1"/>
    <w:rsid w:val="002054F0"/>
    <w:rsid w:val="00230D6B"/>
    <w:rsid w:val="00232068"/>
    <w:rsid w:val="002330F2"/>
    <w:rsid w:val="0023773C"/>
    <w:rsid w:val="00243D9E"/>
    <w:rsid w:val="00246657"/>
    <w:rsid w:val="002504E3"/>
    <w:rsid w:val="00253B66"/>
    <w:rsid w:val="00261DF1"/>
    <w:rsid w:val="00267D08"/>
    <w:rsid w:val="00271F18"/>
    <w:rsid w:val="00282779"/>
    <w:rsid w:val="0028334D"/>
    <w:rsid w:val="00294A82"/>
    <w:rsid w:val="002A63AE"/>
    <w:rsid w:val="002B7FFA"/>
    <w:rsid w:val="002C2BCF"/>
    <w:rsid w:val="002F279D"/>
    <w:rsid w:val="002F43B8"/>
    <w:rsid w:val="002F54EE"/>
    <w:rsid w:val="0030325F"/>
    <w:rsid w:val="00321A77"/>
    <w:rsid w:val="00325F21"/>
    <w:rsid w:val="00336856"/>
    <w:rsid w:val="00340D10"/>
    <w:rsid w:val="0034554D"/>
    <w:rsid w:val="00352224"/>
    <w:rsid w:val="003671E6"/>
    <w:rsid w:val="0037020B"/>
    <w:rsid w:val="00384272"/>
    <w:rsid w:val="00386D67"/>
    <w:rsid w:val="0039105B"/>
    <w:rsid w:val="003945B8"/>
    <w:rsid w:val="00395A37"/>
    <w:rsid w:val="003D7F29"/>
    <w:rsid w:val="003F6B6A"/>
    <w:rsid w:val="003F73F0"/>
    <w:rsid w:val="00405A6B"/>
    <w:rsid w:val="00407B1F"/>
    <w:rsid w:val="00410D8F"/>
    <w:rsid w:val="0041184F"/>
    <w:rsid w:val="00414C57"/>
    <w:rsid w:val="0041577A"/>
    <w:rsid w:val="0041758C"/>
    <w:rsid w:val="004219F5"/>
    <w:rsid w:val="00447AD7"/>
    <w:rsid w:val="004539DE"/>
    <w:rsid w:val="00480753"/>
    <w:rsid w:val="004A2CF1"/>
    <w:rsid w:val="004A671E"/>
    <w:rsid w:val="004A6964"/>
    <w:rsid w:val="004C3035"/>
    <w:rsid w:val="004C307F"/>
    <w:rsid w:val="004D61EF"/>
    <w:rsid w:val="004D6213"/>
    <w:rsid w:val="004E4BA8"/>
    <w:rsid w:val="004F340F"/>
    <w:rsid w:val="004F7B7C"/>
    <w:rsid w:val="005056C4"/>
    <w:rsid w:val="005112C9"/>
    <w:rsid w:val="0052243D"/>
    <w:rsid w:val="0052733B"/>
    <w:rsid w:val="00532435"/>
    <w:rsid w:val="005410E0"/>
    <w:rsid w:val="00544556"/>
    <w:rsid w:val="00550354"/>
    <w:rsid w:val="005601AC"/>
    <w:rsid w:val="0056496C"/>
    <w:rsid w:val="00571236"/>
    <w:rsid w:val="00586DA8"/>
    <w:rsid w:val="005953A1"/>
    <w:rsid w:val="005A4362"/>
    <w:rsid w:val="005A5A6A"/>
    <w:rsid w:val="005B5434"/>
    <w:rsid w:val="005C0DAB"/>
    <w:rsid w:val="005C2930"/>
    <w:rsid w:val="005D0332"/>
    <w:rsid w:val="005D0D8C"/>
    <w:rsid w:val="005E14CA"/>
    <w:rsid w:val="005E71A3"/>
    <w:rsid w:val="006058EA"/>
    <w:rsid w:val="006200A4"/>
    <w:rsid w:val="006776AE"/>
    <w:rsid w:val="00683F8E"/>
    <w:rsid w:val="00695DB9"/>
    <w:rsid w:val="006A0D97"/>
    <w:rsid w:val="006B1F86"/>
    <w:rsid w:val="006B2AA6"/>
    <w:rsid w:val="006C0A91"/>
    <w:rsid w:val="006C17CD"/>
    <w:rsid w:val="006D04B9"/>
    <w:rsid w:val="006E312B"/>
    <w:rsid w:val="007054BB"/>
    <w:rsid w:val="00707064"/>
    <w:rsid w:val="007118ED"/>
    <w:rsid w:val="00730683"/>
    <w:rsid w:val="007337D2"/>
    <w:rsid w:val="00737965"/>
    <w:rsid w:val="0075261F"/>
    <w:rsid w:val="0075468E"/>
    <w:rsid w:val="007665D8"/>
    <w:rsid w:val="00766E36"/>
    <w:rsid w:val="007765F4"/>
    <w:rsid w:val="00776633"/>
    <w:rsid w:val="00784267"/>
    <w:rsid w:val="00784D53"/>
    <w:rsid w:val="0078654B"/>
    <w:rsid w:val="00797797"/>
    <w:rsid w:val="007A63C9"/>
    <w:rsid w:val="007B32D1"/>
    <w:rsid w:val="007B7095"/>
    <w:rsid w:val="007D24E1"/>
    <w:rsid w:val="007D6288"/>
    <w:rsid w:val="007F4CE9"/>
    <w:rsid w:val="007F4E20"/>
    <w:rsid w:val="00815A2B"/>
    <w:rsid w:val="00822C7E"/>
    <w:rsid w:val="00823D63"/>
    <w:rsid w:val="00840704"/>
    <w:rsid w:val="00847060"/>
    <w:rsid w:val="00847A36"/>
    <w:rsid w:val="00856A33"/>
    <w:rsid w:val="00857A31"/>
    <w:rsid w:val="00873C94"/>
    <w:rsid w:val="00892620"/>
    <w:rsid w:val="008A565B"/>
    <w:rsid w:val="008B7A90"/>
    <w:rsid w:val="008C7D37"/>
    <w:rsid w:val="008D0AAA"/>
    <w:rsid w:val="008D5885"/>
    <w:rsid w:val="008E275B"/>
    <w:rsid w:val="00923FA2"/>
    <w:rsid w:val="0096060D"/>
    <w:rsid w:val="009667BA"/>
    <w:rsid w:val="00974A50"/>
    <w:rsid w:val="0097585A"/>
    <w:rsid w:val="00987CBA"/>
    <w:rsid w:val="009924B0"/>
    <w:rsid w:val="009942C9"/>
    <w:rsid w:val="009B0256"/>
    <w:rsid w:val="009B35C4"/>
    <w:rsid w:val="009B4BCD"/>
    <w:rsid w:val="009C3BDA"/>
    <w:rsid w:val="009C630A"/>
    <w:rsid w:val="009E0D98"/>
    <w:rsid w:val="009F0CCC"/>
    <w:rsid w:val="009F26D3"/>
    <w:rsid w:val="00A016A4"/>
    <w:rsid w:val="00A05793"/>
    <w:rsid w:val="00A068A1"/>
    <w:rsid w:val="00A1207D"/>
    <w:rsid w:val="00A12DEF"/>
    <w:rsid w:val="00A12FD8"/>
    <w:rsid w:val="00A30BD8"/>
    <w:rsid w:val="00A346FC"/>
    <w:rsid w:val="00A3728B"/>
    <w:rsid w:val="00A610F7"/>
    <w:rsid w:val="00A65B47"/>
    <w:rsid w:val="00A846F2"/>
    <w:rsid w:val="00A84F93"/>
    <w:rsid w:val="00A87E78"/>
    <w:rsid w:val="00AB101B"/>
    <w:rsid w:val="00AB1AC5"/>
    <w:rsid w:val="00AB3BFC"/>
    <w:rsid w:val="00AC4F2E"/>
    <w:rsid w:val="00AD0C37"/>
    <w:rsid w:val="00AD385F"/>
    <w:rsid w:val="00AE6E2A"/>
    <w:rsid w:val="00B03EAB"/>
    <w:rsid w:val="00B22CEF"/>
    <w:rsid w:val="00B31E9C"/>
    <w:rsid w:val="00B35595"/>
    <w:rsid w:val="00B36AE0"/>
    <w:rsid w:val="00B432DC"/>
    <w:rsid w:val="00B51184"/>
    <w:rsid w:val="00B51C6D"/>
    <w:rsid w:val="00B57530"/>
    <w:rsid w:val="00B62164"/>
    <w:rsid w:val="00B7190D"/>
    <w:rsid w:val="00B7714E"/>
    <w:rsid w:val="00B83DD2"/>
    <w:rsid w:val="00B86D64"/>
    <w:rsid w:val="00BA4AC5"/>
    <w:rsid w:val="00BC1364"/>
    <w:rsid w:val="00BC2667"/>
    <w:rsid w:val="00BC7DE9"/>
    <w:rsid w:val="00BF479B"/>
    <w:rsid w:val="00C02577"/>
    <w:rsid w:val="00C055BF"/>
    <w:rsid w:val="00C115AF"/>
    <w:rsid w:val="00C204FB"/>
    <w:rsid w:val="00C20BEE"/>
    <w:rsid w:val="00C2158D"/>
    <w:rsid w:val="00C536B2"/>
    <w:rsid w:val="00C67DD2"/>
    <w:rsid w:val="00C725CB"/>
    <w:rsid w:val="00C76F5C"/>
    <w:rsid w:val="00C84BEC"/>
    <w:rsid w:val="00C9082A"/>
    <w:rsid w:val="00C96797"/>
    <w:rsid w:val="00C96BAD"/>
    <w:rsid w:val="00CA5D5D"/>
    <w:rsid w:val="00CA6944"/>
    <w:rsid w:val="00CB0F8E"/>
    <w:rsid w:val="00CB7E7D"/>
    <w:rsid w:val="00CC2911"/>
    <w:rsid w:val="00CC7DE8"/>
    <w:rsid w:val="00CE47DF"/>
    <w:rsid w:val="00CF0C6D"/>
    <w:rsid w:val="00CF2945"/>
    <w:rsid w:val="00CF33CC"/>
    <w:rsid w:val="00CF7307"/>
    <w:rsid w:val="00CF75BF"/>
    <w:rsid w:val="00CF7C68"/>
    <w:rsid w:val="00D06F33"/>
    <w:rsid w:val="00D124FA"/>
    <w:rsid w:val="00D340DE"/>
    <w:rsid w:val="00D433A1"/>
    <w:rsid w:val="00D455D5"/>
    <w:rsid w:val="00D55723"/>
    <w:rsid w:val="00D62AFC"/>
    <w:rsid w:val="00D62FAD"/>
    <w:rsid w:val="00D64355"/>
    <w:rsid w:val="00D652B0"/>
    <w:rsid w:val="00D70450"/>
    <w:rsid w:val="00D83BFD"/>
    <w:rsid w:val="00D90A38"/>
    <w:rsid w:val="00DA0515"/>
    <w:rsid w:val="00DA171E"/>
    <w:rsid w:val="00DA56AA"/>
    <w:rsid w:val="00DA587D"/>
    <w:rsid w:val="00DB27AB"/>
    <w:rsid w:val="00DB30B9"/>
    <w:rsid w:val="00DB5833"/>
    <w:rsid w:val="00DC0B4C"/>
    <w:rsid w:val="00DD08FD"/>
    <w:rsid w:val="00DD2858"/>
    <w:rsid w:val="00E002DE"/>
    <w:rsid w:val="00E03E33"/>
    <w:rsid w:val="00E059E0"/>
    <w:rsid w:val="00E27E59"/>
    <w:rsid w:val="00E3193D"/>
    <w:rsid w:val="00E3642A"/>
    <w:rsid w:val="00E415C4"/>
    <w:rsid w:val="00E46B01"/>
    <w:rsid w:val="00E50016"/>
    <w:rsid w:val="00E50EAA"/>
    <w:rsid w:val="00E61080"/>
    <w:rsid w:val="00E656D6"/>
    <w:rsid w:val="00E96F6A"/>
    <w:rsid w:val="00E977EE"/>
    <w:rsid w:val="00EA2F24"/>
    <w:rsid w:val="00EA67A2"/>
    <w:rsid w:val="00EB630F"/>
    <w:rsid w:val="00EB6B6F"/>
    <w:rsid w:val="00EC4F98"/>
    <w:rsid w:val="00ED6DA2"/>
    <w:rsid w:val="00EF1E13"/>
    <w:rsid w:val="00F0734B"/>
    <w:rsid w:val="00F12F02"/>
    <w:rsid w:val="00F15FCE"/>
    <w:rsid w:val="00F20935"/>
    <w:rsid w:val="00F23FFF"/>
    <w:rsid w:val="00F32E0D"/>
    <w:rsid w:val="00F336CF"/>
    <w:rsid w:val="00F35134"/>
    <w:rsid w:val="00F37B9C"/>
    <w:rsid w:val="00F41812"/>
    <w:rsid w:val="00F70382"/>
    <w:rsid w:val="00F70F97"/>
    <w:rsid w:val="00F715D1"/>
    <w:rsid w:val="00F72715"/>
    <w:rsid w:val="00F73333"/>
    <w:rsid w:val="00F85720"/>
    <w:rsid w:val="00F95D8F"/>
    <w:rsid w:val="00FA6295"/>
    <w:rsid w:val="00FB350A"/>
    <w:rsid w:val="00FB4C5D"/>
    <w:rsid w:val="00FC0008"/>
    <w:rsid w:val="00FC1696"/>
    <w:rsid w:val="00FC7A7E"/>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3D9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Centre">
    <w:name w:val="Table Centre"/>
    <w:basedOn w:val="Normal"/>
    <w:uiPriority w:val="99"/>
    <w:qFormat/>
    <w:rsid w:val="00857A31"/>
    <w:pPr>
      <w:jc w:val="center"/>
    </w:pPr>
    <w:rPr>
      <w:rFonts w:ascii="Candara" w:eastAsiaTheme="majorEastAsia" w:hAnsi="Candara" w:cstheme="majorBidi"/>
      <w:sz w:val="20"/>
      <w:szCs w:val="22"/>
      <w:lang w:eastAsia="en-US" w:bidi="en-US"/>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D455D5"/>
    <w:pPr>
      <w:spacing w:after="120"/>
    </w:pPr>
    <w:rPr>
      <w:rFonts w:ascii="Arial Narrow" w:hAnsi="Arial Narrow" w:cs="Tahoma"/>
      <w:b/>
      <w:bCs/>
      <w:sz w:val="20"/>
      <w:szCs w:val="22"/>
    </w:rPr>
  </w:style>
  <w:style w:type="paragraph" w:customStyle="1" w:styleId="TableText">
    <w:name w:val="Table Text"/>
    <w:basedOn w:val="Normal"/>
    <w:link w:val="TableTextChar"/>
    <w:qFormat/>
    <w:rsid w:val="00D455D5"/>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D455D5"/>
    <w:rPr>
      <w:rFonts w:ascii="Arial Narrow" w:eastAsia="Times New Roman" w:hAnsi="Arial Narrow" w:cs="Tahoma"/>
      <w:sz w:val="20"/>
      <w:lang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D455D5"/>
    <w:rPr>
      <w:rFonts w:ascii="Arial Narrow" w:eastAsia="Times New Roman" w:hAnsi="Arial Narrow" w:cs="Tahoma"/>
      <w:b/>
      <w:bCs/>
      <w:sz w:val="20"/>
    </w:rPr>
  </w:style>
  <w:style w:type="table" w:customStyle="1" w:styleId="Style2">
    <w:name w:val="Style2"/>
    <w:basedOn w:val="TableClassic1"/>
    <w:uiPriority w:val="99"/>
    <w:rsid w:val="00D455D5"/>
    <w:pPr>
      <w:spacing w:after="240" w:line="312" w:lineRule="auto"/>
    </w:pPr>
    <w:rPr>
      <w:rFonts w:eastAsia="Times New Roman"/>
      <w:sz w:val="20"/>
      <w:szCs w:val="20"/>
      <w:lang w:eastAsia="en-US"/>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455D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3">
    <w:name w:val="Style3"/>
    <w:basedOn w:val="TableClassic1"/>
    <w:uiPriority w:val="99"/>
    <w:rsid w:val="006058EA"/>
    <w:pPr>
      <w:spacing w:after="240" w:line="312" w:lineRule="auto"/>
    </w:pPr>
    <w:rPr>
      <w:rFonts w:eastAsia="Times New Roman"/>
      <w:sz w:val="20"/>
      <w:szCs w:val="20"/>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notes">
    <w:name w:val="Tablenotes"/>
    <w:basedOn w:val="Normal"/>
    <w:link w:val="TablenotesChar"/>
    <w:qFormat/>
    <w:rsid w:val="00040DBB"/>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040DBB"/>
    <w:rPr>
      <w:rFonts w:ascii="Arial Narrow" w:eastAsia="Times New Roman" w:hAnsi="Arial Narrow" w:cs="Arial"/>
      <w:snapToGrid w:val="0"/>
      <w:sz w:val="18"/>
      <w:szCs w:val="20"/>
      <w:lang w:eastAsia="en-US"/>
    </w:rPr>
  </w:style>
  <w:style w:type="paragraph" w:customStyle="1" w:styleId="Tabletext0">
    <w:name w:val="Table text"/>
    <w:basedOn w:val="Normal"/>
    <w:link w:val="TabletextChar0"/>
    <w:qFormat/>
    <w:rsid w:val="00683F8E"/>
    <w:pPr>
      <w:spacing w:before="40" w:after="40"/>
    </w:pPr>
    <w:rPr>
      <w:rFonts w:ascii="Arial Narrow" w:hAnsi="Arial Narrow" w:cs="Tahoma"/>
      <w:sz w:val="20"/>
    </w:rPr>
  </w:style>
  <w:style w:type="character" w:customStyle="1" w:styleId="TabletextChar0">
    <w:name w:val="Table text Char"/>
    <w:link w:val="Tabletext0"/>
    <w:rsid w:val="00683F8E"/>
    <w:rPr>
      <w:rFonts w:ascii="Arial Narrow" w:eastAsia="Times New Roman" w:hAnsi="Arial Narrow" w:cs="Tahoma"/>
      <w:sz w:val="20"/>
      <w:szCs w:val="20"/>
    </w:rPr>
  </w:style>
  <w:style w:type="table" w:styleId="TableGrid">
    <w:name w:val="Table Grid"/>
    <w:basedOn w:val="TableNormal"/>
    <w:uiPriority w:val="59"/>
    <w:locked/>
    <w:rsid w:val="00085FB4"/>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ffect">
    <w:name w:val="effect"/>
    <w:basedOn w:val="DefaultParagraphFont"/>
    <w:rsid w:val="00085FB4"/>
  </w:style>
  <w:style w:type="paragraph" w:customStyle="1" w:styleId="TableHeading">
    <w:name w:val="TableHeading"/>
    <w:basedOn w:val="Normal"/>
    <w:link w:val="TableHeadingChar"/>
    <w:qFormat/>
    <w:rsid w:val="00FA6295"/>
    <w:pPr>
      <w:keepNext/>
      <w:spacing w:before="40" w:after="40"/>
    </w:pPr>
    <w:rPr>
      <w:rFonts w:ascii="Arial Narrow" w:hAnsi="Arial Narrow" w:cs="Tahoma"/>
      <w:b/>
      <w:sz w:val="20"/>
    </w:rPr>
  </w:style>
  <w:style w:type="character" w:customStyle="1" w:styleId="TableHeadingChar">
    <w:name w:val="TableHeading Char"/>
    <w:link w:val="TableHeading"/>
    <w:rsid w:val="00FA6295"/>
    <w:rPr>
      <w:rFonts w:ascii="Arial Narrow" w:eastAsia="Times New Roman" w:hAnsi="Arial Narrow" w:cs="Tahoma"/>
      <w:b/>
      <w:sz w:val="20"/>
      <w:szCs w:val="20"/>
    </w:rPr>
  </w:style>
  <w:style w:type="table" w:customStyle="1" w:styleId="TableGrid1">
    <w:name w:val="Table Grid1"/>
    <w:basedOn w:val="TableNormal"/>
    <w:next w:val="TableGrid"/>
    <w:rsid w:val="00FA6295"/>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Text1">
    <w:name w:val="TableText"/>
    <w:basedOn w:val="Normal"/>
    <w:rsid w:val="00DC0B4C"/>
    <w:pPr>
      <w:keepNext/>
      <w:spacing w:before="60" w:after="60"/>
    </w:pPr>
    <w:rPr>
      <w:color w:val="000000"/>
      <w:sz w:val="21"/>
      <w:szCs w:val="21"/>
    </w:rPr>
  </w:style>
  <w:style w:type="paragraph" w:customStyle="1" w:styleId="BulletBeforeDash">
    <w:name w:val="BulletBeforeDash"/>
    <w:basedOn w:val="Normal"/>
    <w:rsid w:val="00152619"/>
    <w:pPr>
      <w:numPr>
        <w:numId w:val="29"/>
      </w:numPr>
      <w:ind w:left="720"/>
    </w:pPr>
    <w:rPr>
      <w:color w:val="000000"/>
    </w:rPr>
  </w:style>
  <w:style w:type="paragraph" w:customStyle="1" w:styleId="Bullet">
    <w:name w:val="Bullet"/>
    <w:basedOn w:val="BulletBeforeDash"/>
    <w:qFormat/>
    <w:rsid w:val="00152619"/>
    <w:pPr>
      <w:spacing w:after="120"/>
    </w:pPr>
  </w:style>
  <w:style w:type="paragraph" w:customStyle="1" w:styleId="BulletLast">
    <w:name w:val="BulletLast"/>
    <w:basedOn w:val="Bullet"/>
    <w:qFormat/>
    <w:rsid w:val="00152619"/>
    <w:pPr>
      <w:spacing w:after="240"/>
    </w:pPr>
  </w:style>
  <w:style w:type="paragraph" w:customStyle="1" w:styleId="NormalBeforeBullet">
    <w:name w:val="NormalBeforeBullet"/>
    <w:basedOn w:val="Normal"/>
    <w:qFormat/>
    <w:rsid w:val="00152619"/>
    <w:pPr>
      <w:keepNext/>
      <w:spacing w:after="120"/>
    </w:pPr>
    <w:rPr>
      <w:color w:val="000000"/>
    </w:rPr>
  </w:style>
  <w:style w:type="character" w:customStyle="1" w:styleId="normaltextrun">
    <w:name w:val="normaltextrun"/>
    <w:basedOn w:val="DefaultParagraphFont"/>
    <w:rsid w:val="00152619"/>
  </w:style>
  <w:style w:type="character" w:customStyle="1" w:styleId="eop">
    <w:name w:val="eop"/>
    <w:basedOn w:val="DefaultParagraphFont"/>
    <w:rsid w:val="0015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88963">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4564</Words>
  <Characters>25624</Characters>
  <Application>Microsoft Office Word</Application>
  <DocSecurity>0</DocSecurity>
  <Lines>213</Lines>
  <Paragraphs>60</Paragraphs>
  <ScaleCrop>false</ScaleCrop>
  <Company/>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1498 - Final PSD</dc:title>
  <dc:creator/>
  <cp:lastModifiedBy/>
  <cp:revision>1</cp:revision>
  <dcterms:created xsi:type="dcterms:W3CDTF">2019-03-05T22:58:00Z</dcterms:created>
  <dcterms:modified xsi:type="dcterms:W3CDTF">2019-03-05T22:58:00Z</dcterms:modified>
</cp:coreProperties>
</file>