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viewer"/>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BC92"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5D9FC51" wp14:editId="66B1798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87B0049"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1C6C2CA" w14:textId="01E531C9" w:rsidR="00BC1364" w:rsidRPr="00F715D1" w:rsidRDefault="00BC1364" w:rsidP="00F715D1">
      <w:pPr>
        <w:pStyle w:val="Subtitle"/>
      </w:pPr>
      <w:r w:rsidRPr="00F715D1">
        <w:t xml:space="preserve">Application No. </w:t>
      </w:r>
      <w:r w:rsidR="00F878CB">
        <w:t>15</w:t>
      </w:r>
      <w:r w:rsidR="00FD0063">
        <w:t>82</w:t>
      </w:r>
      <w:r w:rsidRPr="00F715D1">
        <w:t xml:space="preserve"> – </w:t>
      </w:r>
      <w:r w:rsidR="00FD0063">
        <w:t xml:space="preserve">Detection of </w:t>
      </w:r>
      <w:r w:rsidR="00927513">
        <w:t>a</w:t>
      </w:r>
      <w:r w:rsidR="00FD0063">
        <w:t xml:space="preserve">quaporin-4 (AQP4) </w:t>
      </w:r>
      <w:r w:rsidR="00927513">
        <w:t xml:space="preserve">and </w:t>
      </w:r>
      <w:r w:rsidR="00735862">
        <w:br/>
      </w:r>
      <w:r w:rsidR="00927513" w:rsidRPr="00927513">
        <w:t>myelin oligodendrocyte glycoprotein antibody (MOG</w:t>
      </w:r>
      <w:r w:rsidR="00927513">
        <w:t>)</w:t>
      </w:r>
      <w:r w:rsidR="00927513" w:rsidRPr="00927513">
        <w:t xml:space="preserve"> </w:t>
      </w:r>
      <w:r w:rsidR="00FD0063">
        <w:t xml:space="preserve">antibodies for diagnosis of </w:t>
      </w:r>
      <w:proofErr w:type="spellStart"/>
      <w:r w:rsidR="00927513">
        <w:t>neuromyelitis</w:t>
      </w:r>
      <w:proofErr w:type="spellEnd"/>
      <w:r w:rsidR="00927513">
        <w:t xml:space="preserve"> </w:t>
      </w:r>
      <w:proofErr w:type="spellStart"/>
      <w:r w:rsidR="00927513">
        <w:t>optica</w:t>
      </w:r>
      <w:proofErr w:type="spellEnd"/>
      <w:r w:rsidR="00927513">
        <w:t xml:space="preserve"> (</w:t>
      </w:r>
      <w:r w:rsidR="00FD0063">
        <w:t>NMO)</w:t>
      </w:r>
      <w:r w:rsidR="00B32D27" w:rsidRPr="00B32D27">
        <w:rPr>
          <w:rFonts w:cs="Times New Roman"/>
          <w:bCs w:val="0"/>
          <w:szCs w:val="20"/>
        </w:rPr>
        <w:t xml:space="preserve"> </w:t>
      </w:r>
      <w:r w:rsidR="00B32D27">
        <w:rPr>
          <w:rFonts w:cs="Times New Roman"/>
          <w:bCs w:val="0"/>
          <w:szCs w:val="20"/>
        </w:rPr>
        <w:t xml:space="preserve">and </w:t>
      </w:r>
      <w:r w:rsidR="00735862">
        <w:rPr>
          <w:rFonts w:cs="Times New Roman"/>
          <w:bCs w:val="0"/>
          <w:szCs w:val="20"/>
        </w:rPr>
        <w:br/>
      </w:r>
      <w:r w:rsidR="00B32D27" w:rsidRPr="001044F4">
        <w:rPr>
          <w:rFonts w:cs="Times New Roman"/>
          <w:bCs w:val="0"/>
          <w:szCs w:val="20"/>
        </w:rPr>
        <w:t>myelin oligodendrocyt</w:t>
      </w:r>
      <w:r w:rsidR="00735862">
        <w:rPr>
          <w:rFonts w:cs="Times New Roman"/>
          <w:bCs w:val="0"/>
          <w:szCs w:val="20"/>
        </w:rPr>
        <w:t xml:space="preserve">e glycoprotein antibody-related </w:t>
      </w:r>
      <w:r w:rsidR="00B32D27" w:rsidRPr="001044F4">
        <w:rPr>
          <w:rFonts w:cs="Times New Roman"/>
          <w:bCs w:val="0"/>
          <w:szCs w:val="20"/>
        </w:rPr>
        <w:t>demyelination (MARD</w:t>
      </w:r>
      <w:r w:rsidR="00B32D27">
        <w:rPr>
          <w:rFonts w:cs="Times New Roman"/>
          <w:bCs w:val="0"/>
          <w:szCs w:val="20"/>
        </w:rPr>
        <w:t>)</w:t>
      </w:r>
    </w:p>
    <w:p w14:paraId="212BAA28" w14:textId="77777777" w:rsidR="00BC1364" w:rsidRPr="00F715D1" w:rsidRDefault="00B35595" w:rsidP="007F15BA">
      <w:pPr>
        <w:tabs>
          <w:tab w:val="left" w:pos="3686"/>
        </w:tabs>
        <w:spacing w:after="240"/>
        <w:ind w:left="3600" w:hanging="360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F15BA">
        <w:rPr>
          <w:rFonts w:ascii="Arial" w:hAnsi="Arial" w:cs="Arial"/>
          <w:b/>
          <w:szCs w:val="24"/>
        </w:rPr>
        <w:t>Royal College of Pathologists of Australasia (</w:t>
      </w:r>
      <w:r w:rsidR="00FD0063">
        <w:rPr>
          <w:rFonts w:ascii="Arial" w:hAnsi="Arial" w:cs="Arial"/>
          <w:b/>
          <w:szCs w:val="24"/>
        </w:rPr>
        <w:t>RCPA</w:t>
      </w:r>
      <w:r w:rsidR="007F15BA">
        <w:rPr>
          <w:rFonts w:ascii="Arial" w:hAnsi="Arial" w:cs="Arial"/>
          <w:b/>
          <w:szCs w:val="24"/>
        </w:rPr>
        <w:t>)</w:t>
      </w:r>
    </w:p>
    <w:p w14:paraId="232B9427"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59DF6AEB"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6B158F89" w14:textId="030F0C8D" w:rsidR="003D7F29" w:rsidRPr="00F715D1" w:rsidRDefault="003D7F29" w:rsidP="00F715D1">
      <w:pPr>
        <w:pStyle w:val="Heading1"/>
      </w:pPr>
      <w:r w:rsidRPr="00F715D1">
        <w:t>Purpose of application</w:t>
      </w:r>
    </w:p>
    <w:p w14:paraId="353076A1" w14:textId="1079EABE" w:rsidR="00433B47" w:rsidRPr="000267E0" w:rsidRDefault="00433B47" w:rsidP="00433B47">
      <w:pPr>
        <w:tabs>
          <w:tab w:val="left" w:pos="720"/>
          <w:tab w:val="left" w:pos="1140"/>
        </w:tabs>
        <w:rPr>
          <w:szCs w:val="24"/>
        </w:rPr>
      </w:pPr>
      <w:r>
        <w:t xml:space="preserve">An application requesting Medicare Benefits Schedule (MBS) listing of </w:t>
      </w:r>
      <w:r w:rsidRPr="00FC0F62">
        <w:t xml:space="preserve">aquaporin 4 antibody (AQP4-Ab) and </w:t>
      </w:r>
      <w:proofErr w:type="gramStart"/>
      <w:r w:rsidRPr="00FC0F62">
        <w:t>myelin oligodendrocyte glycoprotein antibody</w:t>
      </w:r>
      <w:proofErr w:type="gramEnd"/>
      <w:r w:rsidRPr="00FC0F62">
        <w:t xml:space="preserve"> (MOG-Ab) testing </w:t>
      </w:r>
      <w:r>
        <w:t>in patients suspected of</w:t>
      </w:r>
      <w:r w:rsidRPr="00FC0F62">
        <w:t xml:space="preserve"> </w:t>
      </w:r>
      <w:proofErr w:type="spellStart"/>
      <w:r w:rsidRPr="00FC0F62">
        <w:t>neuromyelitis</w:t>
      </w:r>
      <w:proofErr w:type="spellEnd"/>
      <w:r w:rsidRPr="00FC0F62">
        <w:t xml:space="preserve"> </w:t>
      </w:r>
      <w:proofErr w:type="spellStart"/>
      <w:r w:rsidRPr="00FC0F62">
        <w:t>optica</w:t>
      </w:r>
      <w:proofErr w:type="spellEnd"/>
      <w:r w:rsidRPr="00FC0F62">
        <w:t xml:space="preserve"> spectrum disorders (NMOSD) </w:t>
      </w:r>
      <w:r>
        <w:t xml:space="preserve">was received from </w:t>
      </w:r>
      <w:r w:rsidR="00927513">
        <w:t xml:space="preserve">the </w:t>
      </w:r>
      <w:r w:rsidR="003616F4">
        <w:t>Royal College of Pathologists of Australasia (</w:t>
      </w:r>
      <w:r>
        <w:t>RCPA</w:t>
      </w:r>
      <w:r w:rsidR="003616F4">
        <w:t>)</w:t>
      </w:r>
      <w:r>
        <w:t xml:space="preserve"> by the Department of Health.</w:t>
      </w:r>
    </w:p>
    <w:p w14:paraId="1F43BBB5" w14:textId="77777777" w:rsidR="00E977EE" w:rsidRPr="00F715D1" w:rsidRDefault="00E977EE" w:rsidP="00F715D1">
      <w:pPr>
        <w:pStyle w:val="Heading1"/>
      </w:pPr>
      <w:r w:rsidRPr="00F715D1">
        <w:t>MSAC’s advice to the Minister</w:t>
      </w:r>
    </w:p>
    <w:p w14:paraId="586BC778" w14:textId="26BCBDC5" w:rsidR="008E408D" w:rsidRDefault="00E56366" w:rsidP="008E408D">
      <w:pPr>
        <w:spacing w:after="240"/>
      </w:pPr>
      <w:proofErr w:type="gramStart"/>
      <w:r w:rsidRPr="001342D1">
        <w:t xml:space="preserve">After considering the strength of the available evidence in relation to comparative safety, </w:t>
      </w:r>
      <w:r>
        <w:t>clinical effectiveness and cost-</w:t>
      </w:r>
      <w:r w:rsidRPr="001342D1">
        <w:t xml:space="preserve">effectiveness, </w:t>
      </w:r>
      <w:r w:rsidRPr="001044F4">
        <w:t xml:space="preserve">MSAC supported </w:t>
      </w:r>
      <w:r w:rsidR="00335F84">
        <w:t xml:space="preserve">a new MBS item and </w:t>
      </w:r>
      <w:r w:rsidRPr="001044F4">
        <w:t xml:space="preserve">increased public funding of concurrent testing </w:t>
      </w:r>
      <w:r w:rsidR="00335F84">
        <w:t xml:space="preserve">for the detection </w:t>
      </w:r>
      <w:r w:rsidRPr="001044F4">
        <w:t>of anti-aquaporin-4 and anti-myelin oligodendrocyte glycoprotein antibodies</w:t>
      </w:r>
      <w:r w:rsidR="00335F84" w:rsidRPr="001044F4">
        <w:t xml:space="preserve"> </w:t>
      </w:r>
      <w:r w:rsidR="00335F84">
        <w:t>(MOG-Abs) for the differential</w:t>
      </w:r>
      <w:r w:rsidR="00335F84" w:rsidRPr="001044F4">
        <w:t xml:space="preserve"> </w:t>
      </w:r>
      <w:r w:rsidRPr="001044F4">
        <w:t xml:space="preserve">diagnosis of </w:t>
      </w:r>
      <w:proofErr w:type="spellStart"/>
      <w:r w:rsidRPr="001044F4">
        <w:t>neuromyelitis</w:t>
      </w:r>
      <w:proofErr w:type="spellEnd"/>
      <w:r w:rsidRPr="001044F4">
        <w:t xml:space="preserve"> </w:t>
      </w:r>
      <w:proofErr w:type="spellStart"/>
      <w:r w:rsidRPr="001044F4">
        <w:t>optica</w:t>
      </w:r>
      <w:proofErr w:type="spellEnd"/>
      <w:r w:rsidRPr="001044F4">
        <w:t xml:space="preserve"> spectrum disorder (NMOSD) and myelin oligodendrocyte glycoprotein antibody-related demyelination (MARD)</w:t>
      </w:r>
      <w:r>
        <w:t>,</w:t>
      </w:r>
      <w:r w:rsidRPr="001044F4">
        <w:t xml:space="preserve"> as these tests are safe and linked to clinical management consequences </w:t>
      </w:r>
      <w:r>
        <w:t>that</w:t>
      </w:r>
      <w:r w:rsidRPr="001044F4">
        <w:t xml:space="preserve"> result in cost-effective outcomes.</w:t>
      </w:r>
      <w:proofErr w:type="gramEnd"/>
      <w:r w:rsidRPr="001044F4">
        <w:t xml:space="preserve"> MSAC recommended the descriptor for the MBS item exclude the use of these antibody tests for disease monitoring in either condition.</w:t>
      </w:r>
    </w:p>
    <w:tbl>
      <w:tblPr>
        <w:tblStyle w:val="TableGrid"/>
        <w:tblW w:w="0" w:type="auto"/>
        <w:tblLook w:val="04A0" w:firstRow="1" w:lastRow="0" w:firstColumn="1" w:lastColumn="0" w:noHBand="0" w:noVBand="1"/>
        <w:tblDescription w:val="Consumer summary of MSAC consideration"/>
      </w:tblPr>
      <w:tblGrid>
        <w:gridCol w:w="9016"/>
      </w:tblGrid>
      <w:tr w:rsidR="008E408D" w14:paraId="5136843A" w14:textId="77777777" w:rsidTr="008E408D">
        <w:trPr>
          <w:tblHeader/>
        </w:trPr>
        <w:tc>
          <w:tcPr>
            <w:tcW w:w="9016" w:type="dxa"/>
          </w:tcPr>
          <w:p w14:paraId="755B78CF" w14:textId="36FBF1A9" w:rsidR="008E408D" w:rsidRDefault="008E408D" w:rsidP="008E408D">
            <w:pPr>
              <w:spacing w:before="120" w:after="120"/>
              <w:rPr>
                <w:b/>
                <w:iCs/>
              </w:rPr>
            </w:pPr>
            <w:r w:rsidRPr="008E408D">
              <w:rPr>
                <w:b/>
                <w:iCs/>
              </w:rPr>
              <w:t>Consumer summary</w:t>
            </w:r>
          </w:p>
        </w:tc>
      </w:tr>
      <w:tr w:rsidR="008E408D" w14:paraId="225C125B" w14:textId="77777777" w:rsidTr="008E408D">
        <w:tc>
          <w:tcPr>
            <w:tcW w:w="9016" w:type="dxa"/>
          </w:tcPr>
          <w:p w14:paraId="257972EC" w14:textId="77777777" w:rsidR="008E408D" w:rsidRPr="008E408D" w:rsidRDefault="008E408D" w:rsidP="008E408D">
            <w:pPr>
              <w:spacing w:before="120" w:after="120"/>
              <w:rPr>
                <w:iCs/>
              </w:rPr>
            </w:pPr>
            <w:r w:rsidRPr="008E408D">
              <w:rPr>
                <w:iCs/>
              </w:rPr>
              <w:t xml:space="preserve">The Royal College of Pathologists Australasia applied for public funding via the Medicare Benefits Schedule (MBS) for an antibody test to see if a patient has </w:t>
            </w:r>
            <w:proofErr w:type="spellStart"/>
            <w:r w:rsidRPr="008E408D">
              <w:rPr>
                <w:iCs/>
              </w:rPr>
              <w:t>neuromyelitis</w:t>
            </w:r>
            <w:proofErr w:type="spellEnd"/>
            <w:r w:rsidRPr="008E408D">
              <w:rPr>
                <w:iCs/>
              </w:rPr>
              <w:t xml:space="preserve"> </w:t>
            </w:r>
            <w:proofErr w:type="spellStart"/>
            <w:r w:rsidRPr="008E408D">
              <w:rPr>
                <w:iCs/>
              </w:rPr>
              <w:t>optica</w:t>
            </w:r>
            <w:proofErr w:type="spellEnd"/>
            <w:r w:rsidRPr="008E408D">
              <w:rPr>
                <w:iCs/>
              </w:rPr>
              <w:t xml:space="preserve"> spectrum disorder (NMOSD) or myelin oligodendrocyte glycoprotein (MOG) antibody-related demyelination (MARD). </w:t>
            </w:r>
          </w:p>
          <w:p w14:paraId="3F3A8A32" w14:textId="77777777" w:rsidR="008E408D" w:rsidRPr="008E408D" w:rsidRDefault="008E408D" w:rsidP="008E408D">
            <w:pPr>
              <w:spacing w:before="240"/>
              <w:rPr>
                <w:iCs/>
              </w:rPr>
            </w:pPr>
            <w:r w:rsidRPr="008E408D">
              <w:rPr>
                <w:iCs/>
              </w:rPr>
              <w:lastRenderedPageBreak/>
              <w:t xml:space="preserve">NMOSD and MARD are conditions that affect the central nervous system. They have similar symptoms to multiple sclerosis (MS), but </w:t>
            </w:r>
            <w:proofErr w:type="gramStart"/>
            <w:r w:rsidRPr="008E408D">
              <w:rPr>
                <w:iCs/>
              </w:rPr>
              <w:t>are treated</w:t>
            </w:r>
            <w:proofErr w:type="gramEnd"/>
            <w:r w:rsidRPr="008E408D">
              <w:rPr>
                <w:iCs/>
              </w:rPr>
              <w:t xml:space="preserve"> differently. A correct diagnosis is important because some MS treatments are harmful to people who have NMOSD or MARD, and vice versa. These antibody tests allow a doctor to make a more accurate diagnosis and start treating the patient with the correct medicines earlier. </w:t>
            </w:r>
          </w:p>
          <w:p w14:paraId="43D47E6D" w14:textId="77777777" w:rsidR="008E408D" w:rsidRPr="008E408D" w:rsidRDefault="008E408D" w:rsidP="008E408D">
            <w:pPr>
              <w:spacing w:before="240"/>
              <w:rPr>
                <w:iCs/>
              </w:rPr>
            </w:pPr>
            <w:r w:rsidRPr="008E408D">
              <w:rPr>
                <w:iCs/>
              </w:rPr>
              <w:t xml:space="preserve">This test looks for two types of antibodies: aquaporin-4 antibodies, which indicate that the person has NMOSD; and MOG antibodies, which indicate that the person has MARD. MSAC noted that this test looks for the two types of antibodies at the same time, which gives an answer faster and is more cost-effective than doing one test after another. MSAC noted that the tests </w:t>
            </w:r>
            <w:proofErr w:type="gramStart"/>
            <w:r w:rsidRPr="008E408D">
              <w:rPr>
                <w:iCs/>
              </w:rPr>
              <w:t>are already being done</w:t>
            </w:r>
            <w:proofErr w:type="gramEnd"/>
            <w:r w:rsidRPr="008E408D">
              <w:rPr>
                <w:iCs/>
              </w:rPr>
              <w:t xml:space="preserve"> under a generic antibody-testing MBS item number. This application was for a specific MBS item number that has a more appropriate fee.</w:t>
            </w:r>
          </w:p>
          <w:p w14:paraId="4A02E268" w14:textId="77777777" w:rsidR="008E408D" w:rsidRPr="008E408D" w:rsidRDefault="008E408D" w:rsidP="008E408D">
            <w:pPr>
              <w:spacing w:before="240"/>
              <w:rPr>
                <w:iCs/>
              </w:rPr>
            </w:pPr>
            <w:r w:rsidRPr="008E408D">
              <w:rPr>
                <w:iCs/>
              </w:rPr>
              <w:t xml:space="preserve">The antibody test </w:t>
            </w:r>
            <w:proofErr w:type="gramStart"/>
            <w:r w:rsidRPr="008E408D">
              <w:rPr>
                <w:iCs/>
              </w:rPr>
              <w:t>can be done</w:t>
            </w:r>
            <w:proofErr w:type="gramEnd"/>
            <w:r w:rsidRPr="008E408D">
              <w:rPr>
                <w:iCs/>
              </w:rPr>
              <w:t xml:space="preserve"> on blood (serum) or cerebrospinal fluid (CSF). MSAC recommended doing the test on serum only, as CSF is more difficult to get (it involves putting a needle into the person’s spine) and the test results are less accurate for making a diagnosis.</w:t>
            </w:r>
          </w:p>
          <w:p w14:paraId="6BB47C35" w14:textId="77777777" w:rsidR="008E408D" w:rsidRPr="008E408D" w:rsidRDefault="008E408D" w:rsidP="008E408D">
            <w:pPr>
              <w:spacing w:before="240"/>
              <w:rPr>
                <w:iCs/>
              </w:rPr>
            </w:pPr>
            <w:r w:rsidRPr="008E408D">
              <w:rPr>
                <w:iCs/>
              </w:rPr>
              <w:t xml:space="preserve">MSAC noted that this test </w:t>
            </w:r>
            <w:proofErr w:type="gramStart"/>
            <w:r w:rsidRPr="008E408D">
              <w:rPr>
                <w:iCs/>
              </w:rPr>
              <w:t>should only be funded</w:t>
            </w:r>
            <w:proofErr w:type="gramEnd"/>
            <w:r w:rsidRPr="008E408D">
              <w:rPr>
                <w:iCs/>
              </w:rPr>
              <w:t xml:space="preserve"> for the initial diagnosis of these two conditions, and not for monitoring disease progression or response to treatment. This is because both of the tests do not have sufficient evidence to support the use in disease monitoring. </w:t>
            </w:r>
          </w:p>
          <w:p w14:paraId="060DE196" w14:textId="77777777" w:rsidR="008E408D" w:rsidRPr="008E408D" w:rsidRDefault="008E408D" w:rsidP="008E408D">
            <w:pPr>
              <w:spacing w:before="240" w:after="120"/>
              <w:rPr>
                <w:b/>
                <w:iCs/>
              </w:rPr>
            </w:pPr>
            <w:r w:rsidRPr="008E408D">
              <w:rPr>
                <w:b/>
                <w:iCs/>
              </w:rPr>
              <w:t>MSAC’s advice to the Commonwealth Minister for Health</w:t>
            </w:r>
          </w:p>
          <w:p w14:paraId="337B759F" w14:textId="5D93F35C" w:rsidR="008E408D" w:rsidRPr="008E408D" w:rsidRDefault="008E408D" w:rsidP="008E408D">
            <w:pPr>
              <w:spacing w:after="120"/>
              <w:rPr>
                <w:iCs/>
              </w:rPr>
            </w:pPr>
            <w:r w:rsidRPr="008E408D">
              <w:rPr>
                <w:iCs/>
              </w:rPr>
              <w:t xml:space="preserve">MSAC supported public funding for testing for aquaporin-4 antibodies and MOG antibodies in serum for diagnosis (only) of NMOSD and MARD. MSAC considered that the test is cost-effective, safe and can inform better clinical care for people living with NMSOD and MARD. MSAC noted that this test </w:t>
            </w:r>
            <w:proofErr w:type="gramStart"/>
            <w:r w:rsidRPr="008E408D">
              <w:rPr>
                <w:iCs/>
              </w:rPr>
              <w:t>would only be funded</w:t>
            </w:r>
            <w:proofErr w:type="gramEnd"/>
            <w:r w:rsidRPr="008E408D">
              <w:rPr>
                <w:iCs/>
              </w:rPr>
              <w:t xml:space="preserve"> for diagnosing these two conditions, and not for monitoring disease progression or response to treatment.</w:t>
            </w:r>
          </w:p>
        </w:tc>
      </w:tr>
    </w:tbl>
    <w:p w14:paraId="7664A7C9" w14:textId="03724ACB" w:rsidR="00550354" w:rsidRPr="00F715D1" w:rsidRDefault="00550354" w:rsidP="00F715D1">
      <w:pPr>
        <w:pStyle w:val="Heading1"/>
      </w:pPr>
      <w:r w:rsidRPr="00F715D1">
        <w:lastRenderedPageBreak/>
        <w:t xml:space="preserve">Summary of consideration </w:t>
      </w:r>
      <w:r w:rsidR="000267E0">
        <w:t>and rationale for MSAC’s advice</w:t>
      </w:r>
    </w:p>
    <w:p w14:paraId="6FFCD263" w14:textId="2319D4C4" w:rsidR="00E56366" w:rsidRDefault="00E56366" w:rsidP="00E56366">
      <w:r>
        <w:t>MSAC noted that this application was for a</w:t>
      </w:r>
      <w:r w:rsidRPr="00D06883">
        <w:t xml:space="preserve"> new Medicare Benefits Schedule (MBS) listing </w:t>
      </w:r>
      <w:r w:rsidR="00B32D27">
        <w:t>initially limited to</w:t>
      </w:r>
      <w:r w:rsidRPr="00D06883">
        <w:t xml:space="preserve"> an antibody test to investigate the presence of NMOSD by detecting </w:t>
      </w:r>
      <w:r w:rsidR="00550A95">
        <w:t>anti-</w:t>
      </w:r>
      <w:r w:rsidRPr="00D06883">
        <w:t>aquaporin</w:t>
      </w:r>
      <w:r>
        <w:t>-</w:t>
      </w:r>
      <w:r w:rsidRPr="00D06883">
        <w:t xml:space="preserve">4 antibodies (AQP4-Abs) in serum and/or cerebrospinal fluid (CSF). </w:t>
      </w:r>
      <w:r w:rsidR="002D2BD2" w:rsidRPr="00D91F2A">
        <w:t>However, given</w:t>
      </w:r>
      <w:r w:rsidR="00375849" w:rsidRPr="00D91F2A">
        <w:t xml:space="preserve"> that some patients are negative to AQP-4 but positive to MOG</w:t>
      </w:r>
      <w:r w:rsidR="002D2BD2" w:rsidRPr="00D91F2A">
        <w:t xml:space="preserve"> the</w:t>
      </w:r>
      <w:r w:rsidR="00375849" w:rsidRPr="00D91F2A">
        <w:t xml:space="preserve">re is a </w:t>
      </w:r>
      <w:r w:rsidR="002D2BD2" w:rsidRPr="00D91F2A">
        <w:t xml:space="preserve"> need to differentiate</w:t>
      </w:r>
      <w:r w:rsidR="005D1BBA" w:rsidRPr="00D91F2A">
        <w:t xml:space="preserve"> </w:t>
      </w:r>
      <w:r w:rsidR="00375849" w:rsidRPr="00D91F2A">
        <w:t xml:space="preserve">a diagnosis of </w:t>
      </w:r>
      <w:r w:rsidR="005D1BBA" w:rsidRPr="00D91F2A">
        <w:t>NMOSD from MARD</w:t>
      </w:r>
      <w:r w:rsidR="0037230B" w:rsidRPr="00D91F2A">
        <w:t xml:space="preserve"> for therapeutic decision-making which requires</w:t>
      </w:r>
      <w:r w:rsidR="002D2BD2" w:rsidRPr="00D91F2A">
        <w:t xml:space="preserve"> separate </w:t>
      </w:r>
      <w:r w:rsidR="0037230B" w:rsidRPr="00D91F2A">
        <w:t xml:space="preserve">diagnostic antibody </w:t>
      </w:r>
      <w:r w:rsidR="002D2BD2" w:rsidRPr="00D91F2A">
        <w:t>tests</w:t>
      </w:r>
      <w:r w:rsidR="00375849" w:rsidRPr="00D91F2A">
        <w:t>;</w:t>
      </w:r>
      <w:r w:rsidR="002D2BD2" w:rsidRPr="00D91F2A">
        <w:t xml:space="preserve"> the appl</w:t>
      </w:r>
      <w:r w:rsidR="00350D39" w:rsidRPr="00D91F2A">
        <w:t>ication</w:t>
      </w:r>
      <w:r w:rsidR="002D2BD2">
        <w:t xml:space="preserve"> expanded during the assessment to include anti-MOG antibody </w:t>
      </w:r>
      <w:r w:rsidR="00550A95">
        <w:t xml:space="preserve">(MOG-Ab) </w:t>
      </w:r>
      <w:r w:rsidR="002D2BD2">
        <w:t>testing</w:t>
      </w:r>
      <w:r w:rsidR="005D1BBA">
        <w:t xml:space="preserve"> in order to reflect the diagnostic criteria used in current clinical practice</w:t>
      </w:r>
      <w:r w:rsidR="002D2BD2">
        <w:t>.</w:t>
      </w:r>
    </w:p>
    <w:p w14:paraId="6B7A94F9" w14:textId="7774D28D" w:rsidR="00E56366" w:rsidRDefault="00E56366" w:rsidP="008E408D">
      <w:pPr>
        <w:spacing w:before="240"/>
      </w:pPr>
      <w:r>
        <w:t xml:space="preserve">MSAC noted that </w:t>
      </w:r>
      <w:r w:rsidRPr="00D06883">
        <w:t xml:space="preserve">AQP4-Ab testing </w:t>
      </w:r>
      <w:proofErr w:type="gramStart"/>
      <w:r w:rsidRPr="00D06883">
        <w:t>is currently claimed</w:t>
      </w:r>
      <w:proofErr w:type="gramEnd"/>
      <w:r w:rsidRPr="00D06883">
        <w:t xml:space="preserve"> under generic MBS item numbers 71119 or 71165</w:t>
      </w:r>
      <w:r>
        <w:t xml:space="preserve">, which are </w:t>
      </w:r>
      <w:r w:rsidRPr="00D06883">
        <w:t>non-specific single antibody te</w:t>
      </w:r>
      <w:r w:rsidR="00D91F2A">
        <w:t xml:space="preserve">st descriptors. These items </w:t>
      </w:r>
      <w:proofErr w:type="gramStart"/>
      <w:r w:rsidR="00D91F2A">
        <w:t xml:space="preserve">are </w:t>
      </w:r>
      <w:r w:rsidRPr="00D06883">
        <w:t>currently funded</w:t>
      </w:r>
      <w:proofErr w:type="gramEnd"/>
      <w:r w:rsidRPr="00D06883">
        <w:t xml:space="preserve"> at a lower level than </w:t>
      </w:r>
      <w:r w:rsidR="00A62614">
        <w:t>these tests are</w:t>
      </w:r>
      <w:r w:rsidRPr="00D06883">
        <w:t xml:space="preserve"> currently bill</w:t>
      </w:r>
      <w:r w:rsidR="00A62614">
        <w:t>ed</w:t>
      </w:r>
      <w:r w:rsidRPr="00D06883">
        <w:t xml:space="preserve"> </w:t>
      </w:r>
      <w:r w:rsidR="00D8369C">
        <w:t xml:space="preserve">in order to make a diagnosis of </w:t>
      </w:r>
      <w:r w:rsidRPr="00D06883">
        <w:t>NMOSD.</w:t>
      </w:r>
      <w:r>
        <w:t xml:space="preserve"> </w:t>
      </w:r>
      <w:r w:rsidR="00136FA1">
        <w:t>Accordingly, t</w:t>
      </w:r>
      <w:r>
        <w:t xml:space="preserve">his application seeks a more appropriate fee for this type of </w:t>
      </w:r>
      <w:r w:rsidR="00BE46FC">
        <w:t xml:space="preserve">low-volume </w:t>
      </w:r>
      <w:r w:rsidR="00D8369C">
        <w:t xml:space="preserve">cell-based </w:t>
      </w:r>
      <w:r w:rsidR="00BE46FC">
        <w:t xml:space="preserve">antibody </w:t>
      </w:r>
      <w:r>
        <w:t>testing.</w:t>
      </w:r>
    </w:p>
    <w:p w14:paraId="55ABD9C0" w14:textId="006229AC" w:rsidR="00E56366" w:rsidRDefault="00E56366" w:rsidP="008E408D">
      <w:pPr>
        <w:spacing w:before="240"/>
      </w:pPr>
      <w:r>
        <w:t xml:space="preserve">MSAC noted that </w:t>
      </w:r>
      <w:r w:rsidRPr="00D06883">
        <w:t xml:space="preserve">NMOSD </w:t>
      </w:r>
      <w:r>
        <w:t>is</w:t>
      </w:r>
      <w:r w:rsidRPr="00D06883">
        <w:t xml:space="preserve"> associated with antibodies to AQP4</w:t>
      </w:r>
      <w:r>
        <w:t xml:space="preserve">, and </w:t>
      </w:r>
      <w:r w:rsidRPr="00D06883">
        <w:t>MARD is associated with antibodies to MOG</w:t>
      </w:r>
      <w:r w:rsidR="0037230B">
        <w:t>, with a small proportion of patients having positivity to both</w:t>
      </w:r>
      <w:r w:rsidRPr="00D06883">
        <w:t>.</w:t>
      </w:r>
      <w:r>
        <w:t xml:space="preserve"> The </w:t>
      </w:r>
      <w:r w:rsidR="00136FA1">
        <w:lastRenderedPageBreak/>
        <w:t xml:space="preserve">advantage of the </w:t>
      </w:r>
      <w:r>
        <w:t xml:space="preserve">antibody test in this proposal </w:t>
      </w:r>
      <w:r w:rsidR="009B72D2">
        <w:t>is that it</w:t>
      </w:r>
      <w:r w:rsidR="00136FA1">
        <w:t xml:space="preserve"> can</w:t>
      </w:r>
      <w:r>
        <w:t xml:space="preserve"> detect both antibodies in a</w:t>
      </w:r>
      <w:r w:rsidR="002D2BD2">
        <w:t xml:space="preserve"> combined</w:t>
      </w:r>
      <w:r>
        <w:t xml:space="preserve"> single test</w:t>
      </w:r>
      <w:r w:rsidR="002D2BD2">
        <w:t>, rather than performing two separate assays</w:t>
      </w:r>
      <w:r>
        <w:t xml:space="preserve">. MSAC agreed with the </w:t>
      </w:r>
      <w:r w:rsidR="00136FA1">
        <w:t xml:space="preserve">applicant’s </w:t>
      </w:r>
      <w:r>
        <w:t xml:space="preserve">pre-MSAC response, which stressed the importance of </w:t>
      </w:r>
      <w:r w:rsidR="00136FA1">
        <w:t xml:space="preserve">performing </w:t>
      </w:r>
      <w:r>
        <w:t>concurrent AQP4-Ab and MOG-Ab testing</w:t>
      </w:r>
      <w:r w:rsidR="00136FA1">
        <w:t xml:space="preserve"> at initial diagnosis</w:t>
      </w:r>
      <w:r>
        <w:t>.</w:t>
      </w:r>
    </w:p>
    <w:p w14:paraId="0C31D655" w14:textId="2388C5CD" w:rsidR="00E56366" w:rsidRDefault="00E56366" w:rsidP="008E408D">
      <w:pPr>
        <w:spacing w:before="240"/>
      </w:pPr>
      <w:r>
        <w:t>MSAC noted the importance of diagnosing NMOSD and MARD early and accurately</w:t>
      </w:r>
      <w:r w:rsidR="00136FA1">
        <w:t xml:space="preserve"> in order to direct appropriate disease-specific therapy</w:t>
      </w:r>
      <w:r w:rsidR="009B2EDC">
        <w:t>. T</w:t>
      </w:r>
      <w:r>
        <w:t xml:space="preserve">hese conditions present similarly to multiple sclerosis (MS), but </w:t>
      </w:r>
      <w:r w:rsidR="009B2EDC">
        <w:t xml:space="preserve">may not </w:t>
      </w:r>
      <w:r>
        <w:t>respond to MS treatments such as natalizumab</w:t>
      </w:r>
      <w:r w:rsidR="009B2EDC">
        <w:t xml:space="preserve"> and can lead to worse outcomes</w:t>
      </w:r>
      <w:r>
        <w:t xml:space="preserve">. </w:t>
      </w:r>
      <w:r w:rsidR="00BE46FC">
        <w:t xml:space="preserve">In the absence of appropriate </w:t>
      </w:r>
      <w:proofErr w:type="gramStart"/>
      <w:r w:rsidR="00BE46FC">
        <w:t>antibody</w:t>
      </w:r>
      <w:proofErr w:type="gramEnd"/>
      <w:r w:rsidR="00BE46FC">
        <w:t xml:space="preserve"> testing </w:t>
      </w:r>
      <w:r w:rsidR="00136FA1">
        <w:t>the</w:t>
      </w:r>
      <w:r w:rsidR="00BE46FC">
        <w:t>re is a</w:t>
      </w:r>
      <w:r w:rsidR="00136FA1">
        <w:t xml:space="preserve"> potential for disease misclassification,</w:t>
      </w:r>
      <w:r w:rsidR="00BE46FC">
        <w:t xml:space="preserve"> from which</w:t>
      </w:r>
      <w:r w:rsidR="00136FA1">
        <w:t xml:space="preserve"> p</w:t>
      </w:r>
      <w:r>
        <w:t>atients may</w:t>
      </w:r>
      <w:r w:rsidR="0002235F">
        <w:t xml:space="preserve"> </w:t>
      </w:r>
      <w:r w:rsidR="00136FA1">
        <w:t>e</w:t>
      </w:r>
      <w:r w:rsidR="002D2BD2">
        <w:t>xperience adverse effects from</w:t>
      </w:r>
      <w:r w:rsidR="00136FA1">
        <w:t xml:space="preserve"> incorrect therapy</w:t>
      </w:r>
      <w:r w:rsidR="0002235F">
        <w:t>,</w:t>
      </w:r>
      <w:r w:rsidR="00813BE0">
        <w:t xml:space="preserve"> </w:t>
      </w:r>
      <w:r w:rsidR="00136FA1">
        <w:t>whilst obtaining no benefit</w:t>
      </w:r>
      <w:r>
        <w:t xml:space="preserve">. MSAC agreed with the claim from the </w:t>
      </w:r>
      <w:r w:rsidRPr="00E204EE">
        <w:t xml:space="preserve">Pathology Clinical Committee of the MBS </w:t>
      </w:r>
      <w:r>
        <w:t>R</w:t>
      </w:r>
      <w:r w:rsidRPr="00E204EE">
        <w:t xml:space="preserve">eview </w:t>
      </w:r>
      <w:r>
        <w:t>T</w:t>
      </w:r>
      <w:r w:rsidRPr="00E204EE">
        <w:t xml:space="preserve">askforce that the successful listing of AQP4-Ab testing in the target population and setting will lead to more rapid diagnosis and treatment, </w:t>
      </w:r>
      <w:r w:rsidR="00136FA1">
        <w:t>in order to</w:t>
      </w:r>
      <w:r w:rsidRPr="00E204EE">
        <w:t xml:space="preserve"> improve patient outcomes</w:t>
      </w:r>
      <w:r>
        <w:t>.</w:t>
      </w:r>
    </w:p>
    <w:p w14:paraId="12A8E10F" w14:textId="228FD42D" w:rsidR="00E56366" w:rsidRDefault="00E56366" w:rsidP="008E408D">
      <w:pPr>
        <w:spacing w:before="240"/>
      </w:pPr>
      <w:r>
        <w:t xml:space="preserve">MSAC considered the evidence for serum testing to be </w:t>
      </w:r>
      <w:r w:rsidR="00136FA1">
        <w:t xml:space="preserve">of an </w:t>
      </w:r>
      <w:r>
        <w:t>appropriate</w:t>
      </w:r>
      <w:r w:rsidR="00136FA1">
        <w:t xml:space="preserve"> standard for assessment</w:t>
      </w:r>
      <w:r>
        <w:t>, but noted the lack of evidence associated with testing using CSF. MSAC considered that lumbar puncture would rarely be performed</w:t>
      </w:r>
      <w:r w:rsidR="00136FA1">
        <w:t xml:space="preserve"> solely</w:t>
      </w:r>
      <w:r>
        <w:t xml:space="preserve"> to collect a sample for this antibody test, </w:t>
      </w:r>
      <w:r w:rsidR="002D2BD2">
        <w:t>therefore</w:t>
      </w:r>
      <w:r>
        <w:t xml:space="preserve"> recommended that the antibody testing be </w:t>
      </w:r>
      <w:r w:rsidR="00BE46FC">
        <w:t>performed</w:t>
      </w:r>
      <w:r>
        <w:t xml:space="preserve"> on serum only.</w:t>
      </w:r>
    </w:p>
    <w:p w14:paraId="4D93E34F" w14:textId="0DB51674" w:rsidR="00CE5DD1" w:rsidRDefault="00CE5DD1" w:rsidP="008E408D">
      <w:pPr>
        <w:spacing w:before="240"/>
      </w:pPr>
      <w:r>
        <w:t>MSAC noted the economic evaluation was a c</w:t>
      </w:r>
      <w:r w:rsidRPr="009F5D61">
        <w:t>ost</w:t>
      </w:r>
      <w:r>
        <w:t>-</w:t>
      </w:r>
      <w:r w:rsidRPr="009F5D61">
        <w:t>utility analysis</w:t>
      </w:r>
      <w:r>
        <w:t>. MSAC considered that the proposed antibody</w:t>
      </w:r>
      <w:r w:rsidRPr="009F5D61">
        <w:t xml:space="preserve"> testing strategy</w:t>
      </w:r>
      <w:r>
        <w:t xml:space="preserve"> for diagnosing NMOSD</w:t>
      </w:r>
      <w:r w:rsidRPr="009F5D61">
        <w:t xml:space="preserve"> is less </w:t>
      </w:r>
      <w:proofErr w:type="gramStart"/>
      <w:r w:rsidRPr="009F5D61">
        <w:t xml:space="preserve">costly and more effective (dominant) compared with no Ab testing with respect to </w:t>
      </w:r>
      <w:r>
        <w:t xml:space="preserve">the other </w:t>
      </w:r>
      <w:r w:rsidRPr="009F5D61">
        <w:t>diagnostic strategies</w:t>
      </w:r>
      <w:proofErr w:type="gramEnd"/>
      <w:r w:rsidRPr="009F5D61">
        <w:t xml:space="preserve"> and all clinical outcomes assessed</w:t>
      </w:r>
      <w:r>
        <w:t>.</w:t>
      </w:r>
    </w:p>
    <w:p w14:paraId="02C167D2" w14:textId="082DFECD" w:rsidR="00CE5DD1" w:rsidRPr="008E408D" w:rsidRDefault="00CE5DD1" w:rsidP="008E408D">
      <w:pPr>
        <w:spacing w:before="240"/>
        <w:rPr>
          <w:rFonts w:eastAsia="Calibri"/>
          <w:szCs w:val="24"/>
        </w:rPr>
      </w:pPr>
      <w:proofErr w:type="gramStart"/>
      <w:r w:rsidRPr="00F10BC5">
        <w:t>MSAC agreed with the utilisation estimates provided in the DCAR (10,122 in year 1 with a</w:t>
      </w:r>
      <w:r>
        <w:t xml:space="preserve"> growth rate of 6–18% each year), but noted that these e</w:t>
      </w:r>
      <w:r w:rsidRPr="009F5D61">
        <w:t xml:space="preserve">stimates </w:t>
      </w:r>
      <w:r w:rsidR="005B24AB">
        <w:t>w</w:t>
      </w:r>
      <w:r>
        <w:t>ould also</w:t>
      </w:r>
      <w:r w:rsidRPr="009F5D61">
        <w:t xml:space="preserve"> be reduced by restricting the item descriptor to diagnosis (not monitoring) and by </w:t>
      </w:r>
      <w:r>
        <w:t>concurrent</w:t>
      </w:r>
      <w:r w:rsidRPr="009F5D61">
        <w:t xml:space="preserve"> testing of both antibodies (</w:t>
      </w:r>
      <w:r>
        <w:t>i.e. the test does not needed be repeated for MOG-Ab</w:t>
      </w:r>
      <w:r w:rsidRPr="009F5D61">
        <w:t xml:space="preserve"> in those with negative AQP4-Ab </w:t>
      </w:r>
      <w:r>
        <w:t>results</w:t>
      </w:r>
      <w:r w:rsidRPr="009F5D61">
        <w:t>)</w:t>
      </w:r>
      <w:r>
        <w:t>.</w:t>
      </w:r>
      <w:proofErr w:type="gramEnd"/>
      <w:r w:rsidRPr="00CE5DD1">
        <w:t xml:space="preserve"> </w:t>
      </w:r>
      <w:r>
        <w:t xml:space="preserve">MSAC considered the financial impact of </w:t>
      </w:r>
      <w:r w:rsidR="00335F84">
        <w:t xml:space="preserve">the proposal to be modest (see </w:t>
      </w:r>
      <w:bookmarkStart w:id="0" w:name="_GoBack"/>
      <w:r w:rsidR="00442619" w:rsidRPr="00DB72DE">
        <w:rPr>
          <w:szCs w:val="24"/>
        </w:rPr>
        <w:fldChar w:fldCharType="begin"/>
      </w:r>
      <w:r w:rsidR="00442619" w:rsidRPr="00DB72DE">
        <w:rPr>
          <w:szCs w:val="24"/>
        </w:rPr>
        <w:instrText xml:space="preserve"> REF _Ref50016871 \h </w:instrText>
      </w:r>
      <w:r w:rsidR="00442619" w:rsidRPr="00DB72DE">
        <w:rPr>
          <w:szCs w:val="24"/>
        </w:rPr>
      </w:r>
      <w:r w:rsidR="00DB72DE" w:rsidRPr="00DB72DE">
        <w:rPr>
          <w:szCs w:val="24"/>
        </w:rPr>
        <w:instrText xml:space="preserve"> \* MERGEFORMAT </w:instrText>
      </w:r>
      <w:r w:rsidR="00442619" w:rsidRPr="00DB72DE">
        <w:rPr>
          <w:szCs w:val="24"/>
        </w:rPr>
        <w:fldChar w:fldCharType="separate"/>
      </w:r>
      <w:r w:rsidR="009D6016" w:rsidRPr="00DB72DE">
        <w:rPr>
          <w:szCs w:val="24"/>
        </w:rPr>
        <w:t xml:space="preserve">Table </w:t>
      </w:r>
      <w:r w:rsidR="009D6016" w:rsidRPr="00DB72DE">
        <w:rPr>
          <w:noProof/>
          <w:szCs w:val="24"/>
        </w:rPr>
        <w:t>16</w:t>
      </w:r>
      <w:r w:rsidR="00442619" w:rsidRPr="00DB72DE">
        <w:rPr>
          <w:szCs w:val="24"/>
        </w:rPr>
        <w:fldChar w:fldCharType="end"/>
      </w:r>
      <w:bookmarkEnd w:id="0"/>
      <w:r w:rsidR="00335F84">
        <w:t>).</w:t>
      </w:r>
    </w:p>
    <w:p w14:paraId="67C1CAB8" w14:textId="1104DDE6" w:rsidR="00E56366" w:rsidRDefault="00E56366" w:rsidP="008E408D">
      <w:pPr>
        <w:spacing w:before="240"/>
      </w:pPr>
      <w:r>
        <w:t xml:space="preserve">MSAC noted that the testing should be </w:t>
      </w:r>
      <w:r w:rsidRPr="00E204EE">
        <w:t xml:space="preserve">restricted to patients </w:t>
      </w:r>
      <w:r w:rsidR="002D2BD2">
        <w:t xml:space="preserve">presenting </w:t>
      </w:r>
      <w:r w:rsidRPr="00E204EE">
        <w:t>with symptoms consistent with NMOSD</w:t>
      </w:r>
      <w:r w:rsidR="002D2BD2">
        <w:t>, MARD</w:t>
      </w:r>
      <w:r w:rsidRPr="00E204EE">
        <w:t xml:space="preserve"> or MS with relapses or atypical </w:t>
      </w:r>
      <w:r w:rsidR="002D2BD2">
        <w:t>MS</w:t>
      </w:r>
      <w:r>
        <w:t xml:space="preserve">. MSAC considered using the </w:t>
      </w:r>
      <w:r w:rsidR="002D2BD2">
        <w:t xml:space="preserve">antibody </w:t>
      </w:r>
      <w:r>
        <w:t>test</w:t>
      </w:r>
      <w:r w:rsidR="002D2BD2">
        <w:t>s are appropriate for initial diagnosis</w:t>
      </w:r>
      <w:r>
        <w:t xml:space="preserve">, but not for </w:t>
      </w:r>
      <w:r w:rsidR="002D2BD2">
        <w:t xml:space="preserve">disease </w:t>
      </w:r>
      <w:r>
        <w:t xml:space="preserve">monitoring. MSAC considered </w:t>
      </w:r>
      <w:r w:rsidR="0034153A">
        <w:t xml:space="preserve">that </w:t>
      </w:r>
      <w:r>
        <w:t xml:space="preserve">a retest </w:t>
      </w:r>
      <w:r w:rsidR="0034153A">
        <w:t>would</w:t>
      </w:r>
      <w:r>
        <w:t xml:space="preserve"> be appropriate for patients that have tested negative to AQP4-Ab/MOG-Ab but are not responding to MS treatment</w:t>
      </w:r>
      <w:r w:rsidR="0034153A">
        <w:t xml:space="preserve"> in order to clarify the diagnosis</w:t>
      </w:r>
      <w:r>
        <w:t xml:space="preserve">. Thus, MSAC suggested that the descriptor </w:t>
      </w:r>
      <w:r w:rsidR="00CB75F4">
        <w:t xml:space="preserve">practice note </w:t>
      </w:r>
      <w:proofErr w:type="gramStart"/>
      <w:r w:rsidR="00D8369C">
        <w:t xml:space="preserve">should </w:t>
      </w:r>
      <w:r>
        <w:t>be amended</w:t>
      </w:r>
      <w:proofErr w:type="gramEnd"/>
      <w:r>
        <w:t xml:space="preserve"> to make it clear that a retest </w:t>
      </w:r>
      <w:r w:rsidR="0034153A">
        <w:t xml:space="preserve">for diagnostic purposes </w:t>
      </w:r>
      <w:r>
        <w:t>is acceptable, but that the test should not be used for monitoring.</w:t>
      </w:r>
      <w:r w:rsidRPr="00E204EE">
        <w:t xml:space="preserve"> </w:t>
      </w:r>
    </w:p>
    <w:p w14:paraId="164101FD" w14:textId="6DBE2CFA" w:rsidR="00E56366" w:rsidRPr="00E204EE" w:rsidRDefault="00E56366" w:rsidP="008E408D">
      <w:pPr>
        <w:spacing w:before="240"/>
      </w:pPr>
      <w:r>
        <w:t>MSAC also considered that the proposed item descriptor should state “…patients suspected of having NMSOD or MARD” (i.e. add “or MARD”).</w:t>
      </w:r>
    </w:p>
    <w:p w14:paraId="02D60F59" w14:textId="7FE6DE51" w:rsidR="00CE5DD1" w:rsidRDefault="00E56366" w:rsidP="008E408D">
      <w:pPr>
        <w:spacing w:before="240"/>
      </w:pPr>
      <w:r>
        <w:t xml:space="preserve">MSAC considered the proposed fee of $50 </w:t>
      </w:r>
      <w:r w:rsidR="0034153A">
        <w:t xml:space="preserve">for concurrent testing of both </w:t>
      </w:r>
      <w:r w:rsidR="00CB75F4">
        <w:t xml:space="preserve">AQP4-Ab and </w:t>
      </w:r>
      <w:r w:rsidR="00CB75F4" w:rsidRPr="00CB75F4">
        <w:t xml:space="preserve">MOG-Ab </w:t>
      </w:r>
      <w:r>
        <w:t>to be appropriate.</w:t>
      </w:r>
    </w:p>
    <w:p w14:paraId="71F2149E" w14:textId="4C2FF55E" w:rsidR="008E408D" w:rsidRDefault="00335F84" w:rsidP="008E408D">
      <w:pPr>
        <w:spacing w:before="240" w:after="240"/>
      </w:pPr>
      <w:r>
        <w:t>The MSAC-supported MBS item descriptor</w:t>
      </w:r>
      <w:r w:rsidR="008E408D">
        <w:t xml:space="preserve"> is summarised in </w:t>
      </w:r>
      <w:r w:rsidR="008E408D" w:rsidRPr="009D6016">
        <w:rPr>
          <w:szCs w:val="24"/>
        </w:rPr>
        <w:fldChar w:fldCharType="begin"/>
      </w:r>
      <w:r w:rsidR="008E408D" w:rsidRPr="009D6016">
        <w:rPr>
          <w:szCs w:val="24"/>
        </w:rPr>
        <w:instrText xml:space="preserve"> REF _Ref50015000 \h </w:instrText>
      </w:r>
      <w:r w:rsidR="009D6016" w:rsidRPr="009D6016">
        <w:rPr>
          <w:szCs w:val="24"/>
        </w:rPr>
        <w:instrText xml:space="preserve"> \* MERGEFORMAT </w:instrText>
      </w:r>
      <w:r w:rsidR="008E408D" w:rsidRPr="009D6016">
        <w:rPr>
          <w:szCs w:val="24"/>
        </w:rPr>
      </w:r>
      <w:r w:rsidR="008E408D" w:rsidRPr="009D6016">
        <w:rPr>
          <w:szCs w:val="24"/>
        </w:rPr>
        <w:fldChar w:fldCharType="separate"/>
      </w:r>
      <w:r w:rsidR="009D6016" w:rsidRPr="009D6016">
        <w:rPr>
          <w:szCs w:val="24"/>
        </w:rPr>
        <w:t xml:space="preserve">Table </w:t>
      </w:r>
      <w:r w:rsidR="009D6016" w:rsidRPr="009D6016">
        <w:rPr>
          <w:noProof/>
          <w:szCs w:val="24"/>
        </w:rPr>
        <w:t>1</w:t>
      </w:r>
      <w:r w:rsidR="008E408D" w:rsidRPr="009D6016">
        <w:rPr>
          <w:szCs w:val="24"/>
        </w:rPr>
        <w:fldChar w:fldCharType="end"/>
      </w:r>
      <w:r w:rsidR="008E408D">
        <w:t>.</w:t>
      </w:r>
      <w:r w:rsidR="008E408D">
        <w:br w:type="page"/>
      </w:r>
    </w:p>
    <w:p w14:paraId="25F9F660" w14:textId="31BAEFC6" w:rsidR="00335F84" w:rsidRPr="00BE62FA" w:rsidRDefault="008E408D" w:rsidP="00BE62FA">
      <w:pPr>
        <w:rPr>
          <w:rFonts w:ascii="Arial Narrow" w:hAnsi="Arial Narrow"/>
          <w:b/>
          <w:sz w:val="20"/>
        </w:rPr>
      </w:pPr>
      <w:bookmarkStart w:id="1" w:name="_Ref50015000"/>
      <w:r w:rsidRPr="00BE62FA">
        <w:rPr>
          <w:rFonts w:ascii="Arial Narrow" w:hAnsi="Arial Narrow"/>
          <w:b/>
          <w:sz w:val="20"/>
        </w:rPr>
        <w:lastRenderedPageBreak/>
        <w:t xml:space="preserve">Table </w:t>
      </w:r>
      <w:r w:rsidRPr="00BE62FA">
        <w:rPr>
          <w:rFonts w:ascii="Arial Narrow" w:hAnsi="Arial Narrow"/>
          <w:b/>
          <w:sz w:val="20"/>
        </w:rPr>
        <w:fldChar w:fldCharType="begin"/>
      </w:r>
      <w:r w:rsidRPr="00BE62FA">
        <w:rPr>
          <w:rFonts w:ascii="Arial Narrow" w:hAnsi="Arial Narrow"/>
          <w:b/>
          <w:sz w:val="20"/>
        </w:rPr>
        <w:instrText xml:space="preserve"> SEQ Table \* ARABIC </w:instrText>
      </w:r>
      <w:r w:rsidRPr="00BE62FA">
        <w:rPr>
          <w:rFonts w:ascii="Arial Narrow" w:hAnsi="Arial Narrow"/>
          <w:b/>
          <w:sz w:val="20"/>
        </w:rPr>
        <w:fldChar w:fldCharType="separate"/>
      </w:r>
      <w:r w:rsidR="009D6016">
        <w:rPr>
          <w:rFonts w:ascii="Arial Narrow" w:hAnsi="Arial Narrow"/>
          <w:b/>
          <w:noProof/>
          <w:sz w:val="20"/>
        </w:rPr>
        <w:t>1</w:t>
      </w:r>
      <w:r w:rsidRPr="00BE62FA">
        <w:rPr>
          <w:rFonts w:ascii="Arial Narrow" w:hAnsi="Arial Narrow"/>
          <w:b/>
          <w:sz w:val="20"/>
        </w:rPr>
        <w:fldChar w:fldCharType="end"/>
      </w:r>
      <w:bookmarkEnd w:id="1"/>
      <w:r w:rsidR="00335F84" w:rsidRPr="00BE62FA">
        <w:rPr>
          <w:rFonts w:ascii="Arial Narrow" w:hAnsi="Arial Narrow"/>
          <w:b/>
          <w:sz w:val="20"/>
        </w:rPr>
        <w:tab/>
        <w:t>Revised MBS item descriptor for antibody testing to diagnose NMOSD or MARD</w:t>
      </w:r>
    </w:p>
    <w:tbl>
      <w:tblPr>
        <w:tblStyle w:val="TableGrid"/>
        <w:tblW w:w="0" w:type="auto"/>
        <w:tblLook w:val="04A0" w:firstRow="1" w:lastRow="0" w:firstColumn="1" w:lastColumn="0" w:noHBand="0" w:noVBand="1"/>
        <w:tblDescription w:val="Revised MBS item descriptor for antibody testing to diagnose NMOSD or MARD"/>
      </w:tblPr>
      <w:tblGrid>
        <w:gridCol w:w="9016"/>
      </w:tblGrid>
      <w:tr w:rsidR="00335F84" w14:paraId="62AA691C" w14:textId="77777777" w:rsidTr="00F56437">
        <w:trPr>
          <w:tblHeader/>
        </w:trPr>
        <w:tc>
          <w:tcPr>
            <w:tcW w:w="9016" w:type="dxa"/>
            <w:tcBorders>
              <w:top w:val="single" w:sz="4" w:space="0" w:color="auto"/>
              <w:left w:val="single" w:sz="4" w:space="0" w:color="auto"/>
              <w:bottom w:val="single" w:sz="4" w:space="0" w:color="auto"/>
              <w:right w:val="single" w:sz="4" w:space="0" w:color="auto"/>
            </w:tcBorders>
            <w:hideMark/>
          </w:tcPr>
          <w:p w14:paraId="016D8C42" w14:textId="77777777" w:rsidR="00335F84" w:rsidRDefault="00335F84" w:rsidP="00335F84">
            <w:pPr>
              <w:ind w:left="5760"/>
            </w:pPr>
            <w:r>
              <w:rPr>
                <w:rFonts w:ascii="Arial Narrow" w:hAnsi="Arial Narrow"/>
                <w:b/>
                <w:sz w:val="22"/>
              </w:rPr>
              <w:t>Category PATHOLOGY SERVICES</w:t>
            </w:r>
          </w:p>
        </w:tc>
      </w:tr>
      <w:tr w:rsidR="00335F84" w14:paraId="1A7CCD82" w14:textId="77777777" w:rsidTr="00F56437">
        <w:tc>
          <w:tcPr>
            <w:tcW w:w="9016" w:type="dxa"/>
            <w:tcBorders>
              <w:top w:val="single" w:sz="4" w:space="0" w:color="auto"/>
              <w:left w:val="single" w:sz="4" w:space="0" w:color="auto"/>
              <w:bottom w:val="single" w:sz="4" w:space="0" w:color="auto"/>
              <w:right w:val="single" w:sz="4" w:space="0" w:color="auto"/>
            </w:tcBorders>
            <w:hideMark/>
          </w:tcPr>
          <w:p w14:paraId="3E8F4CA9" w14:textId="77777777" w:rsidR="00335F84" w:rsidRDefault="00335F84" w:rsidP="00335F84">
            <w:r>
              <w:t>71XXX</w:t>
            </w:r>
          </w:p>
        </w:tc>
      </w:tr>
      <w:tr w:rsidR="00335F84" w14:paraId="169D66A2" w14:textId="77777777" w:rsidTr="00F56437">
        <w:tc>
          <w:tcPr>
            <w:tcW w:w="9016" w:type="dxa"/>
            <w:tcBorders>
              <w:top w:val="single" w:sz="4" w:space="0" w:color="auto"/>
              <w:left w:val="single" w:sz="4" w:space="0" w:color="auto"/>
              <w:bottom w:val="single" w:sz="4" w:space="0" w:color="auto"/>
              <w:right w:val="single" w:sz="4" w:space="0" w:color="auto"/>
            </w:tcBorders>
          </w:tcPr>
          <w:p w14:paraId="40E4AD19" w14:textId="77777777" w:rsidR="00335F84" w:rsidRDefault="00335F84" w:rsidP="00335F84">
            <w:pPr>
              <w:rPr>
                <w:i/>
              </w:rPr>
            </w:pPr>
            <w:r>
              <w:rPr>
                <w:i/>
              </w:rPr>
              <w:t xml:space="preserve">A test to diagnose </w:t>
            </w:r>
            <w:proofErr w:type="spellStart"/>
            <w:r>
              <w:rPr>
                <w:i/>
              </w:rPr>
              <w:t>neuromyelitis</w:t>
            </w:r>
            <w:proofErr w:type="spellEnd"/>
            <w:r>
              <w:rPr>
                <w:i/>
              </w:rPr>
              <w:t xml:space="preserve"> </w:t>
            </w:r>
            <w:proofErr w:type="spellStart"/>
            <w:r>
              <w:rPr>
                <w:i/>
              </w:rPr>
              <w:t>optica</w:t>
            </w:r>
            <w:proofErr w:type="spellEnd"/>
            <w:r>
              <w:rPr>
                <w:i/>
              </w:rPr>
              <w:t xml:space="preserve"> spectrum disorder (NMOSD) or myelin oligodendrocyte glycoprotein antibody-related demyelination (MARD) by the detection of one or more antibodies in patients suspected of having NMOSD, or MARD, with: </w:t>
            </w:r>
          </w:p>
          <w:p w14:paraId="1FD16CC1" w14:textId="77777777" w:rsidR="00335F84" w:rsidRDefault="00335F84" w:rsidP="00335F84">
            <w:pPr>
              <w:pStyle w:val="ListParagraph"/>
              <w:numPr>
                <w:ilvl w:val="0"/>
                <w:numId w:val="34"/>
              </w:numPr>
              <w:rPr>
                <w:i/>
              </w:rPr>
            </w:pPr>
            <w:r>
              <w:rPr>
                <w:i/>
              </w:rPr>
              <w:t>Recurrent, bilateral or severe optic neuritis; or</w:t>
            </w:r>
          </w:p>
          <w:p w14:paraId="4045E554" w14:textId="77777777" w:rsidR="00335F84" w:rsidRDefault="00335F84" w:rsidP="00335F84">
            <w:pPr>
              <w:pStyle w:val="ListParagraph"/>
              <w:numPr>
                <w:ilvl w:val="0"/>
                <w:numId w:val="34"/>
              </w:numPr>
              <w:rPr>
                <w:i/>
              </w:rPr>
            </w:pPr>
            <w:r>
              <w:rPr>
                <w:i/>
              </w:rPr>
              <w:t>Recurrent longitudinal extensive transverse myelitis (LETM)</w:t>
            </w:r>
            <w:r>
              <w:rPr>
                <w:i/>
                <w:vertAlign w:val="superscript"/>
              </w:rPr>
              <w:t>a</w:t>
            </w:r>
            <w:r>
              <w:rPr>
                <w:i/>
              </w:rPr>
              <w:t>; or</w:t>
            </w:r>
          </w:p>
          <w:p w14:paraId="547BB0B7" w14:textId="77777777" w:rsidR="00335F84" w:rsidRDefault="00335F84" w:rsidP="00335F84">
            <w:pPr>
              <w:pStyle w:val="ListParagraph"/>
              <w:numPr>
                <w:ilvl w:val="0"/>
                <w:numId w:val="34"/>
              </w:numPr>
              <w:rPr>
                <w:i/>
              </w:rPr>
            </w:pPr>
            <w:r>
              <w:rPr>
                <w:i/>
              </w:rPr>
              <w:t xml:space="preserve">Area </w:t>
            </w:r>
            <w:proofErr w:type="spellStart"/>
            <w:r>
              <w:rPr>
                <w:i/>
              </w:rPr>
              <w:t>postrema</w:t>
            </w:r>
            <w:proofErr w:type="spellEnd"/>
            <w:r>
              <w:rPr>
                <w:i/>
              </w:rPr>
              <w:t xml:space="preserve"> syndrome (otherwise unexplained hiccups or nausea/vomiting) or</w:t>
            </w:r>
          </w:p>
          <w:p w14:paraId="28373738" w14:textId="77777777" w:rsidR="00335F84" w:rsidRDefault="00335F84" w:rsidP="00335F84">
            <w:pPr>
              <w:pStyle w:val="ListParagraph"/>
              <w:numPr>
                <w:ilvl w:val="0"/>
                <w:numId w:val="34"/>
              </w:numPr>
              <w:rPr>
                <w:i/>
              </w:rPr>
            </w:pPr>
            <w:r>
              <w:rPr>
                <w:i/>
              </w:rPr>
              <w:t>Acute brainstem syndrome or</w:t>
            </w:r>
          </w:p>
          <w:p w14:paraId="694E37E8" w14:textId="77777777" w:rsidR="00335F84" w:rsidRDefault="00335F84" w:rsidP="00335F84">
            <w:pPr>
              <w:pStyle w:val="ListParagraph"/>
              <w:numPr>
                <w:ilvl w:val="0"/>
                <w:numId w:val="34"/>
              </w:numPr>
              <w:rPr>
                <w:i/>
              </w:rPr>
            </w:pPr>
            <w:r>
              <w:rPr>
                <w:i/>
              </w:rPr>
              <w:t>Symptomatic narcolepsy or acute diencephalic clinical syndrome with typical NMOSD MRI lesions or</w:t>
            </w:r>
          </w:p>
          <w:p w14:paraId="78C3B3F1" w14:textId="77777777" w:rsidR="00335F84" w:rsidRDefault="00335F84" w:rsidP="00335F84">
            <w:pPr>
              <w:pStyle w:val="ListParagraph"/>
              <w:numPr>
                <w:ilvl w:val="0"/>
                <w:numId w:val="34"/>
              </w:numPr>
              <w:rPr>
                <w:i/>
              </w:rPr>
            </w:pPr>
            <w:r>
              <w:rPr>
                <w:i/>
              </w:rPr>
              <w:t>Symptomatic cerebral syndrome with typical NMOSD MRI lesions or</w:t>
            </w:r>
          </w:p>
          <w:p w14:paraId="06DB1DA4" w14:textId="77777777" w:rsidR="00335F84" w:rsidRDefault="00335F84" w:rsidP="00335F84">
            <w:pPr>
              <w:pStyle w:val="ListParagraph"/>
              <w:numPr>
                <w:ilvl w:val="0"/>
                <w:numId w:val="34"/>
              </w:numPr>
              <w:rPr>
                <w:i/>
              </w:rPr>
            </w:pPr>
            <w:r>
              <w:rPr>
                <w:i/>
              </w:rPr>
              <w:t xml:space="preserve">Monophasic </w:t>
            </w:r>
            <w:proofErr w:type="spellStart"/>
            <w:r>
              <w:rPr>
                <w:i/>
              </w:rPr>
              <w:t>neuromyelitis</w:t>
            </w:r>
            <w:proofErr w:type="spellEnd"/>
            <w:r>
              <w:rPr>
                <w:i/>
              </w:rPr>
              <w:t xml:space="preserve"> </w:t>
            </w:r>
            <w:proofErr w:type="spellStart"/>
            <w:r>
              <w:rPr>
                <w:i/>
              </w:rPr>
              <w:t>optica</w:t>
            </w:r>
            <w:proofErr w:type="spellEnd"/>
            <w:r>
              <w:rPr>
                <w:i/>
              </w:rPr>
              <w:t xml:space="preserve"> (no recurrence; simultaneous or closely related optic neuritis and LETM within 30 days); or</w:t>
            </w:r>
          </w:p>
          <w:p w14:paraId="1F0CBE13" w14:textId="77777777" w:rsidR="00335F84" w:rsidRDefault="00335F84" w:rsidP="00335F84">
            <w:pPr>
              <w:pStyle w:val="ListParagraph"/>
              <w:numPr>
                <w:ilvl w:val="0"/>
                <w:numId w:val="34"/>
              </w:numPr>
              <w:rPr>
                <w:i/>
              </w:rPr>
            </w:pPr>
            <w:r>
              <w:rPr>
                <w:i/>
              </w:rPr>
              <w:t>Acute disseminated encephalomyelitis; or</w:t>
            </w:r>
          </w:p>
          <w:p w14:paraId="46E499CC" w14:textId="77777777" w:rsidR="00335F84" w:rsidRDefault="00335F84" w:rsidP="00335F84">
            <w:pPr>
              <w:pStyle w:val="ListParagraph"/>
              <w:numPr>
                <w:ilvl w:val="0"/>
                <w:numId w:val="34"/>
              </w:numPr>
              <w:rPr>
                <w:i/>
              </w:rPr>
            </w:pPr>
            <w:r>
              <w:rPr>
                <w:i/>
              </w:rPr>
              <w:t>Aseptic meningitis and encephalomyelitis; or</w:t>
            </w:r>
          </w:p>
          <w:p w14:paraId="7FF70B35" w14:textId="24E38E61" w:rsidR="00335F84" w:rsidRPr="008E408D" w:rsidRDefault="00335F84" w:rsidP="00335F84">
            <w:pPr>
              <w:pStyle w:val="ListParagraph"/>
              <w:numPr>
                <w:ilvl w:val="0"/>
                <w:numId w:val="34"/>
              </w:numPr>
              <w:rPr>
                <w:i/>
              </w:rPr>
            </w:pPr>
            <w:r>
              <w:rPr>
                <w:i/>
              </w:rPr>
              <w:t>Patient has poor recovery from multiple sclerosis relapses</w:t>
            </w:r>
          </w:p>
          <w:p w14:paraId="4375E392" w14:textId="77777777" w:rsidR="00335F84" w:rsidRDefault="00335F84" w:rsidP="008E408D">
            <w:pPr>
              <w:spacing w:before="240" w:after="240"/>
              <w:rPr>
                <w:i/>
              </w:rPr>
            </w:pPr>
            <w:r>
              <w:rPr>
                <w:i/>
              </w:rPr>
              <w:t>(Item is subject to rule 26)</w:t>
            </w:r>
          </w:p>
          <w:p w14:paraId="78F37469" w14:textId="77777777" w:rsidR="00335F84" w:rsidRDefault="00335F84" w:rsidP="00335F84">
            <w:pPr>
              <w:rPr>
                <w:i/>
              </w:rPr>
            </w:pPr>
            <w:r>
              <w:rPr>
                <w:i/>
              </w:rPr>
              <w:t xml:space="preserve">Explanatory notes: </w:t>
            </w:r>
          </w:p>
          <w:p w14:paraId="2EC5DCE7" w14:textId="77777777" w:rsidR="00335F84" w:rsidRDefault="00335F84" w:rsidP="00335F84">
            <w:pPr>
              <w:rPr>
                <w:i/>
              </w:rPr>
            </w:pPr>
            <w:r>
              <w:rPr>
                <w:i/>
              </w:rPr>
              <w:t>This test is not intended for monitoring purposes</w:t>
            </w:r>
          </w:p>
          <w:p w14:paraId="77B84E06" w14:textId="77777777" w:rsidR="00335F84" w:rsidRDefault="00335F84" w:rsidP="00335F84">
            <w:pPr>
              <w:rPr>
                <w:i/>
              </w:rPr>
            </w:pPr>
            <w:r>
              <w:rPr>
                <w:i/>
              </w:rPr>
              <w:t xml:space="preserve">This item is to </w:t>
            </w:r>
            <w:proofErr w:type="gramStart"/>
            <w:r>
              <w:rPr>
                <w:i/>
              </w:rPr>
              <w:t>be requested</w:t>
            </w:r>
            <w:proofErr w:type="gramEnd"/>
            <w:r>
              <w:rPr>
                <w:i/>
              </w:rPr>
              <w:t xml:space="preserve"> by a specialist or consultant physician.</w:t>
            </w:r>
          </w:p>
          <w:p w14:paraId="433B25E7" w14:textId="71F72A39" w:rsidR="00335F84" w:rsidRPr="008E408D" w:rsidRDefault="00335F84" w:rsidP="008E408D">
            <w:pPr>
              <w:rPr>
                <w:i/>
              </w:rPr>
            </w:pPr>
            <w:r>
              <w:rPr>
                <w:i/>
              </w:rPr>
              <w:t>This item number should not be used more than 4 time</w:t>
            </w:r>
            <w:r w:rsidR="00B973BF">
              <w:rPr>
                <w:i/>
              </w:rPr>
              <w:t>s</w:t>
            </w:r>
            <w:r>
              <w:rPr>
                <w:i/>
              </w:rPr>
              <w:t xml:space="preserve"> in any 12 month period</w:t>
            </w:r>
          </w:p>
          <w:p w14:paraId="150FB4F2" w14:textId="2C0B0CF5" w:rsidR="00335F84" w:rsidRPr="008E408D" w:rsidRDefault="00335F84" w:rsidP="008E408D">
            <w:pPr>
              <w:spacing w:before="240"/>
              <w:rPr>
                <w:i/>
              </w:rPr>
            </w:pPr>
            <w:r>
              <w:rPr>
                <w:i/>
              </w:rPr>
              <w:t xml:space="preserve">Fee: </w:t>
            </w:r>
            <w:r>
              <w:rPr>
                <w:i/>
                <w:color w:val="FF0000"/>
              </w:rPr>
              <w:t>$50.00</w:t>
            </w:r>
            <w:r w:rsidR="00BB1D14">
              <w:rPr>
                <w:i/>
              </w:rPr>
              <w:t xml:space="preserve">  </w:t>
            </w:r>
            <w:r>
              <w:rPr>
                <w:i/>
              </w:rPr>
              <w:t xml:space="preserve">Benefit: 75% = </w:t>
            </w:r>
            <w:r w:rsidR="00BB1D14">
              <w:rPr>
                <w:i/>
                <w:color w:val="FF0000"/>
              </w:rPr>
              <w:t xml:space="preserve">$37.50 </w:t>
            </w:r>
            <w:r>
              <w:rPr>
                <w:i/>
                <w:color w:val="FF0000"/>
              </w:rPr>
              <w:t xml:space="preserve"> </w:t>
            </w:r>
            <w:r>
              <w:rPr>
                <w:i/>
              </w:rPr>
              <w:t>85% =</w:t>
            </w:r>
            <w:r>
              <w:rPr>
                <w:i/>
                <w:strike/>
              </w:rPr>
              <w:t xml:space="preserve"> </w:t>
            </w:r>
            <w:r>
              <w:rPr>
                <w:i/>
                <w:color w:val="FF0000"/>
              </w:rPr>
              <w:t>$42.50</w:t>
            </w:r>
          </w:p>
        </w:tc>
      </w:tr>
    </w:tbl>
    <w:p w14:paraId="47D34D5F" w14:textId="2EC1ECD0" w:rsidR="00E56366" w:rsidRPr="00D91F2A" w:rsidRDefault="00335F84" w:rsidP="00D91F2A">
      <w:pPr>
        <w:spacing w:before="60" w:after="120"/>
        <w:contextualSpacing/>
        <w:rPr>
          <w:rFonts w:ascii="Arial Narrow" w:hAnsi="Arial Narrow" w:cs="Arial"/>
          <w:sz w:val="20"/>
        </w:rPr>
      </w:pPr>
      <w:r>
        <w:rPr>
          <w:rFonts w:ascii="Arial Narrow" w:hAnsi="Arial Narrow" w:cs="Arial"/>
          <w:snapToGrid w:val="0"/>
          <w:sz w:val="20"/>
        </w:rPr>
        <w:t>Source: MSAC Discussion</w:t>
      </w:r>
    </w:p>
    <w:p w14:paraId="0AA18878" w14:textId="77777777" w:rsidR="00BC1364" w:rsidRPr="00F715D1" w:rsidRDefault="00BC1364" w:rsidP="00F715D1">
      <w:pPr>
        <w:pStyle w:val="Heading1"/>
      </w:pPr>
      <w:r w:rsidRPr="00F715D1">
        <w:t>Background</w:t>
      </w:r>
    </w:p>
    <w:p w14:paraId="1AADC590" w14:textId="6216A2CB" w:rsidR="00AC7873" w:rsidRDefault="00AC7873" w:rsidP="008E408D">
      <w:pPr>
        <w:keepNext/>
      </w:pPr>
      <w:r>
        <w:t xml:space="preserve">This is the first submission (Department </w:t>
      </w:r>
      <w:r w:rsidR="000267E0">
        <w:t>C</w:t>
      </w:r>
      <w:r>
        <w:t xml:space="preserve">ontracted </w:t>
      </w:r>
      <w:r w:rsidR="000267E0">
        <w:t>A</w:t>
      </w:r>
      <w:r>
        <w:t xml:space="preserve">ssessment </w:t>
      </w:r>
      <w:r w:rsidR="000267E0">
        <w:t>R</w:t>
      </w:r>
      <w:r>
        <w:t>eport [DCAR]) for AQP4-Ab</w:t>
      </w:r>
      <w:r w:rsidRPr="00FC0F62">
        <w:t xml:space="preserve"> and </w:t>
      </w:r>
      <w:r>
        <w:t>MOG-Ab</w:t>
      </w:r>
      <w:r w:rsidRPr="00FC0F62">
        <w:t xml:space="preserve"> testing </w:t>
      </w:r>
      <w:r>
        <w:t>in patients suspected of</w:t>
      </w:r>
      <w:r w:rsidRPr="00FC0F62">
        <w:t xml:space="preserve"> </w:t>
      </w:r>
      <w:proofErr w:type="spellStart"/>
      <w:r w:rsidRPr="00FC0F62">
        <w:t>neuromyelitis</w:t>
      </w:r>
      <w:proofErr w:type="spellEnd"/>
      <w:r w:rsidRPr="00FC0F62">
        <w:t xml:space="preserve"> </w:t>
      </w:r>
      <w:proofErr w:type="spellStart"/>
      <w:r w:rsidRPr="00FC0F62">
        <w:t>optica</w:t>
      </w:r>
      <w:proofErr w:type="spellEnd"/>
      <w:r w:rsidRPr="00FC0F62">
        <w:t xml:space="preserve"> spectrum disorders (NMOSD)</w:t>
      </w:r>
      <w:r>
        <w:t>. MSAC has not previously considered this application.</w:t>
      </w:r>
    </w:p>
    <w:p w14:paraId="453D4CBA" w14:textId="2ACB248A" w:rsidR="00AC7873" w:rsidRDefault="00AC7873" w:rsidP="008E408D">
      <w:pPr>
        <w:tabs>
          <w:tab w:val="left" w:pos="720"/>
          <w:tab w:val="left" w:pos="1140"/>
        </w:tabs>
        <w:spacing w:before="240"/>
      </w:pPr>
      <w:r w:rsidRPr="00E8539F">
        <w:t xml:space="preserve">The Pathology Clinical Committee – Immunology (PCC-Immunology) of the MBS </w:t>
      </w:r>
      <w:r w:rsidR="00D862ED">
        <w:t>R</w:t>
      </w:r>
      <w:r w:rsidRPr="00E8539F">
        <w:t xml:space="preserve">eview </w:t>
      </w:r>
      <w:r w:rsidR="00D862ED">
        <w:t>T</w:t>
      </w:r>
      <w:r w:rsidRPr="00E8539F">
        <w:t xml:space="preserve">askforce </w:t>
      </w:r>
      <w:r w:rsidR="00D862ED">
        <w:t>recommended the application</w:t>
      </w:r>
      <w:r w:rsidR="000267E0">
        <w:t xml:space="preserve"> be made</w:t>
      </w:r>
      <w:r w:rsidR="00D862ED">
        <w:t xml:space="preserve">, </w:t>
      </w:r>
      <w:r w:rsidRPr="00E8539F">
        <w:t>claim</w:t>
      </w:r>
      <w:r w:rsidR="00D862ED">
        <w:t>ing</w:t>
      </w:r>
      <w:r w:rsidRPr="00E8539F">
        <w:t xml:space="preserve"> that the successful listing of AQP4-Ab testing in the target </w:t>
      </w:r>
      <w:r w:rsidR="00782FF3">
        <w:t xml:space="preserve">patient </w:t>
      </w:r>
      <w:r w:rsidRPr="00E8539F">
        <w:t xml:space="preserve">population and setting </w:t>
      </w:r>
      <w:r w:rsidR="00D862ED">
        <w:t>would</w:t>
      </w:r>
      <w:r w:rsidRPr="00E8539F">
        <w:t xml:space="preserve"> lead to more rapid diagnosis and treatment, which will ultimately improve patient outcomes</w:t>
      </w:r>
      <w:r>
        <w:rPr>
          <w:rStyle w:val="FootnoteReference"/>
        </w:rPr>
        <w:footnoteReference w:id="1"/>
      </w:r>
      <w:r>
        <w:t>.</w:t>
      </w:r>
    </w:p>
    <w:p w14:paraId="5BB55782" w14:textId="5E53E282" w:rsidR="00AC7873" w:rsidRDefault="00AC7873" w:rsidP="008E408D">
      <w:pPr>
        <w:tabs>
          <w:tab w:val="left" w:pos="720"/>
          <w:tab w:val="left" w:pos="1140"/>
        </w:tabs>
        <w:spacing w:before="240"/>
      </w:pPr>
      <w:r w:rsidRPr="00E8539F">
        <w:t xml:space="preserve">AQP4-Ab testing </w:t>
      </w:r>
      <w:proofErr w:type="gramStart"/>
      <w:r w:rsidRPr="00E8539F">
        <w:t xml:space="preserve">is currently performed and rebated under a generic </w:t>
      </w:r>
      <w:r w:rsidR="00D862ED">
        <w:t xml:space="preserve">MBS </w:t>
      </w:r>
      <w:r w:rsidRPr="00E8539F">
        <w:t xml:space="preserve">item </w:t>
      </w:r>
      <w:r w:rsidRPr="00FC0F62">
        <w:t>(71119 or 71165)</w:t>
      </w:r>
      <w:proofErr w:type="gramEnd"/>
      <w:r w:rsidRPr="00E8539F">
        <w:t>.</w:t>
      </w:r>
    </w:p>
    <w:p w14:paraId="39D0D38A" w14:textId="77777777" w:rsidR="00BC1364" w:rsidRPr="00F715D1" w:rsidRDefault="00BC1364" w:rsidP="00F715D1">
      <w:pPr>
        <w:pStyle w:val="Heading1"/>
      </w:pPr>
      <w:r w:rsidRPr="00F715D1">
        <w:t>Prerequisites to implementation of any funding advice</w:t>
      </w:r>
    </w:p>
    <w:p w14:paraId="5A4A4B48" w14:textId="77777777" w:rsidR="00AC7873" w:rsidRDefault="00AC7873" w:rsidP="00AC7873">
      <w:r>
        <w:t xml:space="preserve">The National </w:t>
      </w:r>
      <w:r w:rsidRPr="00FC7A82">
        <w:t>Pathology Accreditation Advisory Council</w:t>
      </w:r>
      <w:r>
        <w:t xml:space="preserve"> (NPAAC) stated that t</w:t>
      </w:r>
      <w:r w:rsidRPr="00FC7A82">
        <w:t xml:space="preserve">his test </w:t>
      </w:r>
      <w:proofErr w:type="gramStart"/>
      <w:r w:rsidRPr="00FC7A82">
        <w:t>is already conducted</w:t>
      </w:r>
      <w:proofErr w:type="gramEnd"/>
      <w:r w:rsidRPr="00FC7A82">
        <w:t xml:space="preserve"> in </w:t>
      </w:r>
      <w:r>
        <w:t>National Association of Testing Authorities (</w:t>
      </w:r>
      <w:r w:rsidRPr="00FC7A82">
        <w:t>NATA</w:t>
      </w:r>
      <w:r>
        <w:t>)</w:t>
      </w:r>
      <w:r w:rsidRPr="00FC7A82">
        <w:t xml:space="preserve"> accredited Australian laboratories and there is an existing quality assurance program</w:t>
      </w:r>
      <w:r>
        <w:t xml:space="preserve"> (QAP).</w:t>
      </w:r>
    </w:p>
    <w:p w14:paraId="6B891642" w14:textId="77777777" w:rsidR="00BC1364" w:rsidRPr="00F715D1" w:rsidRDefault="00BC1364" w:rsidP="00F715D1">
      <w:pPr>
        <w:pStyle w:val="Heading1"/>
      </w:pPr>
      <w:r w:rsidRPr="00F715D1">
        <w:lastRenderedPageBreak/>
        <w:t>Proposal for public funding</w:t>
      </w:r>
    </w:p>
    <w:p w14:paraId="67C5256C" w14:textId="110B3AAF" w:rsidR="00AC7873" w:rsidRDefault="00AC7873" w:rsidP="00AC7873">
      <w:r w:rsidRPr="00FC0F62">
        <w:t xml:space="preserve">The item descriptor for AQP4-Ab testing </w:t>
      </w:r>
      <w:r w:rsidR="00D862ED">
        <w:t xml:space="preserve">proposed in the application </w:t>
      </w:r>
      <w:proofErr w:type="gramStart"/>
      <w:r w:rsidRPr="00FC0F62">
        <w:t>is given</w:t>
      </w:r>
      <w:proofErr w:type="gramEnd"/>
      <w:r w:rsidRPr="00FC0F62">
        <w:t xml:space="preserve"> in</w:t>
      </w:r>
      <w:r>
        <w:t xml:space="preserve"> </w:t>
      </w:r>
      <w:r w:rsidR="008E408D" w:rsidRPr="009D6016">
        <w:rPr>
          <w:szCs w:val="24"/>
        </w:rPr>
        <w:fldChar w:fldCharType="begin"/>
      </w:r>
      <w:r w:rsidR="008E408D" w:rsidRPr="009D6016">
        <w:rPr>
          <w:szCs w:val="24"/>
        </w:rPr>
        <w:instrText xml:space="preserve"> REF _Ref50015076 \h </w:instrText>
      </w:r>
      <w:r w:rsidR="009D6016" w:rsidRPr="009D6016">
        <w:rPr>
          <w:szCs w:val="24"/>
        </w:rPr>
        <w:instrText xml:space="preserve"> \* MERGEFORMAT </w:instrText>
      </w:r>
      <w:r w:rsidR="008E408D" w:rsidRPr="009D6016">
        <w:rPr>
          <w:szCs w:val="24"/>
        </w:rPr>
      </w:r>
      <w:r w:rsidR="008E408D" w:rsidRPr="009D6016">
        <w:rPr>
          <w:szCs w:val="24"/>
        </w:rPr>
        <w:fldChar w:fldCharType="separate"/>
      </w:r>
      <w:r w:rsidR="009D6016" w:rsidRPr="009D6016">
        <w:rPr>
          <w:szCs w:val="24"/>
        </w:rPr>
        <w:t xml:space="preserve">Table </w:t>
      </w:r>
      <w:r w:rsidR="009D6016" w:rsidRPr="009D6016">
        <w:rPr>
          <w:noProof/>
          <w:szCs w:val="24"/>
        </w:rPr>
        <w:t>2</w:t>
      </w:r>
      <w:r w:rsidR="008E408D" w:rsidRPr="009D6016">
        <w:rPr>
          <w:szCs w:val="24"/>
        </w:rPr>
        <w:fldChar w:fldCharType="end"/>
      </w:r>
      <w:r w:rsidRPr="00FC0F62">
        <w:t xml:space="preserve">. The item descriptor </w:t>
      </w:r>
      <w:proofErr w:type="gramStart"/>
      <w:r w:rsidRPr="00FC0F62">
        <w:t>was proposed</w:t>
      </w:r>
      <w:proofErr w:type="gramEnd"/>
      <w:r w:rsidRPr="00FC0F62">
        <w:t xml:space="preserve"> by the PCC-Immunology as part of the MBS Review </w:t>
      </w:r>
      <w:r w:rsidR="00782FF3">
        <w:t xml:space="preserve">Taskforce </w:t>
      </w:r>
      <w:r w:rsidRPr="00FC0F62">
        <w:t xml:space="preserve">process. </w:t>
      </w:r>
      <w:r w:rsidR="00782FF3">
        <w:t xml:space="preserve">The meeting of PASC </w:t>
      </w:r>
      <w:r w:rsidR="006F0F03">
        <w:t xml:space="preserve">in </w:t>
      </w:r>
      <w:r w:rsidR="00782FF3">
        <w:t>December 2019</w:t>
      </w:r>
      <w:r w:rsidRPr="00FC0F62">
        <w:t xml:space="preserve"> updated the proposed descriptor to include specific symptoms that are indicative of NMOSD.</w:t>
      </w:r>
      <w:r>
        <w:t xml:space="preserve"> The DCAR stated that the proposed item </w:t>
      </w:r>
      <w:r w:rsidRPr="00FC0F62">
        <w:t xml:space="preserve">permits </w:t>
      </w:r>
      <w:r w:rsidR="00D862ED">
        <w:t xml:space="preserve">testing of </w:t>
      </w:r>
      <w:r w:rsidRPr="00FC0F62">
        <w:t xml:space="preserve">both cerebrospinal fluid (CSF) and serum </w:t>
      </w:r>
      <w:r w:rsidR="00D862ED">
        <w:t>samples</w:t>
      </w:r>
      <w:r w:rsidRPr="00FC0F62">
        <w:t>.</w:t>
      </w:r>
    </w:p>
    <w:p w14:paraId="7550C563" w14:textId="624C3783" w:rsidR="00782FF3" w:rsidRPr="00183E4D" w:rsidRDefault="00AC7873" w:rsidP="008E408D">
      <w:pPr>
        <w:spacing w:before="240"/>
      </w:pPr>
      <w:r>
        <w:t xml:space="preserve">The applicant in </w:t>
      </w:r>
      <w:r w:rsidR="00D862ED">
        <w:t>its</w:t>
      </w:r>
      <w:r>
        <w:t xml:space="preserve"> pre-ESC response indicated that the proposed MBS fee of $43 is insufficient to adequately fund low-volume AQP4-Ab and MOG-Ab testing using best-practice, cell-based assays, with a fee of at least $50 required to cover the costs of providing testing of both antibodies. </w:t>
      </w:r>
      <w:r w:rsidR="000267E0">
        <w:t xml:space="preserve">The applicant also offered to provide advice from pathology and clinical experts in the field to inform further discussions </w:t>
      </w:r>
      <w:r>
        <w:t>with the Department</w:t>
      </w:r>
      <w:r w:rsidR="000267E0">
        <w:t xml:space="preserve"> if necessary</w:t>
      </w:r>
      <w:r>
        <w:t>.</w:t>
      </w:r>
    </w:p>
    <w:p w14:paraId="6AC41ABF" w14:textId="13193647" w:rsidR="00AC7873" w:rsidRPr="00BE62FA" w:rsidRDefault="008E408D" w:rsidP="00BE62FA">
      <w:pPr>
        <w:spacing w:before="240"/>
        <w:rPr>
          <w:rFonts w:ascii="Arial Narrow" w:hAnsi="Arial Narrow"/>
          <w:b/>
          <w:sz w:val="20"/>
        </w:rPr>
      </w:pPr>
      <w:bookmarkStart w:id="2" w:name="_Ref50015076"/>
      <w:r w:rsidRPr="00BE62FA">
        <w:rPr>
          <w:rFonts w:ascii="Arial Narrow" w:hAnsi="Arial Narrow"/>
          <w:b/>
          <w:sz w:val="20"/>
        </w:rPr>
        <w:t xml:space="preserve">Table </w:t>
      </w:r>
      <w:r w:rsidRPr="00BE62FA">
        <w:rPr>
          <w:rFonts w:ascii="Arial Narrow" w:hAnsi="Arial Narrow"/>
          <w:b/>
          <w:sz w:val="20"/>
        </w:rPr>
        <w:fldChar w:fldCharType="begin"/>
      </w:r>
      <w:r w:rsidRPr="00BE62FA">
        <w:rPr>
          <w:rFonts w:ascii="Arial Narrow" w:hAnsi="Arial Narrow"/>
          <w:b/>
          <w:sz w:val="20"/>
        </w:rPr>
        <w:instrText xml:space="preserve"> SEQ Table \* ARABIC </w:instrText>
      </w:r>
      <w:r w:rsidRPr="00BE62FA">
        <w:rPr>
          <w:rFonts w:ascii="Arial Narrow" w:hAnsi="Arial Narrow"/>
          <w:b/>
          <w:sz w:val="20"/>
        </w:rPr>
        <w:fldChar w:fldCharType="separate"/>
      </w:r>
      <w:r w:rsidR="009D6016">
        <w:rPr>
          <w:rFonts w:ascii="Arial Narrow" w:hAnsi="Arial Narrow"/>
          <w:b/>
          <w:noProof/>
          <w:sz w:val="20"/>
        </w:rPr>
        <w:t>2</w:t>
      </w:r>
      <w:r w:rsidRPr="00BE62FA">
        <w:rPr>
          <w:rFonts w:ascii="Arial Narrow" w:hAnsi="Arial Narrow"/>
          <w:b/>
          <w:sz w:val="20"/>
        </w:rPr>
        <w:fldChar w:fldCharType="end"/>
      </w:r>
      <w:bookmarkEnd w:id="2"/>
      <w:r w:rsidR="00B63FFD" w:rsidRPr="00BE62FA">
        <w:rPr>
          <w:rFonts w:ascii="Arial Narrow" w:hAnsi="Arial Narrow"/>
          <w:b/>
          <w:sz w:val="20"/>
        </w:rPr>
        <w:tab/>
      </w:r>
      <w:r w:rsidR="00782FF3" w:rsidRPr="00BE62FA">
        <w:rPr>
          <w:rFonts w:ascii="Arial Narrow" w:hAnsi="Arial Narrow"/>
          <w:b/>
          <w:sz w:val="20"/>
        </w:rPr>
        <w:t>Applicant p</w:t>
      </w:r>
      <w:r w:rsidR="00AC7873" w:rsidRPr="00BE62FA">
        <w:rPr>
          <w:rFonts w:ascii="Arial Narrow" w:hAnsi="Arial Narrow"/>
          <w:b/>
          <w:sz w:val="20"/>
        </w:rPr>
        <w:t>roposed MBS item descriptor for antibody testing to diagnose or monitor NMOSD (</w:t>
      </w:r>
      <w:r w:rsidR="00AC7873" w:rsidRPr="00BE62FA">
        <w:rPr>
          <w:rFonts w:ascii="Arial Narrow" w:hAnsi="Arial Narrow"/>
          <w:b/>
          <w:i/>
          <w:sz w:val="20"/>
        </w:rPr>
        <w:t>Note, the applicant increased the proposed fee to $50 (</w:t>
      </w:r>
      <w:r w:rsidR="00AC7873" w:rsidRPr="00BE62FA">
        <w:rPr>
          <w:rFonts w:ascii="Arial Narrow" w:hAnsi="Arial Narrow"/>
          <w:b/>
          <w:i/>
          <w:color w:val="FF0000"/>
          <w:sz w:val="20"/>
        </w:rPr>
        <w:t xml:space="preserve">in </w:t>
      </w:r>
      <w:r w:rsidR="00782FF3" w:rsidRPr="00BE62FA">
        <w:rPr>
          <w:rFonts w:ascii="Arial Narrow" w:hAnsi="Arial Narrow"/>
          <w:b/>
          <w:i/>
          <w:color w:val="FF0000"/>
          <w:sz w:val="20"/>
        </w:rPr>
        <w:t>bold font</w:t>
      </w:r>
      <w:r w:rsidR="00AC7873" w:rsidRPr="00BE62FA">
        <w:rPr>
          <w:rFonts w:ascii="Arial Narrow" w:hAnsi="Arial Narrow"/>
          <w:b/>
          <w:i/>
          <w:color w:val="FF0000"/>
          <w:sz w:val="20"/>
        </w:rPr>
        <w:t xml:space="preserve"> below</w:t>
      </w:r>
      <w:r w:rsidR="00AC7873" w:rsidRPr="00BE62FA">
        <w:rPr>
          <w:rFonts w:ascii="Arial Narrow" w:hAnsi="Arial Narrow"/>
          <w:b/>
          <w:i/>
          <w:sz w:val="20"/>
        </w:rPr>
        <w:t xml:space="preserve">], in </w:t>
      </w:r>
      <w:r w:rsidR="00D862ED" w:rsidRPr="00BE62FA">
        <w:rPr>
          <w:rFonts w:ascii="Arial Narrow" w:hAnsi="Arial Narrow"/>
          <w:b/>
          <w:i/>
          <w:sz w:val="20"/>
        </w:rPr>
        <w:t>its</w:t>
      </w:r>
      <w:r w:rsidR="00AC7873" w:rsidRPr="00BE62FA">
        <w:rPr>
          <w:rFonts w:ascii="Arial Narrow" w:hAnsi="Arial Narrow"/>
          <w:b/>
          <w:i/>
          <w:sz w:val="20"/>
        </w:rPr>
        <w:t xml:space="preserve"> pre-ESC response</w:t>
      </w:r>
      <w:r w:rsidR="00AC7873" w:rsidRPr="00BE62FA">
        <w:rPr>
          <w:rFonts w:ascii="Arial Narrow" w:hAnsi="Arial Narrow"/>
          <w:b/>
          <w:sz w:val="20"/>
        </w:rPr>
        <w:t>)</w:t>
      </w:r>
    </w:p>
    <w:tbl>
      <w:tblPr>
        <w:tblStyle w:val="TableGrid4"/>
        <w:tblW w:w="0" w:type="auto"/>
        <w:tblLook w:val="04A0" w:firstRow="1" w:lastRow="0" w:firstColumn="1" w:lastColumn="0" w:noHBand="0" w:noVBand="1"/>
        <w:tblCaption w:val="Proposed Item Descriptor Table"/>
        <w:tblDescription w:val="1. proposed category number from the MBS: 71XXX&#10;2. proposed categroy description from the MBS: PATHOLOGY&#10;3. proposed item descriptor; A test to incestigate the presence of NMOSD by the detection of autoantibodies&#10;4. proposed fee: $43.00"/>
      </w:tblPr>
      <w:tblGrid>
        <w:gridCol w:w="9016"/>
      </w:tblGrid>
      <w:tr w:rsidR="00AC7873" w:rsidRPr="001A6D28" w14:paraId="240FED2E" w14:textId="77777777" w:rsidTr="00927513">
        <w:trPr>
          <w:cantSplit/>
          <w:tblHeader/>
        </w:trPr>
        <w:tc>
          <w:tcPr>
            <w:tcW w:w="9016" w:type="dxa"/>
          </w:tcPr>
          <w:p w14:paraId="0042F725" w14:textId="77777777" w:rsidR="00AC7873" w:rsidRPr="00AC7873" w:rsidRDefault="00AC7873" w:rsidP="00AC7873">
            <w:pPr>
              <w:pStyle w:val="TableText0"/>
              <w:ind w:left="0"/>
              <w:jc w:val="right"/>
              <w:rPr>
                <w:b/>
              </w:rPr>
            </w:pPr>
            <w:r w:rsidRPr="00AC7873">
              <w:rPr>
                <w:b/>
              </w:rPr>
              <w:t>Category PATHOLOGY SERVICES</w:t>
            </w:r>
          </w:p>
        </w:tc>
      </w:tr>
      <w:tr w:rsidR="00AC7873" w:rsidRPr="001A6D28" w14:paraId="6D961A01" w14:textId="77777777" w:rsidTr="00927513">
        <w:trPr>
          <w:cantSplit/>
          <w:tblHeader/>
        </w:trPr>
        <w:tc>
          <w:tcPr>
            <w:tcW w:w="9016" w:type="dxa"/>
          </w:tcPr>
          <w:p w14:paraId="120AD408" w14:textId="77777777" w:rsidR="00AC7873" w:rsidRPr="00AC7873" w:rsidRDefault="00AC7873" w:rsidP="00AC7873">
            <w:pPr>
              <w:pStyle w:val="TableText0"/>
              <w:ind w:left="0"/>
              <w:rPr>
                <w:b/>
              </w:rPr>
            </w:pPr>
            <w:r w:rsidRPr="00AC7873">
              <w:rPr>
                <w:b/>
              </w:rPr>
              <w:t>71XXX</w:t>
            </w:r>
          </w:p>
          <w:p w14:paraId="4475025C" w14:textId="77777777" w:rsidR="00AC7873" w:rsidRPr="001A6D28" w:rsidRDefault="00AC7873" w:rsidP="00AC7873">
            <w:pPr>
              <w:pStyle w:val="TableText0"/>
              <w:ind w:left="0"/>
            </w:pPr>
          </w:p>
          <w:p w14:paraId="57E859E3" w14:textId="57E528CE" w:rsidR="00AC7873" w:rsidRPr="001A6D28" w:rsidRDefault="00AC7873" w:rsidP="00AC7873">
            <w:pPr>
              <w:pStyle w:val="TableText0"/>
              <w:ind w:left="0"/>
            </w:pPr>
            <w:r w:rsidRPr="001A6D28">
              <w:t xml:space="preserve">A test to investigate the presence of </w:t>
            </w:r>
            <w:proofErr w:type="spellStart"/>
            <w:r w:rsidRPr="001A6D28">
              <w:t>neuromyelitis</w:t>
            </w:r>
            <w:proofErr w:type="spellEnd"/>
            <w:r w:rsidRPr="001A6D28">
              <w:t xml:space="preserve"> </w:t>
            </w:r>
            <w:proofErr w:type="spellStart"/>
            <w:r w:rsidRPr="001A6D28">
              <w:t>optica</w:t>
            </w:r>
            <w:proofErr w:type="spellEnd"/>
            <w:r w:rsidRPr="001A6D28">
              <w:t xml:space="preserve"> spectrum disorder (NMOSD) by the detection of one or more antibodies in patients suspected of having NMOSD: </w:t>
            </w:r>
          </w:p>
          <w:p w14:paraId="07CD4AD6" w14:textId="77777777" w:rsidR="00AC7873" w:rsidRPr="001A6D28" w:rsidRDefault="00AC7873" w:rsidP="00AC7873">
            <w:pPr>
              <w:pStyle w:val="TableText0"/>
              <w:ind w:left="0"/>
            </w:pPr>
            <w:r w:rsidRPr="001A6D28">
              <w:t>Recurrent, bilateral or severe optic neuritis; or</w:t>
            </w:r>
          </w:p>
          <w:p w14:paraId="69BCA066" w14:textId="77777777" w:rsidR="00AC7873" w:rsidRPr="001A6D28" w:rsidRDefault="00AC7873" w:rsidP="00AC7873">
            <w:pPr>
              <w:pStyle w:val="TableText0"/>
              <w:ind w:left="0"/>
            </w:pPr>
            <w:r w:rsidRPr="001A6D28">
              <w:t>Recurrent longitudinal extensive transverse myelitis (LETM)</w:t>
            </w:r>
            <w:r w:rsidRPr="001A6D28">
              <w:rPr>
                <w:vertAlign w:val="superscript"/>
              </w:rPr>
              <w:t>a</w:t>
            </w:r>
            <w:r w:rsidRPr="001A6D28">
              <w:t>; or</w:t>
            </w:r>
          </w:p>
          <w:p w14:paraId="04624CCA" w14:textId="77777777" w:rsidR="00AC7873" w:rsidRPr="001A6D28" w:rsidRDefault="00AC7873" w:rsidP="00AC7873">
            <w:pPr>
              <w:pStyle w:val="TableText0"/>
              <w:ind w:left="0"/>
            </w:pPr>
            <w:r w:rsidRPr="001A6D28">
              <w:t xml:space="preserve">Area </w:t>
            </w:r>
            <w:proofErr w:type="spellStart"/>
            <w:r w:rsidRPr="001A6D28">
              <w:t>postrema</w:t>
            </w:r>
            <w:proofErr w:type="spellEnd"/>
            <w:r w:rsidRPr="001A6D28">
              <w:t xml:space="preserve"> syndrome (otherwise unexplained hiccups or nausea/vomiting) or</w:t>
            </w:r>
          </w:p>
          <w:p w14:paraId="4A288BCB" w14:textId="77777777" w:rsidR="00AC7873" w:rsidRPr="001A6D28" w:rsidRDefault="00AC7873" w:rsidP="00AC7873">
            <w:pPr>
              <w:pStyle w:val="TableText0"/>
              <w:ind w:left="0"/>
            </w:pPr>
            <w:r w:rsidRPr="001A6D28">
              <w:t>Acute brainstem syndrome or</w:t>
            </w:r>
          </w:p>
          <w:p w14:paraId="1087BD3F" w14:textId="77777777" w:rsidR="00AC7873" w:rsidRPr="001A6D28" w:rsidRDefault="00AC7873" w:rsidP="00AC7873">
            <w:pPr>
              <w:pStyle w:val="TableText0"/>
              <w:ind w:left="0"/>
            </w:pPr>
            <w:r w:rsidRPr="001A6D28">
              <w:t>Symptomatic narcolepsy or acute diencephalic clinical syndrome with typical NMOSD MRI lesions or</w:t>
            </w:r>
          </w:p>
          <w:p w14:paraId="4273CCD7" w14:textId="77777777" w:rsidR="00AC7873" w:rsidRPr="001A6D28" w:rsidRDefault="00AC7873" w:rsidP="00AC7873">
            <w:pPr>
              <w:pStyle w:val="TableText0"/>
              <w:ind w:left="0"/>
            </w:pPr>
            <w:r w:rsidRPr="001A6D28">
              <w:t>Symptomatic cerebral syndrome with typical NMOSD MRI lesions or</w:t>
            </w:r>
          </w:p>
          <w:p w14:paraId="3A967A14" w14:textId="75E23CAF" w:rsidR="008D041B" w:rsidRPr="001A6D28" w:rsidRDefault="00AC7873" w:rsidP="00AC7873">
            <w:pPr>
              <w:pStyle w:val="TableText0"/>
              <w:ind w:left="0"/>
            </w:pPr>
            <w:r w:rsidRPr="001A6D28">
              <w:t xml:space="preserve">Monophasic </w:t>
            </w:r>
            <w:proofErr w:type="spellStart"/>
            <w:r w:rsidRPr="001A6D28">
              <w:t>neuromyelitis</w:t>
            </w:r>
            <w:proofErr w:type="spellEnd"/>
            <w:r w:rsidRPr="001A6D28">
              <w:t xml:space="preserve"> </w:t>
            </w:r>
            <w:proofErr w:type="spellStart"/>
            <w:r w:rsidRPr="001A6D28">
              <w:t>optica</w:t>
            </w:r>
            <w:proofErr w:type="spellEnd"/>
            <w:r w:rsidRPr="001A6D28">
              <w:t xml:space="preserve"> (no recurrence; simultaneous or closely related optic neuritis and LETM within 30 days) or</w:t>
            </w:r>
          </w:p>
          <w:p w14:paraId="2371B526" w14:textId="775FAF3E" w:rsidR="00AC7873" w:rsidRPr="008E408D" w:rsidRDefault="00AC7873" w:rsidP="00AC7873">
            <w:pPr>
              <w:pStyle w:val="TableText0"/>
              <w:ind w:left="0"/>
            </w:pPr>
            <w:r w:rsidRPr="001A6D28">
              <w:t>Patient has poor recovery from multiple sclerosis relapses</w:t>
            </w:r>
          </w:p>
          <w:p w14:paraId="01585F8B" w14:textId="7B58E30C" w:rsidR="00AC7873" w:rsidRPr="001A6D28" w:rsidRDefault="00AC7873" w:rsidP="008E408D">
            <w:pPr>
              <w:pStyle w:val="TableText0"/>
              <w:spacing w:before="240" w:after="240"/>
              <w:ind w:left="0"/>
              <w:contextualSpacing w:val="0"/>
            </w:pPr>
            <w:r w:rsidRPr="001A6D28">
              <w:t>(Item is subject to rule 26)</w:t>
            </w:r>
          </w:p>
          <w:p w14:paraId="1D23AD51" w14:textId="5FDECF48" w:rsidR="00AC7873" w:rsidRPr="001A6D28" w:rsidRDefault="00AC7873" w:rsidP="00AC7873">
            <w:pPr>
              <w:pStyle w:val="TableText0"/>
              <w:ind w:left="0"/>
            </w:pPr>
            <w:r w:rsidRPr="001A6D28">
              <w:t xml:space="preserve">This item is to </w:t>
            </w:r>
            <w:proofErr w:type="gramStart"/>
            <w:r w:rsidRPr="001A6D28">
              <w:t>be requested</w:t>
            </w:r>
            <w:proofErr w:type="gramEnd"/>
            <w:r w:rsidRPr="001A6D28">
              <w:t xml:space="preserve"> by a specialist or consultant physician.</w:t>
            </w:r>
          </w:p>
          <w:p w14:paraId="6D368847" w14:textId="6BD4DB3E" w:rsidR="00AC7873" w:rsidRPr="001A6D28" w:rsidRDefault="00AC7873" w:rsidP="008E408D">
            <w:pPr>
              <w:pStyle w:val="TableText0"/>
              <w:spacing w:before="240" w:after="240"/>
              <w:ind w:left="0"/>
              <w:contextualSpacing w:val="0"/>
            </w:pPr>
            <w:r w:rsidRPr="001A6D28">
              <w:t>Payable not more than 4 times in any 12 month period</w:t>
            </w:r>
          </w:p>
          <w:p w14:paraId="60170134" w14:textId="1DE6B628" w:rsidR="00AC7873" w:rsidRPr="001A6D28" w:rsidRDefault="00AC7873" w:rsidP="00AC7873">
            <w:pPr>
              <w:pStyle w:val="TableText0"/>
              <w:ind w:left="0"/>
            </w:pPr>
            <w:r w:rsidRPr="001A6D28">
              <w:t>Fee</w:t>
            </w:r>
            <w:r w:rsidRPr="007E765E">
              <w:t xml:space="preserve">: </w:t>
            </w:r>
            <w:r w:rsidRPr="00AC7873">
              <w:rPr>
                <w:strike/>
              </w:rPr>
              <w:t>$43.00</w:t>
            </w:r>
            <w:r>
              <w:t xml:space="preserve"> </w:t>
            </w:r>
            <w:r w:rsidRPr="00D91F2A">
              <w:rPr>
                <w:b/>
                <w:color w:val="FF0000"/>
              </w:rPr>
              <w:t>$50.00</w:t>
            </w:r>
            <w:r w:rsidRPr="00516559">
              <w:t xml:space="preserve">   </w:t>
            </w:r>
            <w:r w:rsidRPr="001A6D28">
              <w:t xml:space="preserve">Benefit: 75% = </w:t>
            </w:r>
            <w:r w:rsidRPr="00CE5DD1">
              <w:rPr>
                <w:strike/>
              </w:rPr>
              <w:t>$32.20</w:t>
            </w:r>
            <w:r w:rsidRPr="001A6D28">
              <w:t xml:space="preserve">  </w:t>
            </w:r>
            <w:r w:rsidR="00082AF6" w:rsidRPr="00D91F2A">
              <w:rPr>
                <w:b/>
                <w:color w:val="FF0000"/>
              </w:rPr>
              <w:t>$37.50</w:t>
            </w:r>
            <w:r w:rsidRPr="00CE5DD1">
              <w:rPr>
                <w:color w:val="FF0000"/>
              </w:rPr>
              <w:t xml:space="preserve">   </w:t>
            </w:r>
            <w:r w:rsidRPr="00CE5DD1">
              <w:rPr>
                <w:strike/>
              </w:rPr>
              <w:t>85% = $36.50</w:t>
            </w:r>
            <w:r w:rsidR="00082AF6">
              <w:t xml:space="preserve"> </w:t>
            </w:r>
            <w:r w:rsidR="00082AF6" w:rsidRPr="00D91F2A">
              <w:rPr>
                <w:b/>
                <w:color w:val="FF0000"/>
              </w:rPr>
              <w:t>$42.50</w:t>
            </w:r>
          </w:p>
        </w:tc>
      </w:tr>
    </w:tbl>
    <w:p w14:paraId="2285FC6D" w14:textId="77777777" w:rsidR="00AC7873" w:rsidRDefault="00AC7873" w:rsidP="00F4009F">
      <w:pPr>
        <w:pStyle w:val="Tablenotes"/>
      </w:pPr>
      <w:proofErr w:type="gramStart"/>
      <w:r>
        <w:rPr>
          <w:vertAlign w:val="superscript"/>
        </w:rPr>
        <w:t>a</w:t>
      </w:r>
      <w:proofErr w:type="gramEnd"/>
      <w:r>
        <w:rPr>
          <w:vertAlign w:val="superscript"/>
        </w:rPr>
        <w:t xml:space="preserve"> </w:t>
      </w:r>
      <w:r>
        <w:t>LETM defined as a spinal cord lesion that extends over 3 or more vertebrae segments (</w:t>
      </w:r>
      <w:proofErr w:type="spellStart"/>
      <w:r>
        <w:t>Wingerchuk</w:t>
      </w:r>
      <w:proofErr w:type="spellEnd"/>
      <w:r>
        <w:t xml:space="preserve"> et al. 2015)</w:t>
      </w:r>
    </w:p>
    <w:p w14:paraId="09319DB2" w14:textId="77777777" w:rsidR="00AC7873" w:rsidRDefault="00AC7873" w:rsidP="00F4009F">
      <w:pPr>
        <w:pStyle w:val="Tablenotes"/>
      </w:pPr>
      <w:r>
        <w:t>Source: Table 1, p17 of the DCAR</w:t>
      </w:r>
    </w:p>
    <w:p w14:paraId="5AECD201" w14:textId="366A3D62"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 xml:space="preserve">onsumer </w:t>
      </w:r>
      <w:r w:rsidR="000267E0" w:rsidRPr="00F715D1">
        <w:t>i</w:t>
      </w:r>
      <w:r w:rsidR="003D7F29" w:rsidRPr="00F715D1">
        <w:t>ssues</w:t>
      </w:r>
    </w:p>
    <w:p w14:paraId="415B9027" w14:textId="266DA8BC" w:rsidR="00AC7873" w:rsidRPr="00183E4D" w:rsidRDefault="00AC7873" w:rsidP="00AC7873">
      <w:r>
        <w:t xml:space="preserve">The DCAR noted that letters </w:t>
      </w:r>
      <w:proofErr w:type="gramStart"/>
      <w:r>
        <w:t>were received</w:t>
      </w:r>
      <w:proofErr w:type="gramEnd"/>
      <w:r>
        <w:t xml:space="preserve"> from two specialist organisations during the </w:t>
      </w:r>
      <w:r w:rsidR="00782FF3">
        <w:t xml:space="preserve">development of the </w:t>
      </w:r>
      <w:r>
        <w:t xml:space="preserve">PICO confirmation </w:t>
      </w:r>
      <w:r w:rsidR="00782FF3">
        <w:t>pre-PASC December 2019</w:t>
      </w:r>
      <w:r>
        <w:t>, which supported the availability of AQP4-Ab and MOG-Ab testing on the MBS.</w:t>
      </w:r>
      <w:r w:rsidR="007D2469">
        <w:t xml:space="preserve"> No further consultation feedback </w:t>
      </w:r>
      <w:proofErr w:type="gramStart"/>
      <w:r w:rsidR="007D2469">
        <w:t>was received</w:t>
      </w:r>
      <w:proofErr w:type="gramEnd"/>
      <w:r w:rsidR="007D2469">
        <w:t xml:space="preserve">. </w:t>
      </w:r>
    </w:p>
    <w:p w14:paraId="623E7BBF" w14:textId="77777777" w:rsidR="00BC1364" w:rsidRPr="00F715D1" w:rsidRDefault="00BC1364" w:rsidP="00F715D1">
      <w:pPr>
        <w:pStyle w:val="Heading1"/>
      </w:pPr>
      <w:r w:rsidRPr="00F715D1">
        <w:t>Proposed intervention’s place in clinical management</w:t>
      </w:r>
    </w:p>
    <w:p w14:paraId="121E4022" w14:textId="490E44F5" w:rsidR="00CF4E81" w:rsidRDefault="00CF4E81" w:rsidP="00433B47">
      <w:pPr>
        <w:rPr>
          <w:b/>
          <w:szCs w:val="24"/>
        </w:rPr>
      </w:pPr>
      <w:r w:rsidRPr="00CF4E81">
        <w:rPr>
          <w:b/>
          <w:szCs w:val="24"/>
        </w:rPr>
        <w:t xml:space="preserve">Description of </w:t>
      </w:r>
      <w:r w:rsidR="000267E0" w:rsidRPr="00CF4E81">
        <w:rPr>
          <w:b/>
          <w:szCs w:val="24"/>
        </w:rPr>
        <w:t>p</w:t>
      </w:r>
      <w:r w:rsidRPr="00CF4E81">
        <w:rPr>
          <w:b/>
          <w:szCs w:val="24"/>
        </w:rPr>
        <w:t xml:space="preserve">roposed </w:t>
      </w:r>
      <w:r w:rsidR="000267E0" w:rsidRPr="00CF4E81">
        <w:rPr>
          <w:b/>
          <w:szCs w:val="24"/>
        </w:rPr>
        <w:t>i</w:t>
      </w:r>
      <w:r w:rsidRPr="00CF4E81">
        <w:rPr>
          <w:b/>
          <w:szCs w:val="24"/>
        </w:rPr>
        <w:t>ntervention</w:t>
      </w:r>
    </w:p>
    <w:p w14:paraId="776DCC9B" w14:textId="27AC2711" w:rsidR="00BA30BC" w:rsidRDefault="00433B47" w:rsidP="00433B47">
      <w:r>
        <w:t xml:space="preserve">The proposed medical service is to test for antibodies against AQP4 and MOG. AQP4 is a water channel protein considered an integral constituent of the blood brain barrier. MOG is a component of the myelin sheath exclusively found in the CNS. The presence of serum antibodies to AQP4 is a diagnostic criterion for NMOSD. The 2015 diagnostic criteria for adult patients </w:t>
      </w:r>
      <w:r w:rsidR="002278EC">
        <w:t xml:space="preserve">with NMOSD </w:t>
      </w:r>
      <w:r>
        <w:t xml:space="preserve">stratifies diagnosis into two patient populations – those that are AQP4-IgG positive and those that are AQP4-IgG negative or have unknown status. The </w:t>
      </w:r>
      <w:r>
        <w:lastRenderedPageBreak/>
        <w:t>AQP4-IgG positive group need only satisfy one “core” clinical criteria compared to more stringent clinical and imaging criteria for the negative group. The proposed intervention may facilitate an earlier diagnosis of NMOSD, as distinct from atypical multiple sclerosis (MS), idiopathic transverse myelitis or idiopathic optic neuritis.</w:t>
      </w:r>
      <w:r w:rsidRPr="005B4623">
        <w:t xml:space="preserve"> </w:t>
      </w:r>
      <w:r w:rsidRPr="00FC0F62">
        <w:t xml:space="preserve">This is </w:t>
      </w:r>
      <w:proofErr w:type="gramStart"/>
      <w:r w:rsidRPr="00FC0F62">
        <w:t>important</w:t>
      </w:r>
      <w:proofErr w:type="gramEnd"/>
      <w:r w:rsidRPr="00FC0F62">
        <w:t xml:space="preserve"> as the natural history of untreated NMOSD is significantly worse than that of MS</w:t>
      </w:r>
      <w:r>
        <w:t xml:space="preserve">. The earlier detection of NMOSD leads to a specific treatment path with immunotherapy for attack prevention. Moreover, </w:t>
      </w:r>
      <w:r w:rsidRPr="00FC0F62">
        <w:t>treatments used for MS are ineffective in the treatment for NMOSD</w:t>
      </w:r>
      <w:r>
        <w:t xml:space="preserve"> and may</w:t>
      </w:r>
      <w:r w:rsidR="00890FF7">
        <w:t xml:space="preserve"> </w:t>
      </w:r>
      <w:r>
        <w:t>even contribute to worse</w:t>
      </w:r>
      <w:r w:rsidRPr="00FC0F62">
        <w:t xml:space="preserve"> disease outcome</w:t>
      </w:r>
      <w:r>
        <w:t>s</w:t>
      </w:r>
      <w:r w:rsidRPr="00FC0F62">
        <w:t xml:space="preserve"> </w:t>
      </w:r>
      <w:r>
        <w:t>in</w:t>
      </w:r>
      <w:r w:rsidRPr="00FC0F62">
        <w:t xml:space="preserve"> individuals with NMOSD.</w:t>
      </w:r>
    </w:p>
    <w:p w14:paraId="63CEDAC2" w14:textId="3E03506A" w:rsidR="00433B47" w:rsidRPr="00433B47" w:rsidRDefault="00433B47" w:rsidP="008E408D">
      <w:pPr>
        <w:spacing w:before="240"/>
      </w:pPr>
      <w:r>
        <w:t xml:space="preserve">Regardless of </w:t>
      </w:r>
      <w:proofErr w:type="spellStart"/>
      <w:r>
        <w:t>serostatus</w:t>
      </w:r>
      <w:proofErr w:type="spellEnd"/>
      <w:r>
        <w:t xml:space="preserve">, at least one discrete clinical attack of CNS symptoms must occur to establish </w:t>
      </w:r>
      <w:r w:rsidR="00890FF7">
        <w:t xml:space="preserve">an </w:t>
      </w:r>
      <w:r>
        <w:t xml:space="preserve">NMOSD diagnosis. </w:t>
      </w:r>
      <w:r w:rsidR="00890FF7">
        <w:t xml:space="preserve">An </w:t>
      </w:r>
      <w:r>
        <w:t xml:space="preserve">NMOSD diagnosis is also partly a diagnosis by exclusion of alternatives and this </w:t>
      </w:r>
      <w:proofErr w:type="gramStart"/>
      <w:r>
        <w:t>is explicitly outlined</w:t>
      </w:r>
      <w:proofErr w:type="gramEnd"/>
      <w:r>
        <w:t xml:space="preserve"> in the 2015 guidelines with a table of red flags signalling the possibility of other diagnoses. </w:t>
      </w:r>
      <w:r w:rsidRPr="00FC0F62">
        <w:t xml:space="preserve">For those patients suspected of having NMOSD, but test negative for AQP4 or MOG antibodies, their management will depend on </w:t>
      </w:r>
      <w:r>
        <w:t xml:space="preserve">the suspected diagnoses. </w:t>
      </w:r>
      <w:r w:rsidRPr="00FC0F62">
        <w:t xml:space="preserve">Those who </w:t>
      </w:r>
      <w:proofErr w:type="gramStart"/>
      <w:r w:rsidRPr="00FC0F62">
        <w:t>are assumed</w:t>
      </w:r>
      <w:proofErr w:type="gramEnd"/>
      <w:r w:rsidRPr="00FC0F62">
        <w:t xml:space="preserve"> to have MS but truly have NMOSD will not respond to MS treatment</w:t>
      </w:r>
      <w:r>
        <w:t>. They</w:t>
      </w:r>
      <w:r w:rsidRPr="00FC0F62">
        <w:t xml:space="preserve"> are likely to develop further clinical features of NMOSD and </w:t>
      </w:r>
      <w:proofErr w:type="gramStart"/>
      <w:r w:rsidRPr="00FC0F62">
        <w:t>be clinically diagnosed</w:t>
      </w:r>
      <w:proofErr w:type="gramEnd"/>
      <w:r w:rsidRPr="00FC0F62">
        <w:t xml:space="preserve"> as having antibody-negative NMOSD after a delay.</w:t>
      </w:r>
    </w:p>
    <w:p w14:paraId="11AB29DC" w14:textId="603FB72B" w:rsidR="00CF4E81" w:rsidRPr="00CF4E81" w:rsidRDefault="00CF4E81" w:rsidP="008E408D">
      <w:pPr>
        <w:autoSpaceDE w:val="0"/>
        <w:autoSpaceDN w:val="0"/>
        <w:adjustRightInd w:val="0"/>
        <w:spacing w:before="240"/>
        <w:rPr>
          <w:b/>
        </w:rPr>
      </w:pPr>
      <w:r w:rsidRPr="00CF4E81">
        <w:rPr>
          <w:b/>
        </w:rPr>
        <w:t xml:space="preserve">Description of </w:t>
      </w:r>
      <w:r w:rsidR="00890FF7" w:rsidRPr="00CF4E81">
        <w:rPr>
          <w:b/>
        </w:rPr>
        <w:t>medical con</w:t>
      </w:r>
      <w:r w:rsidRPr="00CF4E81">
        <w:rPr>
          <w:b/>
        </w:rPr>
        <w:t>dition(s)</w:t>
      </w:r>
    </w:p>
    <w:p w14:paraId="145BDAA3" w14:textId="31B3FC8E" w:rsidR="00433B47" w:rsidRDefault="00433B47" w:rsidP="00433B47">
      <w:r>
        <w:t>The target population is those suspected of having NMOSD.</w:t>
      </w:r>
    </w:p>
    <w:p w14:paraId="6D9F1485" w14:textId="42B50899" w:rsidR="00433B47" w:rsidRDefault="00433B47" w:rsidP="008E408D">
      <w:pPr>
        <w:spacing w:before="240"/>
      </w:pPr>
      <w:r>
        <w:t xml:space="preserve">NMOSD is a rare but severe inflammatory autoimmune disorder of the CNS. The condition predominantly involves the optic nerves and spinal cord, and is characterised by attacks of optic </w:t>
      </w:r>
      <w:r w:rsidRPr="00FC0F62">
        <w:t>neuritis (ON) and longitudinally extens</w:t>
      </w:r>
      <w:r w:rsidR="00890FF7">
        <w:t>ive transverse myelitis (LETM).</w:t>
      </w:r>
    </w:p>
    <w:p w14:paraId="4807B638" w14:textId="00F634A6" w:rsidR="00433B47" w:rsidRDefault="00433B47" w:rsidP="008E408D">
      <w:pPr>
        <w:spacing w:before="240"/>
      </w:pPr>
      <w:r w:rsidRPr="00FC0F62">
        <w:t xml:space="preserve">There are no clinical features that are </w:t>
      </w:r>
      <w:r>
        <w:t>pathognomonic</w:t>
      </w:r>
      <w:r w:rsidRPr="00FC0F62">
        <w:t xml:space="preserve"> for NMOSD, as ON and </w:t>
      </w:r>
      <w:proofErr w:type="gramStart"/>
      <w:r w:rsidRPr="00FC0F62">
        <w:t>myelitis also</w:t>
      </w:r>
      <w:proofErr w:type="gramEnd"/>
      <w:r w:rsidRPr="00FC0F62">
        <w:t xml:space="preserve"> </w:t>
      </w:r>
      <w:r>
        <w:t xml:space="preserve">occur in </w:t>
      </w:r>
      <w:r w:rsidRPr="00FC0F62">
        <w:t>MS. The presence of AQP4-</w:t>
      </w:r>
      <w:r>
        <w:t>IgG</w:t>
      </w:r>
      <w:r w:rsidR="00890FF7">
        <w:t xml:space="preserve"> supports the </w:t>
      </w:r>
      <w:r w:rsidRPr="00FC0F62">
        <w:t>diagnosis of NMOSD from MS and other autoimmune disorders of the CNS.</w:t>
      </w:r>
    </w:p>
    <w:p w14:paraId="6AE66672" w14:textId="77777777" w:rsidR="00433B47" w:rsidRDefault="00433B47" w:rsidP="008E408D">
      <w:pPr>
        <w:autoSpaceDE w:val="0"/>
        <w:autoSpaceDN w:val="0"/>
        <w:adjustRightInd w:val="0"/>
        <w:spacing w:before="240"/>
        <w:rPr>
          <w:b/>
        </w:rPr>
      </w:pPr>
      <w:r>
        <w:rPr>
          <w:b/>
        </w:rPr>
        <w:t>Place in clinical management</w:t>
      </w:r>
    </w:p>
    <w:p w14:paraId="0C814BE0" w14:textId="004F3297" w:rsidR="00433B47" w:rsidRDefault="00433B47" w:rsidP="00433B47">
      <w:r w:rsidRPr="00D8321A">
        <w:t xml:space="preserve">In the absence of antibody testing, diagnosis of NMOSD relies on both the clinical picture (symptoms) and imaging examinations as described by </w:t>
      </w:r>
      <w:proofErr w:type="spellStart"/>
      <w:r w:rsidRPr="00D8321A">
        <w:t>Wingerchuk</w:t>
      </w:r>
      <w:proofErr w:type="spellEnd"/>
      <w:r w:rsidRPr="00D8321A">
        <w:t xml:space="preserve"> et al. (2015)</w:t>
      </w:r>
      <w:r>
        <w:rPr>
          <w:rStyle w:val="FootnoteReference"/>
        </w:rPr>
        <w:footnoteReference w:id="2"/>
      </w:r>
      <w:r w:rsidRPr="00D8321A">
        <w:t xml:space="preserve">. The historical management pathway </w:t>
      </w:r>
      <w:proofErr w:type="gramStart"/>
      <w:r w:rsidRPr="00D8321A">
        <w:t>is illustrated</w:t>
      </w:r>
      <w:proofErr w:type="gramEnd"/>
      <w:r w:rsidRPr="00D8321A">
        <w:t xml:space="preserve"> in</w:t>
      </w:r>
      <w:r>
        <w:t xml:space="preserve"> </w:t>
      </w:r>
      <w:r w:rsidR="008E408D" w:rsidRPr="009D6016">
        <w:rPr>
          <w:szCs w:val="24"/>
        </w:rPr>
        <w:fldChar w:fldCharType="begin"/>
      </w:r>
      <w:r w:rsidR="008E408D" w:rsidRPr="009D6016">
        <w:rPr>
          <w:szCs w:val="24"/>
        </w:rPr>
        <w:instrText xml:space="preserve"> REF _Ref21605155 \h </w:instrText>
      </w:r>
      <w:r w:rsidR="009D6016" w:rsidRPr="009D6016">
        <w:rPr>
          <w:szCs w:val="24"/>
        </w:rPr>
        <w:instrText xml:space="preserve"> \* MERGEFORMAT </w:instrText>
      </w:r>
      <w:r w:rsidR="008E408D" w:rsidRPr="009D6016">
        <w:rPr>
          <w:szCs w:val="24"/>
        </w:rPr>
      </w:r>
      <w:r w:rsidR="008E408D" w:rsidRPr="009D6016">
        <w:rPr>
          <w:szCs w:val="24"/>
        </w:rPr>
        <w:fldChar w:fldCharType="separate"/>
      </w:r>
      <w:r w:rsidR="009D6016" w:rsidRPr="009D6016">
        <w:rPr>
          <w:szCs w:val="24"/>
        </w:rPr>
        <w:t xml:space="preserve">Figure </w:t>
      </w:r>
      <w:r w:rsidR="009D6016" w:rsidRPr="009D6016">
        <w:rPr>
          <w:noProof/>
          <w:szCs w:val="24"/>
        </w:rPr>
        <w:t>1</w:t>
      </w:r>
      <w:r w:rsidR="008E408D" w:rsidRPr="009D6016">
        <w:rPr>
          <w:szCs w:val="24"/>
        </w:rPr>
        <w:fldChar w:fldCharType="end"/>
      </w:r>
      <w:r>
        <w:t>.</w:t>
      </w:r>
    </w:p>
    <w:p w14:paraId="15362584" w14:textId="33A31B1A" w:rsidR="00433B47" w:rsidRDefault="00433B47" w:rsidP="008E408D">
      <w:pPr>
        <w:spacing w:before="240"/>
      </w:pPr>
      <w:r w:rsidRPr="002C589D">
        <w:t>Current standard of care for patients suspected of having NMOSD is diagnosis based not only on the clinical picture (symptoms) and the imaging examinations, but also on the detection of serum AQP4-Abs and/or MOG-Abs. The current management pathway</w:t>
      </w:r>
      <w:r w:rsidR="001B24E6">
        <w:t>s</w:t>
      </w:r>
      <w:r w:rsidRPr="002C589D">
        <w:t xml:space="preserve"> using </w:t>
      </w:r>
      <w:r>
        <w:t>sequential</w:t>
      </w:r>
      <w:r w:rsidRPr="002C589D">
        <w:t xml:space="preserve"> testing </w:t>
      </w:r>
      <w:r w:rsidR="006F0F03">
        <w:t xml:space="preserve">and concurrent testing </w:t>
      </w:r>
      <w:proofErr w:type="gramStart"/>
      <w:r w:rsidR="006F0F03">
        <w:t xml:space="preserve">are </w:t>
      </w:r>
      <w:r w:rsidR="006F0F03" w:rsidRPr="002C589D">
        <w:t>illustrated</w:t>
      </w:r>
      <w:proofErr w:type="gramEnd"/>
      <w:r w:rsidR="006F0F03" w:rsidRPr="002C589D">
        <w:t xml:space="preserve"> in </w:t>
      </w:r>
      <w:r w:rsidR="004E4606" w:rsidRPr="009D6016">
        <w:rPr>
          <w:szCs w:val="24"/>
        </w:rPr>
        <w:fldChar w:fldCharType="begin"/>
      </w:r>
      <w:r w:rsidR="004E4606" w:rsidRPr="009D6016">
        <w:rPr>
          <w:szCs w:val="24"/>
        </w:rPr>
        <w:instrText xml:space="preserve"> REF _Ref21605138 \h </w:instrText>
      </w:r>
      <w:r w:rsidR="009D6016" w:rsidRPr="009D6016">
        <w:rPr>
          <w:szCs w:val="24"/>
        </w:rPr>
        <w:instrText xml:space="preserve"> \* MERGEFORMAT </w:instrText>
      </w:r>
      <w:r w:rsidR="004E4606" w:rsidRPr="009D6016">
        <w:rPr>
          <w:szCs w:val="24"/>
        </w:rPr>
      </w:r>
      <w:r w:rsidR="004E4606" w:rsidRPr="009D6016">
        <w:rPr>
          <w:szCs w:val="24"/>
        </w:rPr>
        <w:fldChar w:fldCharType="separate"/>
      </w:r>
      <w:r w:rsidR="009D6016" w:rsidRPr="009D6016">
        <w:rPr>
          <w:szCs w:val="24"/>
        </w:rPr>
        <w:t xml:space="preserve">Figure </w:t>
      </w:r>
      <w:r w:rsidR="009D6016" w:rsidRPr="009D6016">
        <w:rPr>
          <w:noProof/>
          <w:szCs w:val="24"/>
        </w:rPr>
        <w:t>2</w:t>
      </w:r>
      <w:r w:rsidR="004E4606" w:rsidRPr="009D6016">
        <w:rPr>
          <w:szCs w:val="24"/>
        </w:rPr>
        <w:fldChar w:fldCharType="end"/>
      </w:r>
      <w:r w:rsidR="006F0F03">
        <w:t xml:space="preserve"> and </w:t>
      </w:r>
      <w:r w:rsidR="004E4606" w:rsidRPr="009D6016">
        <w:rPr>
          <w:szCs w:val="24"/>
        </w:rPr>
        <w:fldChar w:fldCharType="begin"/>
      </w:r>
      <w:r w:rsidR="004E4606" w:rsidRPr="009D6016">
        <w:rPr>
          <w:szCs w:val="24"/>
        </w:rPr>
        <w:instrText xml:space="preserve"> REF _Ref23158832 \h </w:instrText>
      </w:r>
      <w:r w:rsidR="009D6016" w:rsidRPr="009D6016">
        <w:rPr>
          <w:szCs w:val="24"/>
        </w:rPr>
        <w:instrText xml:space="preserve"> \* MERGEFORMAT </w:instrText>
      </w:r>
      <w:r w:rsidR="004E4606" w:rsidRPr="009D6016">
        <w:rPr>
          <w:szCs w:val="24"/>
        </w:rPr>
      </w:r>
      <w:r w:rsidR="004E4606" w:rsidRPr="009D6016">
        <w:rPr>
          <w:szCs w:val="24"/>
        </w:rPr>
        <w:fldChar w:fldCharType="separate"/>
      </w:r>
      <w:r w:rsidR="009D6016" w:rsidRPr="009D6016">
        <w:rPr>
          <w:szCs w:val="24"/>
        </w:rPr>
        <w:t xml:space="preserve">Figure </w:t>
      </w:r>
      <w:r w:rsidR="009D6016" w:rsidRPr="009D6016">
        <w:rPr>
          <w:noProof/>
          <w:szCs w:val="24"/>
        </w:rPr>
        <w:t>3</w:t>
      </w:r>
      <w:r w:rsidR="004E4606" w:rsidRPr="009D6016">
        <w:rPr>
          <w:szCs w:val="24"/>
        </w:rPr>
        <w:fldChar w:fldCharType="end"/>
      </w:r>
      <w:r w:rsidR="006F0F03">
        <w:t xml:space="preserve"> respectively</w:t>
      </w:r>
      <w:r w:rsidR="006F0F03" w:rsidRPr="002C589D">
        <w:t>.</w:t>
      </w:r>
    </w:p>
    <w:p w14:paraId="5949EEE6" w14:textId="77777777" w:rsidR="00433B47" w:rsidRPr="00BE08AB" w:rsidRDefault="00A35682" w:rsidP="00433B47">
      <w:pPr>
        <w:spacing w:after="200" w:line="276" w:lineRule="auto"/>
        <w:rPr>
          <w:rFonts w:eastAsia="Calibri"/>
          <w:lang w:eastAsia="en-US"/>
        </w:rPr>
      </w:pPr>
      <w:r w:rsidRPr="00BE08AB">
        <w:rPr>
          <w:rFonts w:eastAsia="Calibri"/>
          <w:noProof/>
          <w:lang w:eastAsia="en-US"/>
        </w:rPr>
        <w:object w:dxaOrig="10575" w:dyaOrig="10006" w14:anchorId="41902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4: Algorithm for historical clinical management of suspected NMOSD patients" style="width:449.25pt;height:390.75pt;mso-width-percent:0;mso-height-percent:0;mso-width-percent:0;mso-height-percent:0" o:ole="">
            <v:imagedata r:id="rId10" o:title=""/>
          </v:shape>
          <o:OLEObject Type="Embed" ProgID="Visio.Drawing.15" ShapeID="_x0000_i1025" DrawAspect="Content" ObjectID="_1668934555" r:id="rId11"/>
        </w:object>
      </w:r>
    </w:p>
    <w:p w14:paraId="045EE55E" w14:textId="1D64946F" w:rsidR="00433B47" w:rsidRPr="00BE62FA" w:rsidRDefault="008E408D" w:rsidP="00BE62FA">
      <w:pPr>
        <w:spacing w:before="240"/>
        <w:rPr>
          <w:rFonts w:ascii="Arial Narrow" w:hAnsi="Arial Narrow"/>
          <w:b/>
          <w:sz w:val="20"/>
        </w:rPr>
      </w:pPr>
      <w:bookmarkStart w:id="3" w:name="_Ref21605155"/>
      <w:bookmarkStart w:id="4" w:name="_Toc39580935"/>
      <w:r w:rsidRPr="00BE62FA">
        <w:rPr>
          <w:rFonts w:ascii="Arial Narrow" w:hAnsi="Arial Narrow"/>
          <w:b/>
          <w:sz w:val="20"/>
        </w:rPr>
        <w:t xml:space="preserve">Figure </w:t>
      </w:r>
      <w:r w:rsidRPr="00BE62FA">
        <w:rPr>
          <w:rFonts w:ascii="Arial Narrow" w:hAnsi="Arial Narrow"/>
          <w:b/>
          <w:sz w:val="20"/>
        </w:rPr>
        <w:fldChar w:fldCharType="begin"/>
      </w:r>
      <w:r w:rsidRPr="00BE62FA">
        <w:rPr>
          <w:rFonts w:ascii="Arial Narrow" w:hAnsi="Arial Narrow"/>
          <w:b/>
          <w:sz w:val="20"/>
        </w:rPr>
        <w:instrText xml:space="preserve"> SEQ Figure \* ARABIC </w:instrText>
      </w:r>
      <w:r w:rsidRPr="00BE62FA">
        <w:rPr>
          <w:rFonts w:ascii="Arial Narrow" w:hAnsi="Arial Narrow"/>
          <w:b/>
          <w:sz w:val="20"/>
        </w:rPr>
        <w:fldChar w:fldCharType="separate"/>
      </w:r>
      <w:r w:rsidR="009D6016">
        <w:rPr>
          <w:rFonts w:ascii="Arial Narrow" w:hAnsi="Arial Narrow"/>
          <w:b/>
          <w:noProof/>
          <w:sz w:val="20"/>
        </w:rPr>
        <w:t>1</w:t>
      </w:r>
      <w:r w:rsidRPr="00BE62FA">
        <w:rPr>
          <w:rFonts w:ascii="Arial Narrow" w:hAnsi="Arial Narrow"/>
          <w:b/>
          <w:sz w:val="20"/>
        </w:rPr>
        <w:fldChar w:fldCharType="end"/>
      </w:r>
      <w:bookmarkEnd w:id="3"/>
      <w:r w:rsidR="00433B47" w:rsidRPr="00BE62FA">
        <w:rPr>
          <w:rFonts w:ascii="Arial Narrow" w:hAnsi="Arial Narrow"/>
          <w:b/>
          <w:sz w:val="20"/>
        </w:rPr>
        <w:tab/>
        <w:t>Algorithm for historical clinical management of suspected NMOSD patients</w:t>
      </w:r>
      <w:bookmarkEnd w:id="4"/>
    </w:p>
    <w:p w14:paraId="47920BA2" w14:textId="77777777" w:rsidR="00433B47" w:rsidRPr="00BE08AB" w:rsidRDefault="00433B47" w:rsidP="00433B47">
      <w:pPr>
        <w:widowControl w:val="0"/>
        <w:spacing w:after="120"/>
        <w:contextualSpacing/>
        <w:rPr>
          <w:rFonts w:ascii="Arial Narrow" w:hAnsi="Arial Narrow" w:cs="Arial"/>
          <w:snapToGrid w:val="0"/>
          <w:sz w:val="18"/>
          <w:lang w:val="en-GB" w:eastAsia="ja-JP"/>
        </w:rPr>
      </w:pPr>
      <w:r w:rsidRPr="00BE08AB">
        <w:rPr>
          <w:rFonts w:ascii="Arial Narrow" w:hAnsi="Arial Narrow" w:cs="Arial"/>
          <w:snapToGrid w:val="0"/>
          <w:sz w:val="18"/>
          <w:lang w:eastAsia="en-US"/>
        </w:rPr>
        <w:t>IgG = immunoglobulin G; MRI = magnetic resonance imaging; MS = multiple sclerosis; NMOSD=neuromyelitis optica spectrum disorders; OCB =oligoclonal bands</w:t>
      </w:r>
    </w:p>
    <w:p w14:paraId="48D52071" w14:textId="7EC54B9E" w:rsidR="00433B47" w:rsidRDefault="00433B47" w:rsidP="00433B47">
      <w:pPr>
        <w:widowControl w:val="0"/>
        <w:spacing w:after="120"/>
        <w:contextualSpacing/>
        <w:rPr>
          <w:rFonts w:ascii="Arial Narrow" w:hAnsi="Arial Narrow" w:cs="Arial"/>
          <w:snapToGrid w:val="0"/>
          <w:sz w:val="18"/>
          <w:lang w:eastAsia="en-US"/>
        </w:rPr>
      </w:pPr>
      <w:r w:rsidRPr="00BE08AB">
        <w:rPr>
          <w:rFonts w:ascii="Arial Narrow" w:hAnsi="Arial Narrow" w:cs="Arial"/>
          <w:snapToGrid w:val="0"/>
          <w:sz w:val="18"/>
          <w:vertAlign w:val="superscript"/>
          <w:lang w:eastAsia="en-US"/>
        </w:rPr>
        <w:t>a</w:t>
      </w:r>
      <w:r w:rsidRPr="00BE08AB">
        <w:rPr>
          <w:rFonts w:ascii="Arial Narrow" w:hAnsi="Arial Narrow" w:cs="Arial"/>
          <w:snapToGrid w:val="0"/>
          <w:sz w:val="18"/>
          <w:lang w:eastAsia="en-US"/>
        </w:rPr>
        <w:t xml:space="preserve"> </w:t>
      </w:r>
      <w:r w:rsidR="00B63FFD">
        <w:rPr>
          <w:rFonts w:ascii="Arial Narrow" w:hAnsi="Arial Narrow" w:cs="Arial"/>
          <w:snapToGrid w:val="0"/>
          <w:sz w:val="18"/>
          <w:lang w:eastAsia="en-US"/>
        </w:rPr>
        <w:t>D</w:t>
      </w:r>
      <w:r w:rsidRPr="00BE08AB">
        <w:rPr>
          <w:rFonts w:ascii="Arial Narrow" w:hAnsi="Arial Narrow" w:cs="Arial"/>
          <w:snapToGrid w:val="0"/>
          <w:sz w:val="18"/>
          <w:lang w:eastAsia="en-US"/>
        </w:rPr>
        <w:t xml:space="preserve">iagnostic criteria </w:t>
      </w:r>
      <w:r w:rsidR="00B63FFD">
        <w:rPr>
          <w:rFonts w:ascii="Arial Narrow" w:hAnsi="Arial Narrow" w:cs="Arial"/>
          <w:snapToGrid w:val="0"/>
          <w:sz w:val="18"/>
          <w:lang w:eastAsia="en-US"/>
        </w:rPr>
        <w:t>provided in</w:t>
      </w:r>
      <w:r w:rsidRPr="00BE08AB">
        <w:rPr>
          <w:rFonts w:ascii="Arial Narrow" w:hAnsi="Arial Narrow" w:cs="Arial"/>
          <w:snapToGrid w:val="0"/>
          <w:sz w:val="18"/>
          <w:lang w:eastAsia="en-US"/>
        </w:rPr>
        <w:t xml:space="preserve"> Wingerchuk et al</w:t>
      </w:r>
      <w:r>
        <w:rPr>
          <w:rFonts w:ascii="Arial Narrow" w:hAnsi="Arial Narrow" w:cs="Arial"/>
          <w:snapToGrid w:val="0"/>
          <w:sz w:val="18"/>
          <w:lang w:eastAsia="en-US"/>
        </w:rPr>
        <w:t>.</w:t>
      </w:r>
      <w:r w:rsidRPr="00BE08AB">
        <w:rPr>
          <w:rFonts w:ascii="Arial Narrow" w:hAnsi="Arial Narrow" w:cs="Arial"/>
          <w:snapToGrid w:val="0"/>
          <w:sz w:val="18"/>
          <w:lang w:eastAsia="en-US"/>
        </w:rPr>
        <w:t xml:space="preserve"> 2015</w:t>
      </w:r>
    </w:p>
    <w:p w14:paraId="465F3EC1" w14:textId="33DF68CE" w:rsidR="00433B47" w:rsidRPr="008E408D" w:rsidRDefault="00433B47" w:rsidP="004E4606">
      <w:pPr>
        <w:widowControl w:val="0"/>
        <w:spacing w:after="240"/>
        <w:rPr>
          <w:rFonts w:ascii="Arial Narrow" w:hAnsi="Arial Narrow" w:cs="Arial"/>
          <w:snapToGrid w:val="0"/>
          <w:sz w:val="18"/>
          <w:lang w:eastAsia="en-US"/>
        </w:rPr>
      </w:pPr>
      <w:r>
        <w:rPr>
          <w:rFonts w:ascii="Arial Narrow" w:hAnsi="Arial Narrow" w:cs="Arial"/>
          <w:snapToGrid w:val="0"/>
          <w:sz w:val="18"/>
          <w:lang w:eastAsia="en-US"/>
        </w:rPr>
        <w:t>Source: Figure 4, p44 of the DCAR</w:t>
      </w:r>
    </w:p>
    <w:p w14:paraId="7EFBCEE3" w14:textId="2E86A19D" w:rsidR="00433B47" w:rsidRDefault="00433B47" w:rsidP="008E408D">
      <w:pPr>
        <w:spacing w:before="240" w:after="240"/>
      </w:pPr>
      <w:r>
        <w:rPr>
          <w:noProof/>
        </w:rPr>
        <w:t xml:space="preserve">The DCAR stated that when brain and/or spinal cord MRI is negative or not typical for MS, and MRI is indicative of NMOSD, </w:t>
      </w:r>
      <w:r>
        <w:t>there are two diagnostic options:</w:t>
      </w:r>
    </w:p>
    <w:p w14:paraId="1D3CE4EF" w14:textId="0A73BB52" w:rsidR="00433B47" w:rsidRDefault="00433B47" w:rsidP="00433B47">
      <w:pPr>
        <w:pStyle w:val="ListParagraph"/>
        <w:numPr>
          <w:ilvl w:val="0"/>
          <w:numId w:val="26"/>
        </w:numPr>
      </w:pPr>
      <w:r>
        <w:t xml:space="preserve">Serum AQP4-Ab testing </w:t>
      </w:r>
      <w:r w:rsidRPr="00A409C9">
        <w:t>(</w:t>
      </w:r>
      <w:r w:rsidR="004E4606" w:rsidRPr="009D6016">
        <w:rPr>
          <w:szCs w:val="24"/>
        </w:rPr>
        <w:fldChar w:fldCharType="begin"/>
      </w:r>
      <w:r w:rsidR="004E4606" w:rsidRPr="009D6016">
        <w:rPr>
          <w:szCs w:val="24"/>
        </w:rPr>
        <w:instrText xml:space="preserve"> REF _Ref21605138 \h </w:instrText>
      </w:r>
      <w:r w:rsidR="009D6016" w:rsidRPr="009D6016">
        <w:rPr>
          <w:szCs w:val="24"/>
        </w:rPr>
        <w:instrText xml:space="preserve"> \* MERGEFORMAT </w:instrText>
      </w:r>
      <w:r w:rsidR="004E4606" w:rsidRPr="009D6016">
        <w:rPr>
          <w:szCs w:val="24"/>
        </w:rPr>
      </w:r>
      <w:r w:rsidR="004E4606" w:rsidRPr="009D6016">
        <w:rPr>
          <w:szCs w:val="24"/>
        </w:rPr>
        <w:fldChar w:fldCharType="separate"/>
      </w:r>
      <w:r w:rsidR="009D6016" w:rsidRPr="009D6016">
        <w:rPr>
          <w:szCs w:val="24"/>
        </w:rPr>
        <w:t xml:space="preserve">Figure </w:t>
      </w:r>
      <w:r w:rsidR="009D6016" w:rsidRPr="009D6016">
        <w:rPr>
          <w:noProof/>
          <w:szCs w:val="24"/>
        </w:rPr>
        <w:t>2</w:t>
      </w:r>
      <w:r w:rsidR="004E4606" w:rsidRPr="009D6016">
        <w:rPr>
          <w:szCs w:val="24"/>
        </w:rPr>
        <w:fldChar w:fldCharType="end"/>
      </w:r>
      <w:r>
        <w:t>) followed by MOG-Ab testing in negative cases. A positive serum test for AQP4-Abs is confirmatory for AQP4-Ab NMOSD. When serum AQP4-</w:t>
      </w:r>
      <w:r w:rsidRPr="00FC0F62">
        <w:t>Ab testing is negative, serum MOG-Ab testing is recommended. A positive MOG-Ab test is indicative of MOG-Ab NMOSD diagnosis. When MOG-Ab testing is negative, additional testing is recommended (e.g., MRI/oligoclonal bands (OCB) testing, immunoglobulin G (IgG) index testing)</w:t>
      </w:r>
      <w:r w:rsidR="006F0F03">
        <w:t>.</w:t>
      </w:r>
    </w:p>
    <w:p w14:paraId="336139BF" w14:textId="06A32885" w:rsidR="006F0F03" w:rsidRDefault="00433B47" w:rsidP="008E408D">
      <w:pPr>
        <w:pStyle w:val="ListParagraph"/>
        <w:numPr>
          <w:ilvl w:val="0"/>
          <w:numId w:val="26"/>
        </w:numPr>
      </w:pPr>
      <w:r>
        <w:t>Concurrent serum AQP4-Ab and MOG-Ab testing (</w:t>
      </w:r>
      <w:r w:rsidR="004E4606" w:rsidRPr="009D6016">
        <w:rPr>
          <w:szCs w:val="24"/>
        </w:rPr>
        <w:fldChar w:fldCharType="begin"/>
      </w:r>
      <w:r w:rsidR="004E4606" w:rsidRPr="009D6016">
        <w:rPr>
          <w:szCs w:val="24"/>
        </w:rPr>
        <w:instrText xml:space="preserve"> REF _Ref23158832 \h </w:instrText>
      </w:r>
      <w:r w:rsidR="009D6016" w:rsidRPr="009D6016">
        <w:rPr>
          <w:szCs w:val="24"/>
        </w:rPr>
        <w:instrText xml:space="preserve"> \* MERGEFORMAT </w:instrText>
      </w:r>
      <w:r w:rsidR="004E4606" w:rsidRPr="009D6016">
        <w:rPr>
          <w:szCs w:val="24"/>
        </w:rPr>
      </w:r>
      <w:r w:rsidR="004E4606" w:rsidRPr="009D6016">
        <w:rPr>
          <w:szCs w:val="24"/>
        </w:rPr>
        <w:fldChar w:fldCharType="separate"/>
      </w:r>
      <w:r w:rsidR="009D6016" w:rsidRPr="009D6016">
        <w:rPr>
          <w:szCs w:val="24"/>
        </w:rPr>
        <w:t xml:space="preserve">Figure </w:t>
      </w:r>
      <w:r w:rsidR="009D6016" w:rsidRPr="009D6016">
        <w:rPr>
          <w:noProof/>
          <w:szCs w:val="24"/>
        </w:rPr>
        <w:t>3</w:t>
      </w:r>
      <w:r w:rsidR="004E4606" w:rsidRPr="009D6016">
        <w:rPr>
          <w:szCs w:val="24"/>
        </w:rPr>
        <w:fldChar w:fldCharType="end"/>
      </w:r>
      <w:r>
        <w:t>). A positive serum test for either AQP4-Ab or MOG-Ab is confirmatory for AQP4-Ab NMOSD or MOG-Ab NMOSD, respectively. Should both serum antibody tests be deemed negative for their respective diagnosis conditions, then additional testing is recommended including oligoclonal bands (OCB), immunoglobulin G (IgG) or AQP4-Ab testing in the cerebrospinal fluid (CSF) to determine a differential diagnosis of MS or AQP4-Ab NMOSD or MOG-Ab NMOSD.</w:t>
      </w:r>
    </w:p>
    <w:p w14:paraId="75FB04B7" w14:textId="72448D51" w:rsidR="00433B47" w:rsidRDefault="00433B47" w:rsidP="008E408D">
      <w:pPr>
        <w:spacing w:before="240"/>
      </w:pPr>
      <w:r>
        <w:t>If a diagnosis is made, then treatment is prescribed according to the diagnosis.</w:t>
      </w:r>
    </w:p>
    <w:p w14:paraId="39F0E2DB" w14:textId="77777777" w:rsidR="00433B47" w:rsidRPr="00BE08AB" w:rsidRDefault="00A35682" w:rsidP="00433B47">
      <w:pPr>
        <w:spacing w:after="200" w:line="276" w:lineRule="auto"/>
        <w:rPr>
          <w:rFonts w:eastAsia="Calibri"/>
          <w:lang w:eastAsia="en-US"/>
        </w:rPr>
      </w:pPr>
      <w:r w:rsidRPr="00BE08AB">
        <w:rPr>
          <w:rFonts w:eastAsia="Calibri"/>
          <w:noProof/>
          <w:lang w:eastAsia="en-US"/>
        </w:rPr>
        <w:object w:dxaOrig="10425" w:dyaOrig="11175" w14:anchorId="5189AA39">
          <v:shape id="_x0000_i1026" type="#_x0000_t75" alt="Figure 5 Algorithm for current clinical management of suspected NMOSD patients with sequential AQP4-Ab and MOG-Ab testing" style="width:465.75pt;height:500.25pt;mso-width-percent:0;mso-height-percent:0;mso-width-percent:0;mso-height-percent:0" o:ole="">
            <v:imagedata r:id="rId12" o:title=""/>
          </v:shape>
          <o:OLEObject Type="Embed" ProgID="Visio.Drawing.15" ShapeID="_x0000_i1026" DrawAspect="Content" ObjectID="_1668934556" r:id="rId13"/>
        </w:object>
      </w:r>
    </w:p>
    <w:p w14:paraId="693BC77E" w14:textId="30657381" w:rsidR="00433B47" w:rsidRPr="00BE62FA" w:rsidRDefault="008E408D" w:rsidP="00BE62FA">
      <w:pPr>
        <w:rPr>
          <w:rFonts w:ascii="Arial Narrow" w:hAnsi="Arial Narrow"/>
          <w:b/>
          <w:sz w:val="20"/>
        </w:rPr>
      </w:pPr>
      <w:bookmarkStart w:id="5" w:name="_Ref21605138"/>
      <w:bookmarkStart w:id="6" w:name="_Toc39580936"/>
      <w:r w:rsidRPr="00BE62FA">
        <w:rPr>
          <w:rFonts w:ascii="Arial Narrow" w:hAnsi="Arial Narrow"/>
          <w:b/>
          <w:sz w:val="20"/>
        </w:rPr>
        <w:t xml:space="preserve">Figure </w:t>
      </w:r>
      <w:r w:rsidRPr="00BE62FA">
        <w:rPr>
          <w:rFonts w:ascii="Arial Narrow" w:hAnsi="Arial Narrow"/>
          <w:b/>
          <w:sz w:val="20"/>
        </w:rPr>
        <w:fldChar w:fldCharType="begin"/>
      </w:r>
      <w:r w:rsidRPr="00BE62FA">
        <w:rPr>
          <w:rFonts w:ascii="Arial Narrow" w:hAnsi="Arial Narrow"/>
          <w:b/>
          <w:sz w:val="20"/>
        </w:rPr>
        <w:instrText xml:space="preserve"> SEQ Figure \* ARABIC </w:instrText>
      </w:r>
      <w:r w:rsidRPr="00BE62FA">
        <w:rPr>
          <w:rFonts w:ascii="Arial Narrow" w:hAnsi="Arial Narrow"/>
          <w:b/>
          <w:sz w:val="20"/>
        </w:rPr>
        <w:fldChar w:fldCharType="separate"/>
      </w:r>
      <w:r w:rsidR="009D6016">
        <w:rPr>
          <w:rFonts w:ascii="Arial Narrow" w:hAnsi="Arial Narrow"/>
          <w:b/>
          <w:noProof/>
          <w:sz w:val="20"/>
        </w:rPr>
        <w:t>2</w:t>
      </w:r>
      <w:r w:rsidRPr="00BE62FA">
        <w:rPr>
          <w:rFonts w:ascii="Arial Narrow" w:hAnsi="Arial Narrow"/>
          <w:b/>
          <w:sz w:val="20"/>
        </w:rPr>
        <w:fldChar w:fldCharType="end"/>
      </w:r>
      <w:bookmarkEnd w:id="5"/>
      <w:r w:rsidR="00433B47" w:rsidRPr="00BE62FA">
        <w:rPr>
          <w:rFonts w:ascii="Arial Narrow" w:hAnsi="Arial Narrow"/>
          <w:b/>
          <w:sz w:val="20"/>
        </w:rPr>
        <w:tab/>
        <w:t>Algorithm for current clinical management of suspected NMOSD patients with sequential AQP4-Ab and MOG-Ab testing</w:t>
      </w:r>
      <w:bookmarkEnd w:id="6"/>
    </w:p>
    <w:p w14:paraId="3561281B" w14:textId="77777777" w:rsidR="00433B47" w:rsidRPr="00BE08AB" w:rsidRDefault="00433B47" w:rsidP="00433B47">
      <w:pPr>
        <w:widowControl w:val="0"/>
        <w:spacing w:after="120"/>
        <w:contextualSpacing/>
        <w:rPr>
          <w:rFonts w:ascii="Arial Narrow" w:hAnsi="Arial Narrow" w:cs="Arial"/>
          <w:snapToGrid w:val="0"/>
          <w:sz w:val="18"/>
          <w:lang w:val="en-GB" w:eastAsia="ja-JP"/>
        </w:rPr>
      </w:pPr>
      <w:r w:rsidRPr="00BE08AB">
        <w:rPr>
          <w:rFonts w:ascii="Arial Narrow" w:hAnsi="Arial Narrow" w:cs="Arial"/>
          <w:snapToGrid w:val="0"/>
          <w:sz w:val="18"/>
          <w:lang w:eastAsia="en-US"/>
        </w:rPr>
        <w:t>AQP4-Ab = aquaporin-4 antibody; CSF = cerebrospinal fluid; IgG = immunoglobulin G; MARD = myelin oligodendrocyte glycoprotein antibody related disorder; MOG-Ab = myelin oligodendrocyte glycoprotein antibody; MRI = magnetic resonance imaging; MS = multiple sclerosis; NMOSD=neuromyelitis optica spectrum disorders; OCB =oligoclonal bands</w:t>
      </w:r>
    </w:p>
    <w:p w14:paraId="6B4C6CE5" w14:textId="2F9FB20B" w:rsidR="00433B47" w:rsidRDefault="00433B47" w:rsidP="00433B47">
      <w:pPr>
        <w:widowControl w:val="0"/>
        <w:spacing w:after="120"/>
        <w:contextualSpacing/>
        <w:rPr>
          <w:rFonts w:ascii="Arial Narrow" w:hAnsi="Arial Narrow" w:cs="Arial"/>
          <w:snapToGrid w:val="0"/>
          <w:sz w:val="18"/>
          <w:lang w:eastAsia="en-US"/>
        </w:rPr>
      </w:pPr>
      <w:r w:rsidRPr="00BE08AB">
        <w:rPr>
          <w:rFonts w:ascii="Arial Narrow" w:hAnsi="Arial Narrow" w:cs="Arial"/>
          <w:snapToGrid w:val="0"/>
          <w:sz w:val="18"/>
          <w:vertAlign w:val="superscript"/>
          <w:lang w:eastAsia="en-US"/>
        </w:rPr>
        <w:t>a</w:t>
      </w:r>
      <w:r w:rsidRPr="00BE08AB">
        <w:rPr>
          <w:rFonts w:ascii="Arial Narrow" w:hAnsi="Arial Narrow" w:cs="Arial"/>
          <w:snapToGrid w:val="0"/>
          <w:sz w:val="18"/>
          <w:lang w:eastAsia="en-US"/>
        </w:rPr>
        <w:t xml:space="preserve"> </w:t>
      </w:r>
      <w:r w:rsidR="00B63FFD">
        <w:rPr>
          <w:rFonts w:ascii="Arial Narrow" w:hAnsi="Arial Narrow" w:cs="Arial"/>
          <w:snapToGrid w:val="0"/>
          <w:sz w:val="18"/>
          <w:lang w:eastAsia="en-US"/>
        </w:rPr>
        <w:t>D</w:t>
      </w:r>
      <w:r w:rsidRPr="00BE08AB">
        <w:rPr>
          <w:rFonts w:ascii="Arial Narrow" w:hAnsi="Arial Narrow" w:cs="Arial"/>
          <w:snapToGrid w:val="0"/>
          <w:sz w:val="18"/>
          <w:lang w:eastAsia="en-US"/>
        </w:rPr>
        <w:t xml:space="preserve">iagnostic criteria </w:t>
      </w:r>
      <w:r w:rsidR="00B63FFD">
        <w:rPr>
          <w:rFonts w:ascii="Arial Narrow" w:hAnsi="Arial Narrow" w:cs="Arial"/>
          <w:snapToGrid w:val="0"/>
          <w:sz w:val="18"/>
          <w:lang w:eastAsia="en-US"/>
        </w:rPr>
        <w:t xml:space="preserve">provided in </w:t>
      </w:r>
      <w:r w:rsidRPr="00BE08AB">
        <w:rPr>
          <w:rFonts w:ascii="Arial Narrow" w:hAnsi="Arial Narrow" w:cs="Arial"/>
          <w:snapToGrid w:val="0"/>
          <w:sz w:val="18"/>
          <w:lang w:eastAsia="en-US"/>
        </w:rPr>
        <w:t>Wingerchuk et al</w:t>
      </w:r>
      <w:r>
        <w:rPr>
          <w:rFonts w:ascii="Arial Narrow" w:hAnsi="Arial Narrow" w:cs="Arial"/>
          <w:snapToGrid w:val="0"/>
          <w:sz w:val="18"/>
          <w:lang w:eastAsia="en-US"/>
        </w:rPr>
        <w:t>.</w:t>
      </w:r>
      <w:r w:rsidRPr="00BE08AB">
        <w:rPr>
          <w:rFonts w:ascii="Arial Narrow" w:hAnsi="Arial Narrow" w:cs="Arial"/>
          <w:snapToGrid w:val="0"/>
          <w:sz w:val="18"/>
          <w:lang w:eastAsia="en-US"/>
        </w:rPr>
        <w:t xml:space="preserve"> 2015</w:t>
      </w:r>
    </w:p>
    <w:p w14:paraId="2B2BEDE4" w14:textId="48C5291D" w:rsidR="00433B47" w:rsidRPr="008E408D" w:rsidRDefault="00433B47" w:rsidP="008E408D">
      <w:pPr>
        <w:widowControl w:val="0"/>
        <w:spacing w:after="120"/>
        <w:contextualSpacing/>
        <w:rPr>
          <w:rFonts w:ascii="Arial Narrow" w:hAnsi="Arial Narrow" w:cs="Arial"/>
          <w:snapToGrid w:val="0"/>
          <w:sz w:val="18"/>
          <w:lang w:eastAsia="en-US"/>
        </w:rPr>
      </w:pPr>
      <w:r>
        <w:rPr>
          <w:rFonts w:ascii="Arial Narrow" w:hAnsi="Arial Narrow" w:cs="Arial"/>
          <w:snapToGrid w:val="0"/>
          <w:sz w:val="18"/>
          <w:lang w:eastAsia="en-US"/>
        </w:rPr>
        <w:t>Source: Figure 5, p46 of the DCAR</w:t>
      </w:r>
    </w:p>
    <w:p w14:paraId="4F521367" w14:textId="77777777" w:rsidR="00433B47" w:rsidRPr="00BE08AB" w:rsidRDefault="00A35682" w:rsidP="00433B47">
      <w:pPr>
        <w:spacing w:after="200" w:line="276" w:lineRule="auto"/>
        <w:rPr>
          <w:rFonts w:eastAsia="Calibri"/>
          <w:lang w:eastAsia="en-US"/>
        </w:rPr>
      </w:pPr>
      <w:r w:rsidRPr="00BE08AB">
        <w:rPr>
          <w:rFonts w:eastAsia="Calibri"/>
          <w:noProof/>
          <w:lang w:eastAsia="en-US"/>
        </w:rPr>
        <w:object w:dxaOrig="10995" w:dyaOrig="9600" w14:anchorId="29543F59">
          <v:shape id="_x0000_i1027" type="#_x0000_t75" alt="Figure 6 Algorithm for current clinical management of suspected NMOSD patients with concurrent AQP4-Ab and MOG-Ab testing" style="width:503.25pt;height:441pt;mso-width-percent:0;mso-height-percent:0;mso-width-percent:0;mso-height-percent:0" o:ole="">
            <v:imagedata r:id="rId14" o:title=""/>
          </v:shape>
          <o:OLEObject Type="Embed" ProgID="Visio.Drawing.15" ShapeID="_x0000_i1027" DrawAspect="Content" ObjectID="_1668934557" r:id="rId15"/>
        </w:object>
      </w:r>
    </w:p>
    <w:p w14:paraId="1ABF2C83" w14:textId="0B5D9B74" w:rsidR="00433B47" w:rsidRPr="00BE62FA" w:rsidRDefault="008E408D" w:rsidP="00BE62FA">
      <w:pPr>
        <w:rPr>
          <w:rFonts w:ascii="Arial Narrow" w:hAnsi="Arial Narrow"/>
          <w:b/>
          <w:sz w:val="20"/>
        </w:rPr>
      </w:pPr>
      <w:bookmarkStart w:id="7" w:name="_Ref23158832"/>
      <w:bookmarkStart w:id="8" w:name="_Toc39580937"/>
      <w:r w:rsidRPr="00BE62FA">
        <w:rPr>
          <w:rFonts w:ascii="Arial Narrow" w:hAnsi="Arial Narrow"/>
          <w:b/>
          <w:sz w:val="20"/>
        </w:rPr>
        <w:t xml:space="preserve">Figure </w:t>
      </w:r>
      <w:r w:rsidRPr="00BE62FA">
        <w:rPr>
          <w:rFonts w:ascii="Arial Narrow" w:hAnsi="Arial Narrow"/>
          <w:b/>
          <w:sz w:val="20"/>
        </w:rPr>
        <w:fldChar w:fldCharType="begin"/>
      </w:r>
      <w:r w:rsidRPr="00BE62FA">
        <w:rPr>
          <w:rFonts w:ascii="Arial Narrow" w:hAnsi="Arial Narrow"/>
          <w:b/>
          <w:sz w:val="20"/>
        </w:rPr>
        <w:instrText xml:space="preserve"> SEQ Figure \* ARABIC </w:instrText>
      </w:r>
      <w:r w:rsidRPr="00BE62FA">
        <w:rPr>
          <w:rFonts w:ascii="Arial Narrow" w:hAnsi="Arial Narrow"/>
          <w:b/>
          <w:sz w:val="20"/>
        </w:rPr>
        <w:fldChar w:fldCharType="separate"/>
      </w:r>
      <w:r w:rsidR="009D6016">
        <w:rPr>
          <w:rFonts w:ascii="Arial Narrow" w:hAnsi="Arial Narrow"/>
          <w:b/>
          <w:noProof/>
          <w:sz w:val="20"/>
        </w:rPr>
        <w:t>3</w:t>
      </w:r>
      <w:r w:rsidRPr="00BE62FA">
        <w:rPr>
          <w:rFonts w:ascii="Arial Narrow" w:hAnsi="Arial Narrow"/>
          <w:b/>
          <w:sz w:val="20"/>
        </w:rPr>
        <w:fldChar w:fldCharType="end"/>
      </w:r>
      <w:bookmarkEnd w:id="7"/>
      <w:r w:rsidR="00433B47" w:rsidRPr="00BE62FA">
        <w:rPr>
          <w:rFonts w:ascii="Arial Narrow" w:hAnsi="Arial Narrow"/>
          <w:b/>
          <w:sz w:val="20"/>
        </w:rPr>
        <w:tab/>
        <w:t>Algorithm for current clinical management of suspected NMOSD patients with concurrent AQP4-Ab and MOG-Ab testing</w:t>
      </w:r>
      <w:bookmarkEnd w:id="8"/>
    </w:p>
    <w:p w14:paraId="331B6C1E" w14:textId="77777777" w:rsidR="00433B47" w:rsidRPr="00BE08AB" w:rsidRDefault="00433B47" w:rsidP="00433B47">
      <w:pPr>
        <w:widowControl w:val="0"/>
        <w:spacing w:after="120"/>
        <w:contextualSpacing/>
        <w:rPr>
          <w:rFonts w:ascii="Arial Narrow" w:hAnsi="Arial Narrow" w:cs="Arial"/>
          <w:snapToGrid w:val="0"/>
          <w:sz w:val="18"/>
          <w:lang w:val="en-GB" w:eastAsia="ja-JP"/>
        </w:rPr>
      </w:pPr>
      <w:r w:rsidRPr="00BE08AB">
        <w:rPr>
          <w:rFonts w:ascii="Arial Narrow" w:hAnsi="Arial Narrow" w:cs="Arial"/>
          <w:snapToGrid w:val="0"/>
          <w:sz w:val="18"/>
          <w:lang w:eastAsia="en-US"/>
        </w:rPr>
        <w:t>AQP4-Ab = aquaporin-4 antibody; CSF = cerebrospinal fluid; IgG = immunoglobulin G; MARD = myelin oligodendrocyte glycoprotein antibody related disorder; MOG-Ab = myelin oligodendrocyte glycoprotein antibody; MRI = magnetic resonance imaging; MS = multiple sclerosis; NMOSD=neuromyelitis optica spectrum disorders; OCB =oligoclonal bands</w:t>
      </w:r>
    </w:p>
    <w:p w14:paraId="3E0F7C29" w14:textId="24CAFD3A" w:rsidR="00433B47" w:rsidRDefault="00433B47" w:rsidP="00433B47">
      <w:pPr>
        <w:widowControl w:val="0"/>
        <w:spacing w:after="240"/>
        <w:contextualSpacing/>
        <w:rPr>
          <w:rFonts w:ascii="Arial Narrow" w:hAnsi="Arial Narrow" w:cs="Arial"/>
          <w:snapToGrid w:val="0"/>
          <w:sz w:val="18"/>
          <w:lang w:eastAsia="en-US"/>
        </w:rPr>
      </w:pPr>
      <w:r w:rsidRPr="00BE08AB">
        <w:rPr>
          <w:rFonts w:ascii="Arial Narrow" w:hAnsi="Arial Narrow" w:cs="Arial"/>
          <w:snapToGrid w:val="0"/>
          <w:sz w:val="18"/>
          <w:vertAlign w:val="superscript"/>
          <w:lang w:eastAsia="en-US"/>
        </w:rPr>
        <w:t xml:space="preserve">a </w:t>
      </w:r>
      <w:r w:rsidR="00B63FFD">
        <w:rPr>
          <w:rFonts w:ascii="Arial Narrow" w:hAnsi="Arial Narrow" w:cs="Arial"/>
          <w:snapToGrid w:val="0"/>
          <w:sz w:val="18"/>
          <w:lang w:eastAsia="en-US"/>
        </w:rPr>
        <w:t>D</w:t>
      </w:r>
      <w:r w:rsidRPr="00BE08AB">
        <w:rPr>
          <w:rFonts w:ascii="Arial Narrow" w:hAnsi="Arial Narrow" w:cs="Arial"/>
          <w:snapToGrid w:val="0"/>
          <w:sz w:val="18"/>
          <w:lang w:eastAsia="en-US"/>
        </w:rPr>
        <w:t>iagnostic</w:t>
      </w:r>
      <w:r>
        <w:rPr>
          <w:rFonts w:ascii="Arial Narrow" w:hAnsi="Arial Narrow" w:cs="Arial"/>
          <w:snapToGrid w:val="0"/>
          <w:sz w:val="18"/>
          <w:lang w:eastAsia="en-US"/>
        </w:rPr>
        <w:t xml:space="preserve"> criteria </w:t>
      </w:r>
      <w:r w:rsidR="00B63FFD">
        <w:rPr>
          <w:rFonts w:ascii="Arial Narrow" w:hAnsi="Arial Narrow" w:cs="Arial"/>
          <w:snapToGrid w:val="0"/>
          <w:sz w:val="18"/>
          <w:lang w:eastAsia="en-US"/>
        </w:rPr>
        <w:t xml:space="preserve">provided in </w:t>
      </w:r>
      <w:r>
        <w:rPr>
          <w:rFonts w:ascii="Arial Narrow" w:hAnsi="Arial Narrow" w:cs="Arial"/>
          <w:snapToGrid w:val="0"/>
          <w:sz w:val="18"/>
          <w:lang w:eastAsia="en-US"/>
        </w:rPr>
        <w:t>Wingerchuk et al.</w:t>
      </w:r>
      <w:r w:rsidRPr="00BE08AB">
        <w:rPr>
          <w:rFonts w:ascii="Arial Narrow" w:hAnsi="Arial Narrow" w:cs="Arial"/>
          <w:snapToGrid w:val="0"/>
          <w:sz w:val="18"/>
          <w:lang w:eastAsia="en-US"/>
        </w:rPr>
        <w:t xml:space="preserve"> 2015</w:t>
      </w:r>
    </w:p>
    <w:p w14:paraId="731B12C0" w14:textId="77777777" w:rsidR="00433B47" w:rsidRDefault="00433B47" w:rsidP="00433B47">
      <w:pPr>
        <w:widowControl w:val="0"/>
        <w:spacing w:after="240"/>
        <w:rPr>
          <w:rFonts w:ascii="Arial Narrow" w:hAnsi="Arial Narrow" w:cs="Arial"/>
          <w:snapToGrid w:val="0"/>
          <w:sz w:val="18"/>
          <w:lang w:eastAsia="en-US"/>
        </w:rPr>
      </w:pPr>
      <w:r>
        <w:rPr>
          <w:rFonts w:ascii="Arial Narrow" w:hAnsi="Arial Narrow" w:cs="Arial"/>
          <w:snapToGrid w:val="0"/>
          <w:sz w:val="18"/>
          <w:lang w:eastAsia="en-US"/>
        </w:rPr>
        <w:t>Source: Figure 6, p47 of the DCAR</w:t>
      </w:r>
    </w:p>
    <w:p w14:paraId="72AF08DB" w14:textId="74C10C72" w:rsidR="00433B47" w:rsidRPr="008E408D" w:rsidRDefault="00F76612" w:rsidP="008E408D">
      <w:pPr>
        <w:spacing w:before="240"/>
      </w:pPr>
      <w:r w:rsidRPr="008E408D">
        <w:t xml:space="preserve">In </w:t>
      </w:r>
      <w:r w:rsidR="00890FF7" w:rsidRPr="008E408D">
        <w:t>its</w:t>
      </w:r>
      <w:r w:rsidR="00433B47" w:rsidRPr="008E408D">
        <w:t xml:space="preserve"> pre-ESC response</w:t>
      </w:r>
      <w:r w:rsidRPr="008E408D">
        <w:t>, the Applicant</w:t>
      </w:r>
      <w:r w:rsidR="00433B47" w:rsidRPr="008E408D">
        <w:t xml:space="preserve"> indicated that concurrent AQP4-Ab and MOG-Ab testing, as opposed to either AQP4-Ab testing alone, or sequential testing of AQP4-Ab and MOG-Ab, reflects current clinical best practice in Australia.</w:t>
      </w:r>
    </w:p>
    <w:p w14:paraId="3FF3B6EA" w14:textId="23E93973" w:rsidR="00BC1364" w:rsidRPr="00F715D1" w:rsidRDefault="00890FF7" w:rsidP="00F715D1">
      <w:pPr>
        <w:pStyle w:val="Heading1"/>
      </w:pPr>
      <w:r>
        <w:t>Comparator</w:t>
      </w:r>
    </w:p>
    <w:p w14:paraId="05628602" w14:textId="1113D910" w:rsidR="00433B47" w:rsidRDefault="00433B47" w:rsidP="00433B47">
      <w:r>
        <w:t>The DCAR stated that f</w:t>
      </w:r>
      <w:r w:rsidRPr="00EE64A6">
        <w:t xml:space="preserve">ollowing clinical input, </w:t>
      </w:r>
      <w:r>
        <w:t xml:space="preserve">the comparator chosen for assessing the clinical validity was diagnosis of NMOSD based on the 2015 International Panel for Neuromyelitis optica [NMO] Diagnosis (IPND). According to the IPND, diagnosis of NMOSD </w:t>
      </w:r>
      <w:r w:rsidRPr="0018599D">
        <w:rPr>
          <w:i/>
        </w:rPr>
        <w:t>without</w:t>
      </w:r>
      <w:r>
        <w:t xml:space="preserve"> AQP4-Ab testing requires identification of two core clinical characteristics, and at least one of the core clinical characteristics has to be ON, acute myelitis or area postrema syndrome. For the diagnosis of NMOSD </w:t>
      </w:r>
      <w:r w:rsidRPr="0018599D">
        <w:rPr>
          <w:i/>
        </w:rPr>
        <w:t>with</w:t>
      </w:r>
      <w:r>
        <w:t xml:space="preserve"> AQP4-Ab testing, only one of the above-listed core clinical characteristics are required. The diagnostic pathway may vary </w:t>
      </w:r>
      <w:r>
        <w:lastRenderedPageBreak/>
        <w:t>slightly depending on which symptom/s appear first. Additionally, supportive characteristics in cerebral, spinal cord or optic nerve MRI are required w</w:t>
      </w:r>
      <w:r w:rsidR="004E4606">
        <w:t>ith or without AQP4-Ab testing.</w:t>
      </w:r>
    </w:p>
    <w:p w14:paraId="2FBBB698" w14:textId="06A16566" w:rsidR="00433B47" w:rsidRDefault="00433B47" w:rsidP="004E4606">
      <w:pPr>
        <w:spacing w:before="240"/>
      </w:pPr>
      <w:r>
        <w:t xml:space="preserve">The DCAR stated that the financial implications of a new MBS item for AQP4-Ab and/or MOG-Ab testing </w:t>
      </w:r>
      <w:r w:rsidR="00890FF7">
        <w:t>were compared</w:t>
      </w:r>
      <w:r>
        <w:t xml:space="preserve"> against current practice, i.e. AQP4-Ab testing rebated under MBS item 71165 or 71119.</w:t>
      </w:r>
    </w:p>
    <w:p w14:paraId="4F58C414" w14:textId="77777777" w:rsidR="00BC1364" w:rsidRPr="00F715D1" w:rsidRDefault="00BC1364" w:rsidP="00F715D1">
      <w:pPr>
        <w:pStyle w:val="Heading1"/>
      </w:pPr>
      <w:r w:rsidRPr="00F715D1">
        <w:t>Comparative safety</w:t>
      </w:r>
    </w:p>
    <w:p w14:paraId="5B2F5953" w14:textId="51BE3C00" w:rsidR="00433B47" w:rsidRDefault="00433B47" w:rsidP="00433B47">
      <w:r>
        <w:t>No studies were identified that reported direct effectiveness or safety of AQP4-Ab or MOG-Ab testing. T</w:t>
      </w:r>
      <w:r w:rsidRPr="004551FF">
        <w:t>wo</w:t>
      </w:r>
      <w:r>
        <w:t xml:space="preserve"> studies were included that provided evidence on analytical validity, 24 were included on clinical validity, and 21 were included on clinical utility (including 14 on the</w:t>
      </w:r>
      <w:r w:rsidR="004E4606">
        <w:t>rapeutic effectiveness) [</w:t>
      </w:r>
      <w:r w:rsidR="004E4606" w:rsidRPr="009D6016">
        <w:rPr>
          <w:szCs w:val="24"/>
        </w:rPr>
        <w:fldChar w:fldCharType="begin"/>
      </w:r>
      <w:r w:rsidR="004E4606" w:rsidRPr="009D6016">
        <w:rPr>
          <w:szCs w:val="24"/>
        </w:rPr>
        <w:instrText xml:space="preserve"> REF _Ref33538091 \h </w:instrText>
      </w:r>
      <w:r w:rsidR="009D6016" w:rsidRPr="009D6016">
        <w:rPr>
          <w:szCs w:val="24"/>
        </w:rPr>
        <w:instrText xml:space="preserve"> \* MERGEFORMAT </w:instrText>
      </w:r>
      <w:r w:rsidR="004E4606" w:rsidRPr="009D6016">
        <w:rPr>
          <w:szCs w:val="24"/>
        </w:rPr>
      </w:r>
      <w:r w:rsidR="004E4606" w:rsidRPr="009D6016">
        <w:rPr>
          <w:szCs w:val="24"/>
        </w:rPr>
        <w:fldChar w:fldCharType="separate"/>
      </w:r>
      <w:r w:rsidR="009D6016" w:rsidRPr="009D6016">
        <w:rPr>
          <w:szCs w:val="24"/>
        </w:rPr>
        <w:t xml:space="preserve">Table </w:t>
      </w:r>
      <w:r w:rsidR="009D6016" w:rsidRPr="009D6016">
        <w:rPr>
          <w:noProof/>
          <w:szCs w:val="24"/>
        </w:rPr>
        <w:t>3</w:t>
      </w:r>
      <w:r w:rsidR="004E4606" w:rsidRPr="009D6016">
        <w:rPr>
          <w:szCs w:val="24"/>
        </w:rPr>
        <w:fldChar w:fldCharType="end"/>
      </w:r>
      <w:r>
        <w:t>]. The DCAR stated that the majority of studies were of moderate to high risk of bias, primarily due to their retro</w:t>
      </w:r>
      <w:r w:rsidR="004E4606">
        <w:t>spective observational designs.</w:t>
      </w:r>
    </w:p>
    <w:p w14:paraId="4282AC7B" w14:textId="2A6AD8D4" w:rsidR="00433B47" w:rsidRPr="00F4009F" w:rsidRDefault="004E4606" w:rsidP="00F4009F">
      <w:pPr>
        <w:spacing w:before="240"/>
        <w:rPr>
          <w:rFonts w:ascii="Arial Narrow" w:hAnsi="Arial Narrow"/>
          <w:b/>
          <w:sz w:val="20"/>
        </w:rPr>
      </w:pPr>
      <w:bookmarkStart w:id="9" w:name="_Ref33538091"/>
      <w:bookmarkStart w:id="10" w:name="_Toc39580783"/>
      <w:r w:rsidRPr="00F4009F">
        <w:rPr>
          <w:rFonts w:ascii="Arial Narrow" w:hAnsi="Arial Narrow"/>
          <w:b/>
          <w:sz w:val="20"/>
        </w:rPr>
        <w:t xml:space="preserve">Table </w:t>
      </w:r>
      <w:r w:rsidR="00F4009F" w:rsidRPr="00F4009F">
        <w:rPr>
          <w:rFonts w:ascii="Arial Narrow" w:hAnsi="Arial Narrow"/>
          <w:b/>
          <w:sz w:val="20"/>
        </w:rPr>
        <w:fldChar w:fldCharType="begin"/>
      </w:r>
      <w:r w:rsidR="00F4009F" w:rsidRPr="00F4009F">
        <w:rPr>
          <w:rFonts w:ascii="Arial Narrow" w:hAnsi="Arial Narrow"/>
          <w:b/>
          <w:sz w:val="20"/>
        </w:rPr>
        <w:instrText xml:space="preserve"> SEQ Table \* ARABIC </w:instrText>
      </w:r>
      <w:r w:rsidR="00F4009F" w:rsidRPr="00F4009F">
        <w:rPr>
          <w:rFonts w:ascii="Arial Narrow" w:hAnsi="Arial Narrow"/>
          <w:b/>
          <w:sz w:val="20"/>
        </w:rPr>
        <w:fldChar w:fldCharType="separate"/>
      </w:r>
      <w:r w:rsidR="009D6016">
        <w:rPr>
          <w:rFonts w:ascii="Arial Narrow" w:hAnsi="Arial Narrow"/>
          <w:b/>
          <w:noProof/>
          <w:sz w:val="20"/>
        </w:rPr>
        <w:t>3</w:t>
      </w:r>
      <w:r w:rsidR="00F4009F" w:rsidRPr="00F4009F">
        <w:rPr>
          <w:rFonts w:ascii="Arial Narrow" w:hAnsi="Arial Narrow"/>
          <w:b/>
          <w:sz w:val="20"/>
        </w:rPr>
        <w:fldChar w:fldCharType="end"/>
      </w:r>
      <w:bookmarkEnd w:id="9"/>
      <w:r w:rsidR="00433B47" w:rsidRPr="00F4009F">
        <w:rPr>
          <w:rFonts w:ascii="Arial Narrow" w:hAnsi="Arial Narrow"/>
          <w:b/>
          <w:sz w:val="20"/>
        </w:rPr>
        <w:tab/>
        <w:t>Features of the key studies included in the linked evidence</w:t>
      </w:r>
      <w:bookmarkEnd w:id="10"/>
    </w:p>
    <w:tbl>
      <w:tblPr>
        <w:tblStyle w:val="TableGrid1"/>
        <w:tblW w:w="4985" w:type="pct"/>
        <w:tblLook w:val="04A0" w:firstRow="1" w:lastRow="0" w:firstColumn="1" w:lastColumn="0" w:noHBand="0" w:noVBand="1"/>
        <w:tblCaption w:val="TTable 2 Features of the key studies included in the linked evidence "/>
        <w:tblDescription w:val="This table provides a summary of the key features of each study included in the linked evidence base - including the study authors, sample size, study design and duration, risk of bias in the results, patient population characteristics, key outcomes measured, and whether the results were used in the economic evaluation in the report."/>
      </w:tblPr>
      <w:tblGrid>
        <w:gridCol w:w="1999"/>
        <w:gridCol w:w="5935"/>
        <w:gridCol w:w="1055"/>
      </w:tblGrid>
      <w:tr w:rsidR="00433B47" w:rsidRPr="00447C83" w14:paraId="52C7BC7C" w14:textId="77777777" w:rsidTr="00F4009F">
        <w:trPr>
          <w:tblHeader/>
        </w:trPr>
        <w:tc>
          <w:tcPr>
            <w:tcW w:w="1112" w:type="pct"/>
          </w:tcPr>
          <w:p w14:paraId="2A1FB0AB" w14:textId="655BD12F" w:rsidR="00433B47" w:rsidRPr="00447C83" w:rsidRDefault="00433B47" w:rsidP="00890FF7">
            <w:pPr>
              <w:spacing w:before="40" w:after="40"/>
              <w:ind w:left="112" w:hanging="24"/>
              <w:contextualSpacing/>
              <w:rPr>
                <w:rFonts w:ascii="Arial Narrow" w:hAnsi="Arial Narrow"/>
                <w:b/>
                <w:snapToGrid w:val="0"/>
                <w:sz w:val="20"/>
                <w:lang w:eastAsia="en-US"/>
              </w:rPr>
            </w:pPr>
            <w:r w:rsidRPr="00447C83">
              <w:rPr>
                <w:rFonts w:ascii="Arial Narrow" w:hAnsi="Arial Narrow"/>
                <w:b/>
                <w:snapToGrid w:val="0"/>
                <w:sz w:val="20"/>
                <w:lang w:eastAsia="en-US"/>
              </w:rPr>
              <w:t xml:space="preserve">Type of </w:t>
            </w:r>
            <w:r w:rsidR="00890FF7">
              <w:rPr>
                <w:rFonts w:ascii="Arial Narrow" w:hAnsi="Arial Narrow"/>
                <w:b/>
                <w:snapToGrid w:val="0"/>
                <w:sz w:val="20"/>
                <w:lang w:eastAsia="en-US"/>
              </w:rPr>
              <w:t>e</w:t>
            </w:r>
            <w:r w:rsidRPr="00447C83">
              <w:rPr>
                <w:rFonts w:ascii="Arial Narrow" w:hAnsi="Arial Narrow"/>
                <w:b/>
                <w:snapToGrid w:val="0"/>
                <w:sz w:val="20"/>
                <w:lang w:eastAsia="en-US"/>
              </w:rPr>
              <w:t>vidence</w:t>
            </w:r>
          </w:p>
        </w:tc>
        <w:tc>
          <w:tcPr>
            <w:tcW w:w="3300" w:type="pct"/>
          </w:tcPr>
          <w:p w14:paraId="1CC95CA0" w14:textId="77777777" w:rsidR="00433B47" w:rsidRPr="00447C83" w:rsidRDefault="00433B47" w:rsidP="00433B47">
            <w:pPr>
              <w:spacing w:before="40" w:after="40"/>
              <w:ind w:left="112" w:hanging="24"/>
              <w:contextualSpacing/>
              <w:rPr>
                <w:rFonts w:ascii="Arial Narrow" w:hAnsi="Arial Narrow"/>
                <w:b/>
                <w:snapToGrid w:val="0"/>
                <w:sz w:val="20"/>
                <w:lang w:eastAsia="en-US"/>
              </w:rPr>
            </w:pPr>
            <w:r w:rsidRPr="00447C83">
              <w:rPr>
                <w:rFonts w:ascii="Arial Narrow" w:hAnsi="Arial Narrow"/>
                <w:b/>
                <w:snapToGrid w:val="0"/>
                <w:sz w:val="20"/>
                <w:lang w:eastAsia="en-US"/>
              </w:rPr>
              <w:t>Description</w:t>
            </w:r>
          </w:p>
        </w:tc>
        <w:tc>
          <w:tcPr>
            <w:tcW w:w="587" w:type="pct"/>
          </w:tcPr>
          <w:p w14:paraId="73F32B0E" w14:textId="77777777" w:rsidR="00433B47" w:rsidRPr="00447C83" w:rsidRDefault="00433B47" w:rsidP="00433B47">
            <w:pPr>
              <w:spacing w:before="40" w:after="40"/>
              <w:ind w:left="112" w:hanging="24"/>
              <w:contextualSpacing/>
              <w:rPr>
                <w:rFonts w:ascii="Arial Narrow" w:hAnsi="Arial Narrow"/>
                <w:b/>
                <w:snapToGrid w:val="0"/>
                <w:sz w:val="20"/>
                <w:lang w:eastAsia="en-US"/>
              </w:rPr>
            </w:pPr>
            <w:r w:rsidRPr="00447C83">
              <w:rPr>
                <w:rFonts w:ascii="Arial Narrow" w:hAnsi="Arial Narrow"/>
                <w:b/>
                <w:snapToGrid w:val="0"/>
                <w:sz w:val="20"/>
                <w:lang w:eastAsia="en-US"/>
              </w:rPr>
              <w:t>Number</w:t>
            </w:r>
          </w:p>
        </w:tc>
      </w:tr>
      <w:tr w:rsidR="00433B47" w:rsidRPr="00092155" w14:paraId="727280DA" w14:textId="77777777" w:rsidTr="00F4009F">
        <w:tc>
          <w:tcPr>
            <w:tcW w:w="1112" w:type="pct"/>
          </w:tcPr>
          <w:p w14:paraId="5396B963" w14:textId="39FAC0C8" w:rsidR="00433B47" w:rsidRPr="00092155" w:rsidRDefault="00433B47" w:rsidP="00890FF7">
            <w:pPr>
              <w:spacing w:before="40" w:after="40"/>
              <w:ind w:left="112" w:hanging="24"/>
              <w:contextualSpacing/>
              <w:rPr>
                <w:rFonts w:ascii="Arial Narrow" w:hAnsi="Arial Narrow"/>
                <w:snapToGrid w:val="0"/>
                <w:sz w:val="20"/>
                <w:highlight w:val="cyan"/>
                <w:lang w:eastAsia="en-US"/>
              </w:rPr>
            </w:pPr>
            <w:r w:rsidRPr="00092155">
              <w:rPr>
                <w:rFonts w:ascii="Arial Narrow" w:hAnsi="Arial Narrow"/>
                <w:snapToGrid w:val="0"/>
                <w:sz w:val="20"/>
                <w:lang w:eastAsia="en-US"/>
              </w:rPr>
              <w:t>Diagnostic performance (Analytical validity)</w:t>
            </w:r>
          </w:p>
        </w:tc>
        <w:tc>
          <w:tcPr>
            <w:tcW w:w="3300" w:type="pct"/>
          </w:tcPr>
          <w:p w14:paraId="5852EAB9" w14:textId="6237EF12" w:rsidR="00433B47" w:rsidRPr="00092155"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sym w:font="Wingdings" w:char="F0E0"/>
            </w:r>
            <w:r w:rsidRPr="00092155">
              <w:rPr>
                <w:rFonts w:ascii="Arial Narrow" w:hAnsi="Arial Narrow"/>
                <w:snapToGrid w:val="0"/>
                <w:sz w:val="20"/>
                <w:lang w:eastAsia="en-US"/>
              </w:rPr>
              <w:t xml:space="preserve"> One study compared the diagnostic performance of 21 assays including cell-based assays, in detecting serum AQP4-Abs from 15 diagnostic centres</w:t>
            </w:r>
          </w:p>
          <w:p w14:paraId="00039A4C" w14:textId="77777777" w:rsidR="00433B47" w:rsidRPr="00092155"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sym w:font="Wingdings" w:char="F0E0"/>
            </w:r>
            <w:r w:rsidRPr="00092155">
              <w:rPr>
                <w:rFonts w:ascii="Arial Narrow" w:hAnsi="Arial Narrow"/>
                <w:snapToGrid w:val="0"/>
                <w:sz w:val="20"/>
                <w:lang w:eastAsia="en-US"/>
              </w:rPr>
              <w:t xml:space="preserve"> One study compared the diagnostic performance of cell-based assay testing for AQP4-Abs in CSF versus serum</w:t>
            </w:r>
          </w:p>
        </w:tc>
        <w:tc>
          <w:tcPr>
            <w:tcW w:w="587" w:type="pct"/>
          </w:tcPr>
          <w:p w14:paraId="2542F5FB" w14:textId="77777777" w:rsidR="00433B47" w:rsidRPr="00092155"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t>k=2</w:t>
            </w:r>
          </w:p>
          <w:p w14:paraId="14E363A6" w14:textId="77777777" w:rsidR="00433B47" w:rsidRPr="00092155" w:rsidRDefault="00433B47" w:rsidP="00433B47">
            <w:pPr>
              <w:spacing w:before="40" w:after="40"/>
              <w:ind w:left="112" w:hanging="24"/>
              <w:contextualSpacing/>
              <w:rPr>
                <w:rFonts w:ascii="Arial Narrow" w:hAnsi="Arial Narrow"/>
                <w:snapToGrid w:val="0"/>
                <w:sz w:val="20"/>
                <w:highlight w:val="cyan"/>
                <w:lang w:eastAsia="en-US"/>
              </w:rPr>
            </w:pPr>
            <w:r w:rsidRPr="00092155">
              <w:rPr>
                <w:rFonts w:ascii="Arial Narrow" w:hAnsi="Arial Narrow"/>
                <w:snapToGrid w:val="0"/>
                <w:sz w:val="20"/>
                <w:lang w:eastAsia="en-US"/>
              </w:rPr>
              <w:t>n=138</w:t>
            </w:r>
          </w:p>
        </w:tc>
      </w:tr>
      <w:tr w:rsidR="00433B47" w:rsidRPr="00092155" w14:paraId="02B70FDB" w14:textId="77777777" w:rsidTr="00F4009F">
        <w:tc>
          <w:tcPr>
            <w:tcW w:w="1112" w:type="pct"/>
          </w:tcPr>
          <w:p w14:paraId="21FF5D6F" w14:textId="48BE4195" w:rsidR="00433B47" w:rsidRPr="00092155" w:rsidRDefault="00433B47" w:rsidP="00ED31CF">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t>Clinical validity</w:t>
            </w:r>
          </w:p>
        </w:tc>
        <w:tc>
          <w:tcPr>
            <w:tcW w:w="3300" w:type="pct"/>
          </w:tcPr>
          <w:p w14:paraId="5CB01E93" w14:textId="38DE4F03" w:rsidR="00433B47" w:rsidRPr="00092155"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sym w:font="Wingdings" w:char="F0E0"/>
            </w:r>
            <w:r w:rsidRPr="00092155">
              <w:rPr>
                <w:rFonts w:ascii="Arial Narrow" w:hAnsi="Arial Narrow"/>
                <w:snapToGrid w:val="0"/>
                <w:sz w:val="20"/>
                <w:lang w:eastAsia="en-US"/>
              </w:rPr>
              <w:t xml:space="preserve"> Diagnostic </w:t>
            </w:r>
            <w:r w:rsidR="000D34C2" w:rsidRPr="00092155">
              <w:rPr>
                <w:rFonts w:ascii="Arial Narrow" w:hAnsi="Arial Narrow"/>
                <w:snapToGrid w:val="0"/>
                <w:sz w:val="20"/>
                <w:lang w:eastAsia="en-US"/>
              </w:rPr>
              <w:t>a</w:t>
            </w:r>
            <w:r w:rsidRPr="00092155">
              <w:rPr>
                <w:rFonts w:ascii="Arial Narrow" w:hAnsi="Arial Narrow"/>
                <w:snapToGrid w:val="0"/>
                <w:sz w:val="20"/>
                <w:lang w:eastAsia="en-US"/>
              </w:rPr>
              <w:t>ccuracy</w:t>
            </w:r>
            <w:r>
              <w:rPr>
                <w:rFonts w:ascii="Arial Narrow" w:hAnsi="Arial Narrow"/>
                <w:snapToGrid w:val="0"/>
                <w:sz w:val="20"/>
                <w:lang w:eastAsia="en-US"/>
              </w:rPr>
              <w:t>:</w:t>
            </w:r>
            <w:r w:rsidRPr="00092155">
              <w:rPr>
                <w:rFonts w:ascii="Arial Narrow" w:hAnsi="Arial Narrow"/>
                <w:snapToGrid w:val="0"/>
                <w:sz w:val="20"/>
                <w:lang w:eastAsia="en-US"/>
              </w:rPr>
              <w:t xml:space="preserve"> </w:t>
            </w:r>
            <w:r>
              <w:rPr>
                <w:rFonts w:ascii="Arial Narrow" w:hAnsi="Arial Narrow"/>
                <w:snapToGrid w:val="0"/>
                <w:sz w:val="20"/>
                <w:lang w:eastAsia="en-US"/>
              </w:rPr>
              <w:t xml:space="preserve">AQP4-Ab test data were extracted from </w:t>
            </w:r>
            <w:r w:rsidRPr="00092155">
              <w:rPr>
                <w:rFonts w:ascii="Arial Narrow" w:hAnsi="Arial Narrow"/>
                <w:snapToGrid w:val="0"/>
                <w:sz w:val="20"/>
                <w:lang w:eastAsia="en-US"/>
              </w:rPr>
              <w:t xml:space="preserve">retrospective cohorts with before and after test data. Study populations </w:t>
            </w:r>
            <w:r>
              <w:rPr>
                <w:rFonts w:ascii="Arial Narrow" w:hAnsi="Arial Narrow"/>
                <w:snapToGrid w:val="0"/>
                <w:sz w:val="20"/>
                <w:lang w:eastAsia="en-US"/>
              </w:rPr>
              <w:t xml:space="preserve">were those with </w:t>
            </w:r>
            <w:r w:rsidRPr="00092155">
              <w:rPr>
                <w:rFonts w:ascii="Arial Narrow" w:hAnsi="Arial Narrow"/>
                <w:snapToGrid w:val="0"/>
                <w:sz w:val="20"/>
                <w:lang w:eastAsia="en-US"/>
              </w:rPr>
              <w:t>CNS symptoms including ADS, ON, LETM and ABS</w:t>
            </w:r>
            <w:r>
              <w:rPr>
                <w:rFonts w:ascii="Arial Narrow" w:hAnsi="Arial Narrow"/>
                <w:snapToGrid w:val="0"/>
                <w:sz w:val="20"/>
                <w:lang w:eastAsia="en-US"/>
              </w:rPr>
              <w:t>;</w:t>
            </w:r>
            <w:r w:rsidRPr="00092155">
              <w:rPr>
                <w:rFonts w:ascii="Arial Narrow" w:hAnsi="Arial Narrow"/>
                <w:snapToGrid w:val="0"/>
                <w:sz w:val="20"/>
                <w:lang w:eastAsia="en-US"/>
              </w:rPr>
              <w:t xml:space="preserve"> all </w:t>
            </w:r>
            <w:r>
              <w:rPr>
                <w:rFonts w:ascii="Arial Narrow" w:hAnsi="Arial Narrow"/>
                <w:snapToGrid w:val="0"/>
                <w:sz w:val="20"/>
                <w:lang w:eastAsia="en-US"/>
              </w:rPr>
              <w:t xml:space="preserve">were compared with diagnosis by the </w:t>
            </w:r>
            <w:r w:rsidRPr="00092155">
              <w:rPr>
                <w:rFonts w:ascii="Arial Narrow" w:hAnsi="Arial Narrow"/>
                <w:snapToGrid w:val="0"/>
                <w:sz w:val="20"/>
                <w:lang w:eastAsia="en-US"/>
              </w:rPr>
              <w:t xml:space="preserve">2015 IPND diagnostic criteria </w:t>
            </w:r>
          </w:p>
          <w:p w14:paraId="6B91D088" w14:textId="6A7BBCB1" w:rsidR="00433B47" w:rsidRPr="00092155"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sym w:font="Wingdings" w:char="F0E0"/>
            </w:r>
            <w:r w:rsidRPr="00092155">
              <w:rPr>
                <w:rFonts w:ascii="Arial Narrow" w:hAnsi="Arial Narrow"/>
                <w:snapToGrid w:val="0"/>
                <w:sz w:val="20"/>
                <w:lang w:eastAsia="en-US"/>
              </w:rPr>
              <w:t xml:space="preserve"> Diagnostic </w:t>
            </w:r>
            <w:r w:rsidR="000D34C2" w:rsidRPr="00092155">
              <w:rPr>
                <w:rFonts w:ascii="Arial Narrow" w:hAnsi="Arial Narrow"/>
                <w:snapToGrid w:val="0"/>
                <w:sz w:val="20"/>
                <w:lang w:eastAsia="en-US"/>
              </w:rPr>
              <w:t>y</w:t>
            </w:r>
            <w:r w:rsidRPr="00092155">
              <w:rPr>
                <w:rFonts w:ascii="Arial Narrow" w:hAnsi="Arial Narrow"/>
                <w:snapToGrid w:val="0"/>
                <w:sz w:val="20"/>
                <w:lang w:eastAsia="en-US"/>
              </w:rPr>
              <w:t>ield</w:t>
            </w:r>
            <w:r>
              <w:rPr>
                <w:rFonts w:ascii="Arial Narrow" w:hAnsi="Arial Narrow"/>
                <w:snapToGrid w:val="0"/>
                <w:sz w:val="20"/>
                <w:lang w:eastAsia="en-US"/>
              </w:rPr>
              <w:t>:</w:t>
            </w:r>
            <w:r w:rsidRPr="00092155">
              <w:rPr>
                <w:rFonts w:ascii="Arial Narrow" w:hAnsi="Arial Narrow"/>
                <w:snapToGrid w:val="0"/>
                <w:sz w:val="20"/>
                <w:lang w:eastAsia="en-US"/>
              </w:rPr>
              <w:t xml:space="preserve"> data were obtained </w:t>
            </w:r>
            <w:r>
              <w:rPr>
                <w:rFonts w:ascii="Arial Narrow" w:hAnsi="Arial Narrow"/>
                <w:snapToGrid w:val="0"/>
                <w:sz w:val="20"/>
                <w:lang w:eastAsia="en-US"/>
              </w:rPr>
              <w:t>from p</w:t>
            </w:r>
            <w:r w:rsidRPr="00092155">
              <w:rPr>
                <w:rFonts w:ascii="Arial Narrow" w:hAnsi="Arial Narrow"/>
                <w:snapToGrid w:val="0"/>
                <w:sz w:val="20"/>
                <w:lang w:eastAsia="en-US"/>
              </w:rPr>
              <w:t xml:space="preserve">opulations </w:t>
            </w:r>
            <w:r>
              <w:rPr>
                <w:rFonts w:ascii="Arial Narrow" w:hAnsi="Arial Narrow"/>
                <w:snapToGrid w:val="0"/>
                <w:sz w:val="20"/>
                <w:lang w:eastAsia="en-US"/>
              </w:rPr>
              <w:t xml:space="preserve">with </w:t>
            </w:r>
            <w:r w:rsidRPr="00092155">
              <w:rPr>
                <w:rFonts w:ascii="Arial Narrow" w:hAnsi="Arial Narrow"/>
                <w:snapToGrid w:val="0"/>
                <w:sz w:val="20"/>
                <w:lang w:eastAsia="en-US"/>
              </w:rPr>
              <w:t>ON or LETM</w:t>
            </w:r>
            <w:r>
              <w:rPr>
                <w:rFonts w:ascii="Arial Narrow" w:hAnsi="Arial Narrow"/>
                <w:snapToGrid w:val="0"/>
                <w:sz w:val="20"/>
                <w:lang w:eastAsia="en-US"/>
              </w:rPr>
              <w:t>,</w:t>
            </w:r>
            <w:r w:rsidRPr="00092155">
              <w:rPr>
                <w:rFonts w:ascii="Arial Narrow" w:hAnsi="Arial Narrow"/>
                <w:snapToGrid w:val="0"/>
                <w:sz w:val="20"/>
                <w:lang w:eastAsia="en-US"/>
              </w:rPr>
              <w:t xml:space="preserve"> and with or suspected of having NMO or NMOSD</w:t>
            </w:r>
            <w:r>
              <w:rPr>
                <w:rFonts w:ascii="Arial Narrow" w:hAnsi="Arial Narrow"/>
                <w:snapToGrid w:val="0"/>
                <w:sz w:val="20"/>
                <w:lang w:eastAsia="en-US"/>
              </w:rPr>
              <w:t xml:space="preserve"> who were tested for AQP4-Ab and/or MOG-Abs</w:t>
            </w:r>
          </w:p>
          <w:p w14:paraId="53F9D728" w14:textId="77777777" w:rsidR="00433B47" w:rsidRPr="00092155"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sym w:font="Wingdings" w:char="F0E0"/>
            </w:r>
            <w:r w:rsidRPr="00092155">
              <w:rPr>
                <w:rFonts w:ascii="Arial Narrow" w:hAnsi="Arial Narrow"/>
                <w:snapToGrid w:val="0"/>
                <w:sz w:val="20"/>
                <w:lang w:eastAsia="en-US"/>
              </w:rPr>
              <w:t xml:space="preserve"> </w:t>
            </w:r>
            <w:r w:rsidRPr="000A34C9">
              <w:rPr>
                <w:rFonts w:ascii="Arial Narrow" w:hAnsi="Arial Narrow"/>
                <w:snapToGrid w:val="0"/>
                <w:sz w:val="20"/>
                <w:lang w:eastAsia="en-US"/>
              </w:rPr>
              <w:t>Prognosis</w:t>
            </w:r>
            <w:r>
              <w:rPr>
                <w:rFonts w:ascii="Arial Narrow" w:hAnsi="Arial Narrow"/>
                <w:snapToGrid w:val="0"/>
                <w:sz w:val="20"/>
                <w:lang w:eastAsia="en-US"/>
              </w:rPr>
              <w:t>:</w:t>
            </w:r>
            <w:r w:rsidRPr="00092155">
              <w:rPr>
                <w:rFonts w:ascii="Arial Narrow" w:hAnsi="Arial Narrow"/>
                <w:snapToGrid w:val="0"/>
                <w:sz w:val="20"/>
                <w:lang w:eastAsia="en-US"/>
              </w:rPr>
              <w:t xml:space="preserve"> </w:t>
            </w:r>
            <w:r>
              <w:rPr>
                <w:rFonts w:ascii="Arial Narrow" w:hAnsi="Arial Narrow"/>
                <w:snapToGrid w:val="0"/>
                <w:sz w:val="20"/>
                <w:lang w:eastAsia="en-US"/>
              </w:rPr>
              <w:t>data were obtained from one systematic review and retrospective case series with before and after data. The systematic review compared visual impairment between seropositive and seronegative AQP4-Ab patients. Other study outcomes included rate of conversion from first event to NMOSD, relapse rate of initial symptoms, EDSS and recovery rate from initial symptoms in patients tested for AQP4 and/or MOG-Abs</w:t>
            </w:r>
          </w:p>
        </w:tc>
        <w:tc>
          <w:tcPr>
            <w:tcW w:w="587" w:type="pct"/>
          </w:tcPr>
          <w:p w14:paraId="32C00D26" w14:textId="77777777" w:rsidR="00433B47" w:rsidRDefault="00433B47" w:rsidP="00433B47">
            <w:pPr>
              <w:spacing w:before="40" w:after="40"/>
              <w:ind w:left="112" w:hanging="24"/>
              <w:contextualSpacing/>
              <w:rPr>
                <w:rFonts w:ascii="Arial Narrow" w:hAnsi="Arial Narrow"/>
                <w:snapToGrid w:val="0"/>
                <w:sz w:val="20"/>
                <w:lang w:eastAsia="en-US"/>
              </w:rPr>
            </w:pPr>
            <w:r>
              <w:rPr>
                <w:rFonts w:ascii="Arial Narrow" w:hAnsi="Arial Narrow"/>
                <w:snapToGrid w:val="0"/>
                <w:sz w:val="20"/>
                <w:lang w:eastAsia="en-US"/>
              </w:rPr>
              <w:t>k=23</w:t>
            </w:r>
          </w:p>
          <w:p w14:paraId="0CC528B3" w14:textId="77777777" w:rsidR="00433B47" w:rsidRPr="00092155" w:rsidRDefault="00433B47" w:rsidP="00433B47">
            <w:pPr>
              <w:spacing w:before="40" w:after="40"/>
              <w:ind w:left="112" w:hanging="24"/>
              <w:contextualSpacing/>
              <w:rPr>
                <w:rFonts w:ascii="Arial Narrow" w:hAnsi="Arial Narrow"/>
                <w:snapToGrid w:val="0"/>
                <w:sz w:val="20"/>
                <w:lang w:eastAsia="en-US"/>
              </w:rPr>
            </w:pPr>
            <w:r>
              <w:rPr>
                <w:rFonts w:ascii="Arial Narrow" w:hAnsi="Arial Narrow"/>
                <w:snapToGrid w:val="0"/>
                <w:sz w:val="20"/>
                <w:lang w:eastAsia="en-US"/>
              </w:rPr>
              <w:t>n=5,756</w:t>
            </w:r>
          </w:p>
        </w:tc>
      </w:tr>
      <w:tr w:rsidR="00433B47" w:rsidRPr="00092155" w14:paraId="1C7AF3E0" w14:textId="77777777" w:rsidTr="00F4009F">
        <w:tc>
          <w:tcPr>
            <w:tcW w:w="1112" w:type="pct"/>
          </w:tcPr>
          <w:p w14:paraId="43E7FA35" w14:textId="5E6E9AAF" w:rsidR="00433B47" w:rsidRPr="00092155" w:rsidRDefault="00433B47" w:rsidP="00890FF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t xml:space="preserve">Clinical </w:t>
            </w:r>
            <w:r w:rsidR="00890FF7" w:rsidRPr="00092155">
              <w:rPr>
                <w:rFonts w:ascii="Arial Narrow" w:hAnsi="Arial Narrow"/>
                <w:snapToGrid w:val="0"/>
                <w:sz w:val="20"/>
                <w:lang w:eastAsia="en-US"/>
              </w:rPr>
              <w:t>u</w:t>
            </w:r>
            <w:r w:rsidRPr="00092155">
              <w:rPr>
                <w:rFonts w:ascii="Arial Narrow" w:hAnsi="Arial Narrow"/>
                <w:snapToGrid w:val="0"/>
                <w:sz w:val="20"/>
                <w:lang w:eastAsia="en-US"/>
              </w:rPr>
              <w:t>tility (Therapeutic efficacy)</w:t>
            </w:r>
          </w:p>
        </w:tc>
        <w:tc>
          <w:tcPr>
            <w:tcW w:w="3300" w:type="pct"/>
          </w:tcPr>
          <w:p w14:paraId="35769F32" w14:textId="22FC9A68" w:rsidR="00433B47"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sym w:font="Wingdings" w:char="F0E0"/>
            </w:r>
            <w:r w:rsidRPr="00092155">
              <w:rPr>
                <w:rFonts w:ascii="Arial Narrow" w:hAnsi="Arial Narrow"/>
                <w:snapToGrid w:val="0"/>
                <w:sz w:val="20"/>
                <w:lang w:eastAsia="en-US"/>
              </w:rPr>
              <w:t xml:space="preserve"> </w:t>
            </w:r>
            <w:r>
              <w:rPr>
                <w:rFonts w:ascii="Arial Narrow" w:hAnsi="Arial Narrow"/>
                <w:snapToGrid w:val="0"/>
                <w:sz w:val="20"/>
                <w:lang w:eastAsia="en-US"/>
              </w:rPr>
              <w:t xml:space="preserve">Change in patient management: </w:t>
            </w:r>
            <w:r w:rsidR="000D34C2">
              <w:rPr>
                <w:rFonts w:ascii="Arial Narrow" w:hAnsi="Arial Narrow"/>
                <w:snapToGrid w:val="0"/>
                <w:sz w:val="20"/>
                <w:lang w:eastAsia="en-US"/>
              </w:rPr>
              <w:t>s</w:t>
            </w:r>
            <w:r>
              <w:rPr>
                <w:rFonts w:ascii="Arial Narrow" w:hAnsi="Arial Narrow"/>
                <w:snapToGrid w:val="0"/>
                <w:sz w:val="20"/>
                <w:lang w:eastAsia="en-US"/>
              </w:rPr>
              <w:t xml:space="preserve">tudies </w:t>
            </w:r>
            <w:r w:rsidRPr="00092155">
              <w:rPr>
                <w:rFonts w:ascii="Arial Narrow" w:hAnsi="Arial Narrow"/>
                <w:snapToGrid w:val="0"/>
                <w:sz w:val="20"/>
                <w:lang w:eastAsia="en-US"/>
              </w:rPr>
              <w:t xml:space="preserve">included adults and/or children diagnosed with NMOSD or other </w:t>
            </w:r>
            <w:r>
              <w:rPr>
                <w:rFonts w:ascii="Arial Narrow" w:hAnsi="Arial Narrow"/>
                <w:snapToGrid w:val="0"/>
                <w:sz w:val="20"/>
                <w:lang w:eastAsia="en-US"/>
              </w:rPr>
              <w:t xml:space="preserve">CNS </w:t>
            </w:r>
            <w:r w:rsidRPr="00092155">
              <w:rPr>
                <w:rFonts w:ascii="Arial Narrow" w:hAnsi="Arial Narrow"/>
                <w:snapToGrid w:val="0"/>
                <w:sz w:val="20"/>
                <w:lang w:eastAsia="en-US"/>
              </w:rPr>
              <w:t xml:space="preserve">inflammatory diseases </w:t>
            </w:r>
            <w:r>
              <w:rPr>
                <w:rFonts w:ascii="Arial Narrow" w:hAnsi="Arial Narrow"/>
                <w:snapToGrid w:val="0"/>
                <w:sz w:val="20"/>
                <w:lang w:eastAsia="en-US"/>
              </w:rPr>
              <w:t>who had been tested for AQP4-Abs. The impact of test results on patient management was determined, including time to diagnosis, change in diagnosis and clinician agreement in diagnosis</w:t>
            </w:r>
          </w:p>
          <w:p w14:paraId="22C606C6" w14:textId="60BA7AAE" w:rsidR="00433B47" w:rsidRPr="00092155" w:rsidRDefault="00433B47" w:rsidP="000D34C2">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sym w:font="Wingdings" w:char="F0E0"/>
            </w:r>
            <w:r>
              <w:rPr>
                <w:rFonts w:ascii="Arial Narrow" w:hAnsi="Arial Narrow"/>
                <w:snapToGrid w:val="0"/>
                <w:sz w:val="20"/>
                <w:lang w:eastAsia="en-US"/>
              </w:rPr>
              <w:t>Therapeutic effectiveness: data were obtained from one systematic review and other studies including RCT</w:t>
            </w:r>
            <w:r w:rsidR="000D34C2">
              <w:rPr>
                <w:rFonts w:ascii="Arial Narrow" w:hAnsi="Arial Narrow"/>
                <w:snapToGrid w:val="0"/>
                <w:sz w:val="20"/>
                <w:lang w:eastAsia="en-US"/>
              </w:rPr>
              <w:t>s</w:t>
            </w:r>
            <w:r>
              <w:rPr>
                <w:rFonts w:ascii="Arial Narrow" w:hAnsi="Arial Narrow"/>
                <w:snapToGrid w:val="0"/>
                <w:sz w:val="20"/>
                <w:lang w:eastAsia="en-US"/>
              </w:rPr>
              <w:t>, cohort</w:t>
            </w:r>
            <w:r w:rsidR="000D34C2">
              <w:rPr>
                <w:rFonts w:ascii="Arial Narrow" w:hAnsi="Arial Narrow"/>
                <w:snapToGrid w:val="0"/>
                <w:sz w:val="20"/>
                <w:lang w:eastAsia="en-US"/>
              </w:rPr>
              <w:t xml:space="preserve"> studie</w:t>
            </w:r>
            <w:r>
              <w:rPr>
                <w:rFonts w:ascii="Arial Narrow" w:hAnsi="Arial Narrow"/>
                <w:snapToGrid w:val="0"/>
                <w:sz w:val="20"/>
                <w:lang w:eastAsia="en-US"/>
              </w:rPr>
              <w:t>s and case series</w:t>
            </w:r>
            <w:r w:rsidR="000D34C2">
              <w:rPr>
                <w:rFonts w:ascii="Arial Narrow" w:hAnsi="Arial Narrow"/>
                <w:snapToGrid w:val="0"/>
                <w:sz w:val="20"/>
                <w:lang w:eastAsia="en-US"/>
              </w:rPr>
              <w:t xml:space="preserve"> studies</w:t>
            </w:r>
            <w:r>
              <w:rPr>
                <w:rFonts w:ascii="Arial Narrow" w:hAnsi="Arial Narrow"/>
                <w:snapToGrid w:val="0"/>
                <w:sz w:val="20"/>
                <w:lang w:eastAsia="en-US"/>
              </w:rPr>
              <w:t>. The systematic review evaluated the efficacy of rituximab. Other studies provided outcomes related to impact of patient management changes (e.g. early versus late treatment) or therapeutic effectiveness and safety of medication in pati</w:t>
            </w:r>
            <w:r w:rsidR="000D34C2">
              <w:rPr>
                <w:rFonts w:ascii="Arial Narrow" w:hAnsi="Arial Narrow"/>
                <w:snapToGrid w:val="0"/>
                <w:sz w:val="20"/>
                <w:lang w:eastAsia="en-US"/>
              </w:rPr>
              <w:t>ents tested for AQP4 or MOG Abs</w:t>
            </w:r>
          </w:p>
        </w:tc>
        <w:tc>
          <w:tcPr>
            <w:tcW w:w="587" w:type="pct"/>
          </w:tcPr>
          <w:p w14:paraId="21FEA9F5" w14:textId="77777777" w:rsidR="00433B47"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t>k=</w:t>
            </w:r>
            <w:r>
              <w:rPr>
                <w:rFonts w:ascii="Arial Narrow" w:hAnsi="Arial Narrow"/>
                <w:snapToGrid w:val="0"/>
                <w:sz w:val="20"/>
                <w:lang w:eastAsia="en-US"/>
              </w:rPr>
              <w:t>22</w:t>
            </w:r>
          </w:p>
          <w:p w14:paraId="41CACF2E" w14:textId="77777777" w:rsidR="00433B47" w:rsidRPr="00092155" w:rsidRDefault="00433B47" w:rsidP="00433B47">
            <w:pPr>
              <w:spacing w:before="40" w:after="40"/>
              <w:ind w:left="112" w:hanging="24"/>
              <w:contextualSpacing/>
              <w:rPr>
                <w:rFonts w:ascii="Arial Narrow" w:hAnsi="Arial Narrow"/>
                <w:snapToGrid w:val="0"/>
                <w:sz w:val="20"/>
                <w:lang w:eastAsia="en-US"/>
              </w:rPr>
            </w:pPr>
            <w:r w:rsidRPr="00092155">
              <w:rPr>
                <w:rFonts w:ascii="Arial Narrow" w:hAnsi="Arial Narrow"/>
                <w:snapToGrid w:val="0"/>
                <w:sz w:val="20"/>
                <w:lang w:eastAsia="en-US"/>
              </w:rPr>
              <w:t>n=</w:t>
            </w:r>
            <w:r>
              <w:rPr>
                <w:rFonts w:ascii="Arial Narrow" w:hAnsi="Arial Narrow"/>
                <w:snapToGrid w:val="0"/>
                <w:sz w:val="20"/>
                <w:lang w:eastAsia="en-US"/>
              </w:rPr>
              <w:t>3.166</w:t>
            </w:r>
          </w:p>
        </w:tc>
      </w:tr>
    </w:tbl>
    <w:p w14:paraId="33EA9BE3" w14:textId="77777777" w:rsidR="00433B47" w:rsidRDefault="00433B47" w:rsidP="00F4009F">
      <w:pPr>
        <w:pStyle w:val="Tablenotes"/>
      </w:pPr>
      <w:r>
        <w:t>ABS = acute brainstem syndrome; ADS = acquired demyelination syndromes; AQP4-Abs = aquaporin 4 antibodies; CNS = central nervous system; CSF = cerebrospinal fluid; EDSS = expanded disability status scale; IPND = International Panel for NMO Diagnosis; LETM = longitudinally extensive transverse myelitis; MOG-Abs = myelin oligodendrocyte glycoprotein antibodies; NMO = neuromyelitis optica; NMOSD = neuromyelitis optica spectrum disorders; ON = optic neuritis; RCT = randomised controlled trial</w:t>
      </w:r>
    </w:p>
    <w:p w14:paraId="4A6B2031" w14:textId="77777777" w:rsidR="00433B47" w:rsidRDefault="00433B47" w:rsidP="00F4009F">
      <w:pPr>
        <w:pStyle w:val="Tablenotes"/>
      </w:pPr>
      <w:r>
        <w:t>Source: Table 2, pp21-22 of DCAR</w:t>
      </w:r>
    </w:p>
    <w:p w14:paraId="0ABED1A5" w14:textId="77777777" w:rsidR="00433B47" w:rsidRDefault="00433B47" w:rsidP="00433B47">
      <w:pPr>
        <w:pStyle w:val="Heading2"/>
      </w:pPr>
      <w:r>
        <w:t>Test adverse events</w:t>
      </w:r>
    </w:p>
    <w:p w14:paraId="557D5240" w14:textId="0CDDF1FC" w:rsidR="00433B47" w:rsidRDefault="00433B47" w:rsidP="00433B47">
      <w:r>
        <w:t xml:space="preserve">The DCAR stated that testing performed on a blood sample is unlikely to result in any </w:t>
      </w:r>
      <w:r w:rsidR="0086706E">
        <w:t xml:space="preserve">significant </w:t>
      </w:r>
      <w:r>
        <w:t xml:space="preserve">adverse effects. It is understood from clinical advice that CSF sampling is not likely to occur for the sole purpose of AQP4-Ab and MOG-Ab testing. Rather, testing of CSF would only occur using </w:t>
      </w:r>
      <w:r w:rsidR="006F0F03">
        <w:t xml:space="preserve">existing </w:t>
      </w:r>
      <w:r>
        <w:t xml:space="preserve">samples collected from prior diagnostic investigations </w:t>
      </w:r>
      <w:r w:rsidR="006F0F03">
        <w:t xml:space="preserve">e.g for </w:t>
      </w:r>
      <w:r>
        <w:t>OCB</w:t>
      </w:r>
      <w:r w:rsidR="006F0F03">
        <w:t xml:space="preserve"> analysis</w:t>
      </w:r>
      <w:r>
        <w:t xml:space="preserve">, which require CSF samples. Therefore, there are not expected to be </w:t>
      </w:r>
      <w:r w:rsidR="0034153A">
        <w:t xml:space="preserve">additional </w:t>
      </w:r>
      <w:r>
        <w:t>adverse events as a result of CSF sampling</w:t>
      </w:r>
      <w:r w:rsidR="005D1BBA">
        <w:t xml:space="preserve"> if the proposed antibody tests are not the sole purpose for the lumbar puncture</w:t>
      </w:r>
      <w:r>
        <w:t>.</w:t>
      </w:r>
    </w:p>
    <w:p w14:paraId="43C93AA4" w14:textId="77777777" w:rsidR="00433B47" w:rsidRPr="0071212A" w:rsidRDefault="00433B47" w:rsidP="00433B47">
      <w:pPr>
        <w:pStyle w:val="Heading2"/>
      </w:pPr>
      <w:r>
        <w:lastRenderedPageBreak/>
        <w:t>Adverse events from change in management</w:t>
      </w:r>
    </w:p>
    <w:p w14:paraId="19DB73CE" w14:textId="226E3BCD" w:rsidR="00433B47" w:rsidRDefault="00433B47" w:rsidP="00433B47">
      <w:r>
        <w:t xml:space="preserve">The DCAR stated that data on adverse events were taken from </w:t>
      </w:r>
      <w:r w:rsidRPr="0075285F">
        <w:t xml:space="preserve">seven studies </w:t>
      </w:r>
      <w:r>
        <w:t xml:space="preserve">that </w:t>
      </w:r>
      <w:r w:rsidRPr="0075285F">
        <w:t>reported on the safety of treatment</w:t>
      </w:r>
      <w:r>
        <w:t>s</w:t>
      </w:r>
      <w:r w:rsidRPr="0075285F">
        <w:t xml:space="preserve"> used in the management of NMOSD</w:t>
      </w:r>
      <w:r>
        <w:t>. One systematic review of rituximab (RTX) therapy for NMOSD reported on adverse events (Gao et al. 2019</w:t>
      </w:r>
      <w:r>
        <w:rPr>
          <w:rStyle w:val="FootnoteReference"/>
        </w:rPr>
        <w:footnoteReference w:id="3"/>
      </w:r>
      <w:r>
        <w:t xml:space="preserve">). Of the six primary studies, only one randomised patients to a treatment (eculizumab, ECZ) or placebo, </w:t>
      </w:r>
      <w:r w:rsidRPr="00B52D4B">
        <w:t>(Pittock et al. 2019</w:t>
      </w:r>
      <w:r>
        <w:rPr>
          <w:rStyle w:val="FootnoteReference"/>
        </w:rPr>
        <w:footnoteReference w:id="4"/>
      </w:r>
      <w:r w:rsidRPr="00B52D4B">
        <w:t>)</w:t>
      </w:r>
      <w:r>
        <w:t xml:space="preserve"> and the others were single arm studies or performed a </w:t>
      </w:r>
      <w:r w:rsidRPr="009740C9">
        <w:rPr>
          <w:i/>
        </w:rPr>
        <w:t>post-hoc</w:t>
      </w:r>
      <w:r>
        <w:t xml:space="preserve"> comparison of treatments. The treatments given for NMOSD in the studies were RTX, ECZ, plasma exchange (PLEX), mycophenolate mofetil (MMF) and azathioprine (AZA).</w:t>
      </w:r>
    </w:p>
    <w:p w14:paraId="12F67197" w14:textId="7B0ACF9B" w:rsidR="00433B47" w:rsidRDefault="00433B47" w:rsidP="00433B47">
      <w:pPr>
        <w:spacing w:before="240"/>
      </w:pPr>
      <w:r>
        <w:t>The DCAR stated that serious adverse event rates were found to range from 0.8</w:t>
      </w:r>
      <w:r w:rsidR="000D34C2">
        <w:t>%</w:t>
      </w:r>
      <w:r>
        <w:t xml:space="preserve"> to 13.8% across treatments, ECZ having the highest and RT</w:t>
      </w:r>
      <w:r w:rsidR="00B4207C">
        <w:t>X</w:t>
      </w:r>
      <w:r>
        <w:t xml:space="preserve"> having the lowest serious adverse event rate</w:t>
      </w:r>
      <w:r w:rsidR="000D34C2">
        <w:t>s</w:t>
      </w:r>
      <w:r>
        <w:t>. It was not possible to tell if the events were associated with the treatment in the studies, except where it was specifically stated in one study. For this reason, and because of the non-comparative study designs and small sample sizes, the adverse event data should be considered with caution.</w:t>
      </w:r>
    </w:p>
    <w:p w14:paraId="137079D6" w14:textId="77777777" w:rsidR="00433B47" w:rsidRPr="007050B9" w:rsidRDefault="00433B47" w:rsidP="00433B47">
      <w:pPr>
        <w:spacing w:before="240"/>
      </w:pPr>
      <w:r>
        <w:t>The DCAR stated that there was insufficient evidence meeting the eligibility criteria for any conclusions to be made about the safety of AQP4-Ab or MOG-Ab testing for monitoring disease status in patients diagnosed with NMOSD.</w:t>
      </w:r>
    </w:p>
    <w:p w14:paraId="5CFEC142" w14:textId="77777777" w:rsidR="00BC1364" w:rsidRPr="00F715D1" w:rsidRDefault="00BC1364" w:rsidP="00F715D1">
      <w:pPr>
        <w:pStyle w:val="Heading1"/>
      </w:pPr>
      <w:r w:rsidRPr="00F715D1">
        <w:t>Comparative effectiveness</w:t>
      </w:r>
    </w:p>
    <w:p w14:paraId="3448FBDC" w14:textId="77777777" w:rsidR="00433B47" w:rsidRPr="00BE62FA" w:rsidRDefault="00433B47" w:rsidP="00BE62FA">
      <w:r w:rsidRPr="00BE62FA">
        <w:t>There was no direct evidence identified that met the inclusion criteria. A linked evidence approach was undertaken.</w:t>
      </w:r>
    </w:p>
    <w:p w14:paraId="6EF2FC90" w14:textId="77777777" w:rsidR="00433B47" w:rsidRDefault="00433B47" w:rsidP="00433B47">
      <w:pPr>
        <w:pStyle w:val="Heading2"/>
      </w:pPr>
      <w:r>
        <w:t>Diagnostic performance</w:t>
      </w:r>
    </w:p>
    <w:p w14:paraId="1B45F341" w14:textId="57A9E341" w:rsidR="00433B47" w:rsidRDefault="00433B47" w:rsidP="00433B47">
      <w:r>
        <w:t>The DCAR stated that t</w:t>
      </w:r>
      <w:r w:rsidRPr="004B4D9D">
        <w:t xml:space="preserve">here is no reference standard for diagnostic accuracy for detecting AQP4-Abs in patients suspected of NMOSD. It was </w:t>
      </w:r>
      <w:r>
        <w:t>understood from the literature</w:t>
      </w:r>
      <w:r w:rsidR="000D34C2">
        <w:t>,</w:t>
      </w:r>
      <w:r>
        <w:t xml:space="preserve"> </w:t>
      </w:r>
      <w:r w:rsidRPr="004B4D9D">
        <w:t xml:space="preserve">and accepted by PASC, that cell-based assays are the best performers for AQP4-Ab and MOG-Ab testing, rather than enzyme-linked immunosorbent assays (ELISA) or indirect immunofluorescence (IIF) assays. Therefore, test performance was limited to a concordance analysis between different types of cell-based assays. The implication of this is that </w:t>
      </w:r>
      <w:r w:rsidR="000D34C2">
        <w:t>there is evidence about the extent to which the</w:t>
      </w:r>
      <w:r w:rsidRPr="004B4D9D">
        <w:t xml:space="preserve"> cell-based assays agree with each other, but not if they are able to accurate</w:t>
      </w:r>
      <w:r w:rsidR="000D34C2">
        <w:t>ly</w:t>
      </w:r>
      <w:r w:rsidRPr="004B4D9D">
        <w:t xml:space="preserve"> detect AQP4-Abs.</w:t>
      </w:r>
    </w:p>
    <w:p w14:paraId="2546F9E3" w14:textId="600D384D" w:rsidR="00433B47" w:rsidRDefault="00433B47" w:rsidP="004E4606">
      <w:pPr>
        <w:spacing w:before="240"/>
      </w:pPr>
      <w:r>
        <w:t xml:space="preserve">Results of the concordance analysis </w:t>
      </w:r>
      <w:r w:rsidRPr="001858E1">
        <w:t>(</w:t>
      </w:r>
      <w:r w:rsidR="003C0E09" w:rsidRPr="009D6016">
        <w:rPr>
          <w:szCs w:val="24"/>
        </w:rPr>
        <w:fldChar w:fldCharType="begin"/>
      </w:r>
      <w:r w:rsidR="003C0E09" w:rsidRPr="009D6016">
        <w:rPr>
          <w:szCs w:val="24"/>
        </w:rPr>
        <w:instrText xml:space="preserve"> REF _Ref32219378 \h </w:instrText>
      </w:r>
      <w:r w:rsidR="009D6016" w:rsidRPr="009D6016">
        <w:rPr>
          <w:szCs w:val="24"/>
        </w:rPr>
        <w:instrText xml:space="preserve"> \* MERGEFORMAT </w:instrText>
      </w:r>
      <w:r w:rsidR="003C0E09" w:rsidRPr="009D6016">
        <w:rPr>
          <w:szCs w:val="24"/>
        </w:rPr>
      </w:r>
      <w:r w:rsidR="003C0E09" w:rsidRPr="009D6016">
        <w:rPr>
          <w:szCs w:val="24"/>
        </w:rPr>
        <w:fldChar w:fldCharType="separate"/>
      </w:r>
      <w:r w:rsidR="009D6016" w:rsidRPr="009D6016">
        <w:rPr>
          <w:szCs w:val="24"/>
        </w:rPr>
        <w:t xml:space="preserve">Table </w:t>
      </w:r>
      <w:r w:rsidR="009D6016" w:rsidRPr="009D6016">
        <w:rPr>
          <w:noProof/>
          <w:szCs w:val="24"/>
        </w:rPr>
        <w:t>4</w:t>
      </w:r>
      <w:r w:rsidR="003C0E09" w:rsidRPr="009D6016">
        <w:rPr>
          <w:szCs w:val="24"/>
        </w:rPr>
        <w:fldChar w:fldCharType="end"/>
      </w:r>
      <w:r w:rsidRPr="001858E1">
        <w:t>)</w:t>
      </w:r>
      <w:r>
        <w:t>, based on limited evidence (two studies), suggest that all serum cell-based assays tended to agree with each other when detecting AQP4-Abs. Concordance</w:t>
      </w:r>
      <w:r w:rsidRPr="0028492F">
        <w:t xml:space="preserve"> between three</w:t>
      </w:r>
      <w:r>
        <w:t xml:space="preserve"> cell-based assay methodologies</w:t>
      </w:r>
      <w:r w:rsidRPr="0028492F">
        <w:t xml:space="preserve"> </w:t>
      </w:r>
      <w:r>
        <w:t>(</w:t>
      </w:r>
      <w:r w:rsidRPr="0028492F">
        <w:t xml:space="preserve">live and fixed cell-based assays and </w:t>
      </w:r>
      <w:r>
        <w:t>fluorescence-activating cell sorting [</w:t>
      </w:r>
      <w:r w:rsidRPr="0028492F">
        <w:t>FACS</w:t>
      </w:r>
      <w:r>
        <w:t>])</w:t>
      </w:r>
      <w:r w:rsidRPr="0028492F">
        <w:t xml:space="preserve"> showed that all three assays </w:t>
      </w:r>
      <w:r w:rsidR="000D34C2">
        <w:t xml:space="preserve">largely </w:t>
      </w:r>
      <w:r w:rsidRPr="0028492F">
        <w:t xml:space="preserve">agreed with each other in the detection of AQP4-Abs. The </w:t>
      </w:r>
      <w:r>
        <w:t>positive percent agreement (</w:t>
      </w:r>
      <w:r w:rsidRPr="0028492F">
        <w:t>PPA</w:t>
      </w:r>
      <w:r>
        <w:t>)</w:t>
      </w:r>
      <w:r w:rsidRPr="0028492F">
        <w:t xml:space="preserve"> for all three assays ranged from 96-100%. There was </w:t>
      </w:r>
      <w:r>
        <w:t>lower</w:t>
      </w:r>
      <w:r w:rsidRPr="0028492F">
        <w:t xml:space="preserve"> agreement </w:t>
      </w:r>
      <w:r>
        <w:t xml:space="preserve">(expressed as negative percent agreement, NPA) </w:t>
      </w:r>
      <w:r w:rsidRPr="0028492F">
        <w:t xml:space="preserve">between the three assays for detecting AQP4-Abs </w:t>
      </w:r>
      <w:r>
        <w:t>negative</w:t>
      </w:r>
      <w:r w:rsidRPr="0028492F">
        <w:t xml:space="preserve"> serum samples, where fixed cell (NPA 81%) and FACS (NPA 85%) were less likely to agree with live cell-based assay (NPA 100%) for </w:t>
      </w:r>
      <w:r>
        <w:t xml:space="preserve">a </w:t>
      </w:r>
      <w:r w:rsidRPr="0028492F">
        <w:t>negative AQP4-Ab</w:t>
      </w:r>
      <w:r>
        <w:t xml:space="preserve"> result</w:t>
      </w:r>
      <w:r w:rsidRPr="0028492F">
        <w:t>.</w:t>
      </w:r>
    </w:p>
    <w:p w14:paraId="2EED4512" w14:textId="1D7A52C0" w:rsidR="00433B47" w:rsidRPr="00BE62FA" w:rsidRDefault="003C0E09" w:rsidP="004B2A34">
      <w:pPr>
        <w:keepNext/>
        <w:keepLines/>
        <w:rPr>
          <w:rFonts w:ascii="Arial Narrow" w:hAnsi="Arial Narrow"/>
          <w:b/>
          <w:sz w:val="20"/>
        </w:rPr>
      </w:pPr>
      <w:bookmarkStart w:id="11" w:name="_Ref32219378"/>
      <w:bookmarkStart w:id="12" w:name="_Toc39580784"/>
      <w:r w:rsidRPr="00BE62FA">
        <w:rPr>
          <w:rFonts w:ascii="Arial Narrow" w:hAnsi="Arial Narrow"/>
          <w:b/>
          <w:sz w:val="20"/>
        </w:rPr>
        <w:lastRenderedPageBreak/>
        <w:t xml:space="preserve">Table </w:t>
      </w:r>
      <w:r w:rsidRPr="00BE62FA">
        <w:rPr>
          <w:rFonts w:ascii="Arial Narrow" w:hAnsi="Arial Narrow"/>
          <w:b/>
          <w:sz w:val="20"/>
        </w:rPr>
        <w:fldChar w:fldCharType="begin"/>
      </w:r>
      <w:r w:rsidRPr="00BE62FA">
        <w:rPr>
          <w:rFonts w:ascii="Arial Narrow" w:hAnsi="Arial Narrow"/>
          <w:b/>
          <w:sz w:val="20"/>
        </w:rPr>
        <w:instrText xml:space="preserve"> SEQ Table \* ARABIC </w:instrText>
      </w:r>
      <w:r w:rsidRPr="00BE62FA">
        <w:rPr>
          <w:rFonts w:ascii="Arial Narrow" w:hAnsi="Arial Narrow"/>
          <w:b/>
          <w:sz w:val="20"/>
        </w:rPr>
        <w:fldChar w:fldCharType="separate"/>
      </w:r>
      <w:r w:rsidR="009D6016">
        <w:rPr>
          <w:rFonts w:ascii="Arial Narrow" w:hAnsi="Arial Narrow"/>
          <w:b/>
          <w:noProof/>
          <w:sz w:val="20"/>
        </w:rPr>
        <w:t>4</w:t>
      </w:r>
      <w:r w:rsidRPr="00BE62FA">
        <w:rPr>
          <w:rFonts w:ascii="Arial Narrow" w:hAnsi="Arial Narrow"/>
          <w:b/>
          <w:sz w:val="20"/>
        </w:rPr>
        <w:fldChar w:fldCharType="end"/>
      </w:r>
      <w:bookmarkEnd w:id="11"/>
      <w:r w:rsidR="00433B47" w:rsidRPr="00BE62FA">
        <w:rPr>
          <w:rFonts w:ascii="Arial Narrow" w:hAnsi="Arial Narrow"/>
          <w:b/>
          <w:sz w:val="20"/>
        </w:rPr>
        <w:tab/>
        <w:t>Concordance between live and fixed cell-based assays and flow cytometry assays using serum samples</w:t>
      </w:r>
      <w:bookmarkEnd w:id="12"/>
    </w:p>
    <w:tbl>
      <w:tblPr>
        <w:tblStyle w:val="TableGrid1"/>
        <w:tblW w:w="4984" w:type="pct"/>
        <w:tblLook w:val="04A0" w:firstRow="1" w:lastRow="0" w:firstColumn="1" w:lastColumn="0" w:noHBand="0" w:noVBand="1"/>
        <w:tblCaption w:val="Table 3 Concordance between live and fixed cell-based assays and flow cytometry assays using serum samples"/>
        <w:tblDescription w:val="This table provides a comparison of the positive percent agreement and negative percent agreement  (with confidence intervals) betwen live cell based assays, fixed cell based assyas and fluoresence-activating sell-sorting assays testing for AQP4 antibodies."/>
      </w:tblPr>
      <w:tblGrid>
        <w:gridCol w:w="960"/>
        <w:gridCol w:w="1700"/>
        <w:gridCol w:w="1560"/>
        <w:gridCol w:w="1700"/>
        <w:gridCol w:w="1573"/>
        <w:gridCol w:w="1494"/>
      </w:tblGrid>
      <w:tr w:rsidR="00433B47" w:rsidRPr="0075285F" w14:paraId="02C16AE5" w14:textId="77777777" w:rsidTr="00F4009F">
        <w:trPr>
          <w:tblHeader/>
        </w:trPr>
        <w:tc>
          <w:tcPr>
            <w:tcW w:w="534" w:type="pct"/>
          </w:tcPr>
          <w:p w14:paraId="5F7F8194" w14:textId="77777777" w:rsidR="00433B47" w:rsidRPr="0075285F" w:rsidRDefault="00433B47" w:rsidP="004B2A34">
            <w:pPr>
              <w:keepNext/>
              <w:keepLines/>
              <w:spacing w:before="40" w:after="40"/>
              <w:contextualSpacing/>
              <w:rPr>
                <w:rFonts w:ascii="Arial Narrow" w:hAnsi="Arial Narrow"/>
                <w:b/>
                <w:snapToGrid w:val="0"/>
                <w:sz w:val="20"/>
                <w:lang w:eastAsia="en-US"/>
              </w:rPr>
            </w:pPr>
            <w:r w:rsidRPr="0075285F">
              <w:rPr>
                <w:rFonts w:ascii="Arial Narrow" w:hAnsi="Arial Narrow"/>
                <w:b/>
                <w:snapToGrid w:val="0"/>
                <w:sz w:val="20"/>
                <w:lang w:eastAsia="en-US"/>
              </w:rPr>
              <w:t>Test type</w:t>
            </w:r>
          </w:p>
        </w:tc>
        <w:tc>
          <w:tcPr>
            <w:tcW w:w="946" w:type="pct"/>
          </w:tcPr>
          <w:p w14:paraId="399AF3E4" w14:textId="77777777" w:rsidR="00433B47" w:rsidRPr="0075285F" w:rsidRDefault="00433B47" w:rsidP="004B2A34">
            <w:pPr>
              <w:keepNext/>
              <w:keepLines/>
              <w:spacing w:before="40" w:after="40"/>
              <w:contextualSpacing/>
              <w:rPr>
                <w:rFonts w:ascii="Arial Narrow" w:hAnsi="Arial Narrow"/>
                <w:b/>
                <w:snapToGrid w:val="0"/>
                <w:sz w:val="20"/>
                <w:lang w:eastAsia="en-US"/>
              </w:rPr>
            </w:pPr>
            <w:r w:rsidRPr="0075285F">
              <w:rPr>
                <w:rFonts w:ascii="Arial Narrow" w:hAnsi="Arial Narrow"/>
                <w:b/>
                <w:snapToGrid w:val="0"/>
                <w:sz w:val="20"/>
                <w:lang w:eastAsia="en-US"/>
              </w:rPr>
              <w:t>N tests</w:t>
            </w:r>
            <w:r>
              <w:rPr>
                <w:rFonts w:ascii="Arial Narrow" w:hAnsi="Arial Narrow"/>
                <w:b/>
                <w:snapToGrid w:val="0"/>
                <w:sz w:val="20"/>
                <w:lang w:eastAsia="en-US"/>
              </w:rPr>
              <w:t xml:space="preserve"> compared</w:t>
            </w:r>
            <w:r w:rsidRPr="0075285F">
              <w:rPr>
                <w:rFonts w:ascii="Arial Narrow" w:hAnsi="Arial Narrow"/>
                <w:b/>
                <w:snapToGrid w:val="0"/>
                <w:sz w:val="20"/>
                <w:lang w:eastAsia="en-US"/>
              </w:rPr>
              <w:t xml:space="preserve">/ </w:t>
            </w:r>
          </w:p>
          <w:p w14:paraId="088B459A" w14:textId="77777777" w:rsidR="00433B47" w:rsidRPr="0075285F" w:rsidRDefault="00433B47" w:rsidP="004B2A34">
            <w:pPr>
              <w:keepNext/>
              <w:keepLines/>
              <w:spacing w:before="40" w:after="40"/>
              <w:contextualSpacing/>
              <w:rPr>
                <w:rFonts w:ascii="Arial Narrow" w:hAnsi="Arial Narrow"/>
                <w:b/>
                <w:snapToGrid w:val="0"/>
                <w:sz w:val="20"/>
                <w:highlight w:val="cyan"/>
                <w:lang w:eastAsia="en-US"/>
              </w:rPr>
            </w:pPr>
            <w:r w:rsidRPr="0075285F">
              <w:rPr>
                <w:rFonts w:ascii="Arial Narrow" w:hAnsi="Arial Narrow"/>
                <w:b/>
                <w:snapToGrid w:val="0"/>
                <w:sz w:val="20"/>
                <w:lang w:eastAsia="en-US"/>
              </w:rPr>
              <w:t xml:space="preserve">N </w:t>
            </w:r>
            <w:r>
              <w:rPr>
                <w:rFonts w:ascii="Arial Narrow" w:hAnsi="Arial Narrow"/>
                <w:b/>
                <w:snapToGrid w:val="0"/>
                <w:sz w:val="20"/>
                <w:lang w:eastAsia="en-US"/>
              </w:rPr>
              <w:t xml:space="preserve">NMO/NMOSD </w:t>
            </w:r>
            <w:r w:rsidRPr="0075285F">
              <w:rPr>
                <w:rFonts w:ascii="Arial Narrow" w:hAnsi="Arial Narrow"/>
                <w:b/>
                <w:snapToGrid w:val="0"/>
                <w:sz w:val="20"/>
                <w:lang w:eastAsia="en-US"/>
              </w:rPr>
              <w:t>cases</w:t>
            </w:r>
          </w:p>
        </w:tc>
        <w:tc>
          <w:tcPr>
            <w:tcW w:w="868" w:type="pct"/>
          </w:tcPr>
          <w:p w14:paraId="61F9DB44" w14:textId="77777777" w:rsidR="00433B47" w:rsidRPr="0075285F" w:rsidRDefault="00433B47" w:rsidP="004B2A34">
            <w:pPr>
              <w:keepNext/>
              <w:keepLines/>
              <w:spacing w:before="40" w:after="40"/>
              <w:contextualSpacing/>
              <w:rPr>
                <w:rFonts w:ascii="Arial Narrow" w:hAnsi="Arial Narrow"/>
                <w:b/>
                <w:snapToGrid w:val="0"/>
                <w:sz w:val="20"/>
                <w:highlight w:val="cyan"/>
                <w:lang w:eastAsia="en-US"/>
              </w:rPr>
            </w:pPr>
            <w:r w:rsidRPr="0075285F">
              <w:rPr>
                <w:rFonts w:ascii="Arial Narrow" w:hAnsi="Arial Narrow"/>
                <w:b/>
                <w:snapToGrid w:val="0"/>
                <w:sz w:val="20"/>
                <w:lang w:eastAsia="en-US"/>
              </w:rPr>
              <w:t xml:space="preserve">PPA % Range or Combined (95% CI) </w:t>
            </w:r>
          </w:p>
        </w:tc>
        <w:tc>
          <w:tcPr>
            <w:tcW w:w="946" w:type="pct"/>
          </w:tcPr>
          <w:p w14:paraId="495DB3FE" w14:textId="77777777" w:rsidR="00433B47" w:rsidRPr="0075285F" w:rsidRDefault="00433B47" w:rsidP="004B2A34">
            <w:pPr>
              <w:keepNext/>
              <w:keepLines/>
              <w:spacing w:before="40" w:after="40"/>
              <w:contextualSpacing/>
              <w:rPr>
                <w:rFonts w:ascii="Arial Narrow" w:hAnsi="Arial Narrow"/>
                <w:b/>
                <w:snapToGrid w:val="0"/>
                <w:sz w:val="20"/>
                <w:lang w:eastAsia="en-US"/>
              </w:rPr>
            </w:pPr>
            <w:r w:rsidRPr="0075285F">
              <w:rPr>
                <w:rFonts w:ascii="Arial Narrow" w:hAnsi="Arial Narrow"/>
                <w:b/>
                <w:snapToGrid w:val="0"/>
                <w:sz w:val="20"/>
                <w:lang w:eastAsia="en-US"/>
              </w:rPr>
              <w:t>95% CI (lower and upper range)</w:t>
            </w:r>
          </w:p>
        </w:tc>
        <w:tc>
          <w:tcPr>
            <w:tcW w:w="875" w:type="pct"/>
          </w:tcPr>
          <w:p w14:paraId="2ACEED84" w14:textId="77777777" w:rsidR="00433B47" w:rsidRPr="0075285F" w:rsidRDefault="00433B47" w:rsidP="004B2A34">
            <w:pPr>
              <w:keepNext/>
              <w:keepLines/>
              <w:spacing w:before="40" w:after="40"/>
              <w:contextualSpacing/>
              <w:rPr>
                <w:rFonts w:ascii="Arial Narrow" w:hAnsi="Arial Narrow"/>
                <w:b/>
                <w:snapToGrid w:val="0"/>
                <w:sz w:val="20"/>
                <w:lang w:eastAsia="en-US"/>
              </w:rPr>
            </w:pPr>
            <w:r w:rsidRPr="0075285F">
              <w:rPr>
                <w:rFonts w:ascii="Arial Narrow" w:hAnsi="Arial Narrow"/>
                <w:b/>
                <w:snapToGrid w:val="0"/>
                <w:sz w:val="20"/>
                <w:lang w:eastAsia="en-US"/>
              </w:rPr>
              <w:t>NPA % Range or Combined (95% CI</w:t>
            </w:r>
          </w:p>
        </w:tc>
        <w:tc>
          <w:tcPr>
            <w:tcW w:w="831" w:type="pct"/>
          </w:tcPr>
          <w:p w14:paraId="5F7ABD6A" w14:textId="77777777" w:rsidR="00433B47" w:rsidRPr="0075285F" w:rsidRDefault="00433B47" w:rsidP="004B2A34">
            <w:pPr>
              <w:keepNext/>
              <w:keepLines/>
              <w:spacing w:before="40" w:after="40"/>
              <w:contextualSpacing/>
              <w:rPr>
                <w:rFonts w:ascii="Arial Narrow" w:hAnsi="Arial Narrow"/>
                <w:b/>
                <w:snapToGrid w:val="0"/>
                <w:sz w:val="20"/>
                <w:lang w:eastAsia="en-US"/>
              </w:rPr>
            </w:pPr>
            <w:r w:rsidRPr="0075285F">
              <w:rPr>
                <w:rFonts w:ascii="Arial Narrow" w:hAnsi="Arial Narrow"/>
                <w:b/>
                <w:snapToGrid w:val="0"/>
                <w:sz w:val="20"/>
                <w:lang w:eastAsia="en-US"/>
              </w:rPr>
              <w:t>95% CI (lower and upper range)</w:t>
            </w:r>
          </w:p>
        </w:tc>
      </w:tr>
      <w:tr w:rsidR="00433B47" w:rsidRPr="0075285F" w14:paraId="136F33BC" w14:textId="77777777" w:rsidTr="00F4009F">
        <w:trPr>
          <w:trHeight w:val="289"/>
        </w:trPr>
        <w:tc>
          <w:tcPr>
            <w:tcW w:w="534" w:type="pct"/>
          </w:tcPr>
          <w:p w14:paraId="512E8F6F"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Live CBA</w:t>
            </w:r>
          </w:p>
        </w:tc>
        <w:tc>
          <w:tcPr>
            <w:tcW w:w="946" w:type="pct"/>
          </w:tcPr>
          <w:p w14:paraId="024170AB"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3/101</w:t>
            </w:r>
            <w:r w:rsidRPr="0075285F">
              <w:rPr>
                <w:rFonts w:ascii="Arial Narrow" w:hAnsi="Arial Narrow"/>
                <w:snapToGrid w:val="0"/>
                <w:sz w:val="20"/>
                <w:vertAlign w:val="superscript"/>
                <w:lang w:eastAsia="en-US"/>
              </w:rPr>
              <w:t>a</w:t>
            </w:r>
            <w:r w:rsidRPr="0075285F">
              <w:rPr>
                <w:rFonts w:ascii="Arial Narrow" w:hAnsi="Arial Narrow"/>
                <w:snapToGrid w:val="0"/>
                <w:sz w:val="20"/>
                <w:lang w:eastAsia="en-US"/>
              </w:rPr>
              <w:t xml:space="preserve"> </w:t>
            </w:r>
          </w:p>
        </w:tc>
        <w:tc>
          <w:tcPr>
            <w:tcW w:w="868" w:type="pct"/>
          </w:tcPr>
          <w:p w14:paraId="238C0459"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97-100</w:t>
            </w:r>
          </w:p>
        </w:tc>
        <w:tc>
          <w:tcPr>
            <w:tcW w:w="946" w:type="pct"/>
          </w:tcPr>
          <w:p w14:paraId="4D8F94F6"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(91,100) (95,100)</w:t>
            </w:r>
          </w:p>
        </w:tc>
        <w:tc>
          <w:tcPr>
            <w:tcW w:w="875" w:type="pct"/>
          </w:tcPr>
          <w:p w14:paraId="18528EEA"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96-100</w:t>
            </w:r>
          </w:p>
        </w:tc>
        <w:tc>
          <w:tcPr>
            <w:tcW w:w="831" w:type="pct"/>
          </w:tcPr>
          <w:p w14:paraId="32416FEA"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(80,100) (87,100)</w:t>
            </w:r>
          </w:p>
        </w:tc>
      </w:tr>
      <w:tr w:rsidR="00433B47" w:rsidRPr="0075285F" w14:paraId="61AE56CA" w14:textId="77777777" w:rsidTr="00F4009F">
        <w:trPr>
          <w:trHeight w:val="279"/>
        </w:trPr>
        <w:tc>
          <w:tcPr>
            <w:tcW w:w="534" w:type="pct"/>
          </w:tcPr>
          <w:p w14:paraId="2C2070F7"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Fixed CBA</w:t>
            </w:r>
          </w:p>
        </w:tc>
        <w:tc>
          <w:tcPr>
            <w:tcW w:w="946" w:type="pct"/>
          </w:tcPr>
          <w:p w14:paraId="739A7A03" w14:textId="77777777" w:rsidR="00433B47" w:rsidRPr="0075285F" w:rsidRDefault="00433B47" w:rsidP="00433B47">
            <w:pPr>
              <w:keepNext/>
              <w:keepLines/>
              <w:spacing w:before="40" w:after="40"/>
              <w:contextualSpacing/>
              <w:rPr>
                <w:rFonts w:ascii="Arial Narrow" w:hAnsi="Arial Narrow"/>
                <w:snapToGrid w:val="0"/>
                <w:sz w:val="20"/>
                <w:vertAlign w:val="superscript"/>
                <w:lang w:eastAsia="en-US"/>
              </w:rPr>
            </w:pPr>
            <w:r w:rsidRPr="0075285F">
              <w:rPr>
                <w:rFonts w:ascii="Arial Narrow" w:hAnsi="Arial Narrow"/>
                <w:snapToGrid w:val="0"/>
                <w:sz w:val="20"/>
                <w:lang w:eastAsia="en-US"/>
              </w:rPr>
              <w:t>11/238</w:t>
            </w:r>
            <w:r w:rsidRPr="0075285F">
              <w:rPr>
                <w:rFonts w:ascii="Arial Narrow" w:hAnsi="Arial Narrow"/>
                <w:snapToGrid w:val="0"/>
                <w:sz w:val="20"/>
                <w:vertAlign w:val="superscript"/>
                <w:lang w:eastAsia="en-US"/>
              </w:rPr>
              <w:t>b</w:t>
            </w:r>
          </w:p>
        </w:tc>
        <w:tc>
          <w:tcPr>
            <w:tcW w:w="868" w:type="pct"/>
          </w:tcPr>
          <w:p w14:paraId="0847AD78"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100 (93,100)</w:t>
            </w:r>
          </w:p>
        </w:tc>
        <w:tc>
          <w:tcPr>
            <w:tcW w:w="946" w:type="pct"/>
          </w:tcPr>
          <w:p w14:paraId="40D6891E"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(79,95) (95,100)</w:t>
            </w:r>
          </w:p>
        </w:tc>
        <w:tc>
          <w:tcPr>
            <w:tcW w:w="875" w:type="pct"/>
          </w:tcPr>
          <w:p w14:paraId="01572A68"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81 (76,86)</w:t>
            </w:r>
          </w:p>
        </w:tc>
        <w:tc>
          <w:tcPr>
            <w:tcW w:w="831" w:type="pct"/>
          </w:tcPr>
          <w:p w14:paraId="0802777B"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(50,81) (77,100)</w:t>
            </w:r>
          </w:p>
        </w:tc>
      </w:tr>
      <w:tr w:rsidR="00433B47" w:rsidRPr="0075285F" w14:paraId="59B9B7AB" w14:textId="77777777" w:rsidTr="00F4009F">
        <w:trPr>
          <w:trHeight w:val="269"/>
        </w:trPr>
        <w:tc>
          <w:tcPr>
            <w:tcW w:w="534" w:type="pct"/>
          </w:tcPr>
          <w:p w14:paraId="7844760F"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FACS</w:t>
            </w:r>
          </w:p>
        </w:tc>
        <w:tc>
          <w:tcPr>
            <w:tcW w:w="946" w:type="pct"/>
          </w:tcPr>
          <w:p w14:paraId="75720A8B" w14:textId="77777777" w:rsidR="00433B47" w:rsidRPr="0075285F" w:rsidRDefault="00433B47" w:rsidP="00433B47">
            <w:pPr>
              <w:keepNext/>
              <w:keepLines/>
              <w:spacing w:before="40" w:after="40"/>
              <w:contextualSpacing/>
              <w:rPr>
                <w:rFonts w:ascii="Arial Narrow" w:hAnsi="Arial Narrow"/>
                <w:snapToGrid w:val="0"/>
                <w:sz w:val="20"/>
                <w:vertAlign w:val="superscript"/>
                <w:lang w:eastAsia="en-US"/>
              </w:rPr>
            </w:pPr>
            <w:r w:rsidRPr="0075285F">
              <w:rPr>
                <w:rFonts w:ascii="Arial Narrow" w:hAnsi="Arial Narrow"/>
                <w:snapToGrid w:val="0"/>
                <w:sz w:val="20"/>
                <w:lang w:eastAsia="en-US"/>
              </w:rPr>
              <w:t>4/101</w:t>
            </w:r>
            <w:r w:rsidRPr="0075285F">
              <w:rPr>
                <w:rFonts w:ascii="Arial Narrow" w:hAnsi="Arial Narrow"/>
                <w:snapToGrid w:val="0"/>
                <w:sz w:val="20"/>
                <w:vertAlign w:val="superscript"/>
                <w:lang w:eastAsia="en-US"/>
              </w:rPr>
              <w:t>a</w:t>
            </w:r>
          </w:p>
        </w:tc>
        <w:tc>
          <w:tcPr>
            <w:tcW w:w="868" w:type="pct"/>
          </w:tcPr>
          <w:p w14:paraId="330B6252"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96 (92,98)</w:t>
            </w:r>
          </w:p>
        </w:tc>
        <w:tc>
          <w:tcPr>
            <w:tcW w:w="946" w:type="pct"/>
          </w:tcPr>
          <w:p w14:paraId="56C7A5F3"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(84,97) (94,100)</w:t>
            </w:r>
          </w:p>
        </w:tc>
        <w:tc>
          <w:tcPr>
            <w:tcW w:w="875" w:type="pct"/>
          </w:tcPr>
          <w:p w14:paraId="44364407"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85 (55,97)</w:t>
            </w:r>
          </w:p>
        </w:tc>
        <w:tc>
          <w:tcPr>
            <w:tcW w:w="831" w:type="pct"/>
          </w:tcPr>
          <w:p w14:paraId="70DC97D5" w14:textId="77777777" w:rsidR="00433B47" w:rsidRPr="0075285F" w:rsidRDefault="00433B47" w:rsidP="00433B47">
            <w:pPr>
              <w:keepNext/>
              <w:keepLines/>
              <w:spacing w:before="40" w:after="40"/>
              <w:contextualSpacing/>
              <w:rPr>
                <w:rFonts w:ascii="Arial Narrow" w:hAnsi="Arial Narrow"/>
                <w:snapToGrid w:val="0"/>
                <w:sz w:val="20"/>
                <w:lang w:eastAsia="en-US"/>
              </w:rPr>
            </w:pPr>
            <w:r w:rsidRPr="0075285F">
              <w:rPr>
                <w:rFonts w:ascii="Arial Narrow" w:hAnsi="Arial Narrow"/>
                <w:snapToGrid w:val="0"/>
                <w:sz w:val="20"/>
                <w:lang w:eastAsia="en-US"/>
              </w:rPr>
              <w:t>(39,70) (85,100)</w:t>
            </w:r>
          </w:p>
        </w:tc>
      </w:tr>
    </w:tbl>
    <w:p w14:paraId="44C80D89" w14:textId="77777777" w:rsidR="00433B47" w:rsidRPr="0075285F" w:rsidRDefault="00433B47" w:rsidP="00433B47">
      <w:pPr>
        <w:keepNext/>
        <w:keepLines/>
        <w:spacing w:after="120"/>
        <w:contextualSpacing/>
        <w:rPr>
          <w:rFonts w:ascii="Arial Narrow" w:hAnsi="Arial Narrow" w:cs="Arial"/>
          <w:snapToGrid w:val="0"/>
          <w:sz w:val="18"/>
          <w:lang w:eastAsia="en-US"/>
        </w:rPr>
      </w:pPr>
      <w:r w:rsidRPr="0075285F">
        <w:rPr>
          <w:rFonts w:ascii="Arial Narrow" w:hAnsi="Arial Narrow" w:cs="Arial"/>
          <w:snapToGrid w:val="0"/>
          <w:sz w:val="18"/>
          <w:lang w:eastAsia="en-US"/>
        </w:rPr>
        <w:t xml:space="preserve">CBA = cell-based assay; FACS = fluorescence-activating cell sorting; NPA = negative percentage agreement; PPA = positive percentage agreement </w:t>
      </w:r>
    </w:p>
    <w:p w14:paraId="49BC289F" w14:textId="77777777" w:rsidR="00433B47" w:rsidRPr="0075285F" w:rsidRDefault="00433B47" w:rsidP="00433B47">
      <w:pPr>
        <w:keepNext/>
        <w:keepLines/>
        <w:spacing w:after="120"/>
        <w:contextualSpacing/>
        <w:rPr>
          <w:rFonts w:ascii="Arial Narrow" w:hAnsi="Arial Narrow" w:cs="Arial"/>
          <w:snapToGrid w:val="0"/>
          <w:sz w:val="18"/>
          <w:lang w:eastAsia="en-US"/>
        </w:rPr>
      </w:pPr>
      <w:r w:rsidRPr="0075285F">
        <w:rPr>
          <w:rFonts w:ascii="Arial Narrow" w:hAnsi="Arial Narrow" w:cs="Arial"/>
          <w:snapToGrid w:val="0"/>
          <w:sz w:val="18"/>
          <w:vertAlign w:val="superscript"/>
          <w:lang w:eastAsia="en-US"/>
        </w:rPr>
        <w:t xml:space="preserve">a </w:t>
      </w:r>
      <w:r w:rsidRPr="0075285F">
        <w:rPr>
          <w:rFonts w:ascii="Arial Narrow" w:hAnsi="Arial Narrow" w:cs="Arial"/>
          <w:snapToGrid w:val="0"/>
          <w:sz w:val="18"/>
          <w:lang w:eastAsia="en-US"/>
        </w:rPr>
        <w:t>Study by Waters et al. 2016</w:t>
      </w:r>
    </w:p>
    <w:p w14:paraId="526F2C29" w14:textId="77777777" w:rsidR="00433B47" w:rsidRDefault="00433B47" w:rsidP="00433B47">
      <w:pPr>
        <w:keepNext/>
        <w:keepLines/>
        <w:spacing w:after="120"/>
        <w:contextualSpacing/>
        <w:rPr>
          <w:rFonts w:ascii="Arial Narrow" w:hAnsi="Arial Narrow" w:cs="Arial"/>
          <w:snapToGrid w:val="0"/>
          <w:sz w:val="18"/>
          <w:lang w:eastAsia="en-US"/>
        </w:rPr>
      </w:pPr>
      <w:r w:rsidRPr="0075285F">
        <w:rPr>
          <w:rFonts w:ascii="Arial Narrow" w:hAnsi="Arial Narrow" w:cs="Arial"/>
          <w:snapToGrid w:val="0"/>
          <w:sz w:val="18"/>
          <w:vertAlign w:val="superscript"/>
          <w:lang w:eastAsia="en-US"/>
        </w:rPr>
        <w:t xml:space="preserve">b </w:t>
      </w:r>
      <w:r w:rsidRPr="0075285F">
        <w:rPr>
          <w:rFonts w:ascii="Arial Narrow" w:hAnsi="Arial Narrow" w:cs="Arial"/>
          <w:snapToGrid w:val="0"/>
          <w:sz w:val="18"/>
          <w:lang w:eastAsia="en-US"/>
        </w:rPr>
        <w:t>total includes10 tests and 193 number of cases in study by Waters et al. 2016 and 1 test and 45 number of cases in study by Jarius et al 2010</w:t>
      </w:r>
    </w:p>
    <w:p w14:paraId="62F63690" w14:textId="5F6F6361" w:rsidR="00433B47" w:rsidRPr="003C0E09" w:rsidRDefault="00433B47" w:rsidP="003C0E09">
      <w:pPr>
        <w:keepNext/>
        <w:keepLines/>
        <w:spacing w:after="240"/>
        <w:rPr>
          <w:rFonts w:ascii="Arial Narrow" w:hAnsi="Arial Narrow" w:cs="Arial"/>
          <w:snapToGrid w:val="0"/>
          <w:sz w:val="18"/>
          <w:lang w:eastAsia="en-US"/>
        </w:rPr>
      </w:pPr>
      <w:r>
        <w:rPr>
          <w:rFonts w:ascii="Arial Narrow" w:hAnsi="Arial Narrow" w:cs="Arial"/>
          <w:snapToGrid w:val="0"/>
          <w:sz w:val="18"/>
          <w:lang w:eastAsia="en-US"/>
        </w:rPr>
        <w:t>Source: Table 3, p23 of the DCAR</w:t>
      </w:r>
    </w:p>
    <w:p w14:paraId="58C606EE" w14:textId="13DBE092" w:rsidR="00433B47" w:rsidRPr="0075285F" w:rsidRDefault="00433B47" w:rsidP="003C0E09">
      <w:pPr>
        <w:spacing w:before="240" w:after="240"/>
      </w:pPr>
      <w:r>
        <w:t>The DCAR stated that testing of CSF for AQP4-Abs is not as reliable as serum testing, based on results of one study. T</w:t>
      </w:r>
      <w:r w:rsidRPr="00FC2669">
        <w:t xml:space="preserve">he </w:t>
      </w:r>
      <w:r>
        <w:t>concordance</w:t>
      </w:r>
      <w:r w:rsidRPr="00FC2669">
        <w:t xml:space="preserve"> between serum </w:t>
      </w:r>
      <w:r>
        <w:t>and</w:t>
      </w:r>
      <w:r w:rsidRPr="00FC2669">
        <w:t xml:space="preserve"> CSF samples to detect AQP4-Abs showed that 32% of cases found to be AQP4-Ab positive in serum were not found to be positive in CSF. The PPA</w:t>
      </w:r>
      <w:r w:rsidR="000D34C2">
        <w:t>s</w:t>
      </w:r>
      <w:r w:rsidRPr="00FC2669">
        <w:t xml:space="preserve"> for serum and CSF w</w:t>
      </w:r>
      <w:r w:rsidR="000D34C2">
        <w:t>ere</w:t>
      </w:r>
      <w:r w:rsidRPr="00FC2669">
        <w:t xml:space="preserve"> 100% and 68%, respectively. The NPA was the same for both serum and CSF (100%).</w:t>
      </w:r>
      <w:r>
        <w:t xml:space="preserve"> Figure 4 </w:t>
      </w:r>
      <w:r w:rsidRPr="00A62790">
        <w:t>pr</w:t>
      </w:r>
      <w:r w:rsidRPr="0075285F">
        <w:t xml:space="preserve">ovides a summary of results. </w:t>
      </w:r>
      <w:r>
        <w:t xml:space="preserve">The lack of concordance between detection of AQP4-Abs in serum versus CSF is consistent with </w:t>
      </w:r>
      <w:r w:rsidRPr="00F8453D">
        <w:t xml:space="preserve">Wingerchuk et al. </w:t>
      </w:r>
      <w:r>
        <w:t>(2015)</w:t>
      </w:r>
      <w:r w:rsidR="000D34C2">
        <w:t>,</w:t>
      </w:r>
      <w:r>
        <w:t xml:space="preserve"> </w:t>
      </w:r>
      <w:r w:rsidRPr="00F8453D">
        <w:t>who reported that cases of AQP4-Ab detection in CSF, when they have not been detected in serum</w:t>
      </w:r>
      <w:r>
        <w:t>,</w:t>
      </w:r>
      <w:r w:rsidRPr="00F8453D">
        <w:t xml:space="preserve"> are rare, and routine CSF testing for AQP4-Ab testing in seronegative patients is not recommended.</w:t>
      </w:r>
    </w:p>
    <w:p w14:paraId="4004BE5D" w14:textId="77777777" w:rsidR="00433B47" w:rsidRPr="0075285F" w:rsidRDefault="00433B47" w:rsidP="00433B47">
      <w:pPr>
        <w:rPr>
          <w:rFonts w:ascii="Arial Narrow" w:hAnsi="Arial Narrow" w:cs="Arial"/>
          <w:snapToGrid w:val="0"/>
          <w:sz w:val="18"/>
          <w:lang w:eastAsia="en-US"/>
        </w:rPr>
      </w:pPr>
      <w:r w:rsidRPr="00AD76F4">
        <w:rPr>
          <w:noProof/>
        </w:rPr>
        <w:drawing>
          <wp:inline distT="0" distB="0" distL="0" distR="0" wp14:anchorId="0CBB8863" wp14:editId="116BE9A7">
            <wp:extent cx="5731510" cy="1215390"/>
            <wp:effectExtent l="0" t="0" r="2540" b="0"/>
            <wp:docPr id="8" name="Picture 8" descr="A summary of the positive percent agreement and negative percent agreement amongst serum AQP4 anitbody test and amongst cerebrospinal fluid AQP4 antibody tests." title="Figure 1 Concordance between assay samples using seruma versus cerebrospinal fl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2238"/>
                    <a:stretch/>
                  </pic:blipFill>
                  <pic:spPr bwMode="auto">
                    <a:xfrm>
                      <a:off x="0" y="0"/>
                      <a:ext cx="5731510" cy="1215390"/>
                    </a:xfrm>
                    <a:prstGeom prst="rect">
                      <a:avLst/>
                    </a:prstGeom>
                    <a:noFill/>
                    <a:ln>
                      <a:noFill/>
                    </a:ln>
                    <a:extLst>
                      <a:ext uri="{53640926-AAD7-44D8-BBD7-CCE9431645EC}">
                        <a14:shadowObscured xmlns:a14="http://schemas.microsoft.com/office/drawing/2010/main"/>
                      </a:ext>
                    </a:extLst>
                  </pic:spPr>
                </pic:pic>
              </a:graphicData>
            </a:graphic>
          </wp:inline>
        </w:drawing>
      </w:r>
    </w:p>
    <w:p w14:paraId="1107D0D4" w14:textId="0C1A088E" w:rsidR="00433B47" w:rsidRPr="00BE62FA" w:rsidRDefault="003C0E09" w:rsidP="00BE62FA">
      <w:pPr>
        <w:spacing w:before="240"/>
        <w:rPr>
          <w:rFonts w:ascii="Arial Narrow" w:hAnsi="Arial Narrow"/>
          <w:b/>
          <w:sz w:val="20"/>
        </w:rPr>
      </w:pPr>
      <w:bookmarkStart w:id="13" w:name="_Ref34730822"/>
      <w:bookmarkStart w:id="14" w:name="_Toc39580932"/>
      <w:r w:rsidRPr="00BE62FA">
        <w:rPr>
          <w:rFonts w:ascii="Arial Narrow" w:hAnsi="Arial Narrow"/>
          <w:b/>
          <w:sz w:val="20"/>
        </w:rPr>
        <w:t xml:space="preserve">Figure </w:t>
      </w:r>
      <w:r w:rsidRPr="00BE62FA">
        <w:rPr>
          <w:rFonts w:ascii="Arial Narrow" w:hAnsi="Arial Narrow"/>
          <w:b/>
          <w:sz w:val="20"/>
        </w:rPr>
        <w:fldChar w:fldCharType="begin"/>
      </w:r>
      <w:r w:rsidRPr="00BE62FA">
        <w:rPr>
          <w:rFonts w:ascii="Arial Narrow" w:hAnsi="Arial Narrow"/>
          <w:b/>
          <w:sz w:val="20"/>
        </w:rPr>
        <w:instrText xml:space="preserve"> SEQ Figure \* ARABIC </w:instrText>
      </w:r>
      <w:r w:rsidRPr="00BE62FA">
        <w:rPr>
          <w:rFonts w:ascii="Arial Narrow" w:hAnsi="Arial Narrow"/>
          <w:b/>
          <w:sz w:val="20"/>
        </w:rPr>
        <w:fldChar w:fldCharType="separate"/>
      </w:r>
      <w:r w:rsidR="009D6016">
        <w:rPr>
          <w:rFonts w:ascii="Arial Narrow" w:hAnsi="Arial Narrow"/>
          <w:b/>
          <w:noProof/>
          <w:sz w:val="20"/>
        </w:rPr>
        <w:t>4</w:t>
      </w:r>
      <w:r w:rsidRPr="00BE62FA">
        <w:rPr>
          <w:rFonts w:ascii="Arial Narrow" w:hAnsi="Arial Narrow"/>
          <w:b/>
          <w:sz w:val="20"/>
        </w:rPr>
        <w:fldChar w:fldCharType="end"/>
      </w:r>
      <w:bookmarkEnd w:id="13"/>
      <w:r w:rsidR="00433B47" w:rsidRPr="00BE62FA">
        <w:rPr>
          <w:rFonts w:ascii="Arial Narrow" w:hAnsi="Arial Narrow"/>
          <w:b/>
          <w:sz w:val="20"/>
        </w:rPr>
        <w:tab/>
        <w:t>Concordance between assay samples using serum versus cerebrospinal fluid</w:t>
      </w:r>
      <w:bookmarkEnd w:id="14"/>
    </w:p>
    <w:p w14:paraId="73E2FCBA" w14:textId="77777777" w:rsidR="00433B47" w:rsidRDefault="00433B47" w:rsidP="00433B47">
      <w:pPr>
        <w:rPr>
          <w:rFonts w:ascii="Arial Narrow" w:hAnsi="Arial Narrow" w:cs="Arial"/>
          <w:snapToGrid w:val="0"/>
          <w:sz w:val="18"/>
          <w:lang w:eastAsia="en-US"/>
        </w:rPr>
      </w:pPr>
      <w:r w:rsidRPr="0075285F">
        <w:rPr>
          <w:rFonts w:ascii="Arial Narrow" w:hAnsi="Arial Narrow" w:cs="Arial"/>
          <w:snapToGrid w:val="0"/>
          <w:sz w:val="18"/>
          <w:lang w:eastAsia="en-US"/>
        </w:rPr>
        <w:t>CSF = cerebrospinal fluid</w:t>
      </w:r>
    </w:p>
    <w:p w14:paraId="66064FBF" w14:textId="77777777" w:rsidR="00433B47" w:rsidRDefault="00433B47" w:rsidP="00433B47">
      <w:pPr>
        <w:rPr>
          <w:rFonts w:ascii="Arial Narrow" w:hAnsi="Arial Narrow" w:cs="Arial"/>
          <w:snapToGrid w:val="0"/>
          <w:sz w:val="18"/>
          <w:lang w:eastAsia="en-US"/>
        </w:rPr>
      </w:pPr>
      <w:r w:rsidRPr="0075285F">
        <w:rPr>
          <w:rFonts w:ascii="Arial Narrow" w:hAnsi="Arial Narrow" w:cs="Arial"/>
          <w:snapToGrid w:val="0"/>
          <w:sz w:val="18"/>
          <w:vertAlign w:val="superscript"/>
          <w:lang w:eastAsia="en-US"/>
        </w:rPr>
        <w:t xml:space="preserve">a </w:t>
      </w:r>
      <w:r w:rsidRPr="0075285F">
        <w:rPr>
          <w:rFonts w:ascii="Arial Narrow" w:hAnsi="Arial Narrow" w:cs="Arial"/>
          <w:snapToGrid w:val="0"/>
          <w:sz w:val="18"/>
          <w:lang w:eastAsia="en-US"/>
        </w:rPr>
        <w:t>fixed cell-based assay used</w:t>
      </w:r>
    </w:p>
    <w:p w14:paraId="1B2E4D0C" w14:textId="77777777" w:rsidR="00433B47" w:rsidRPr="0075285F" w:rsidRDefault="00433B47" w:rsidP="003C0E09">
      <w:pPr>
        <w:keepNext/>
        <w:keepLines/>
        <w:spacing w:after="240"/>
        <w:rPr>
          <w:rFonts w:ascii="Arial Narrow" w:hAnsi="Arial Narrow" w:cs="Arial"/>
          <w:snapToGrid w:val="0"/>
          <w:sz w:val="18"/>
          <w:lang w:eastAsia="en-US"/>
        </w:rPr>
      </w:pPr>
      <w:r>
        <w:rPr>
          <w:rFonts w:ascii="Arial Narrow" w:hAnsi="Arial Narrow" w:cs="Arial"/>
          <w:snapToGrid w:val="0"/>
          <w:sz w:val="18"/>
          <w:lang w:eastAsia="en-US"/>
        </w:rPr>
        <w:t>Source: Figure 1, p24 of the DCAR</w:t>
      </w:r>
    </w:p>
    <w:p w14:paraId="5A4E8619" w14:textId="77777777" w:rsidR="00433B47" w:rsidRDefault="00433B47" w:rsidP="00433B47">
      <w:pPr>
        <w:pStyle w:val="Heading2"/>
      </w:pPr>
      <w:r>
        <w:t>Clinical validity</w:t>
      </w:r>
    </w:p>
    <w:p w14:paraId="117B4487" w14:textId="77777777" w:rsidR="00433B47" w:rsidRDefault="00433B47" w:rsidP="00433B47">
      <w:pPr>
        <w:spacing w:after="80"/>
      </w:pPr>
      <w:r>
        <w:t>The DCAR stated that there were issues associated with the intervention and the clinical reference standard that prevented diagnostic accuracy data from being reliable. The clinical reference standard (diagnosis of NMOSD based in the 2015 IPND criteria) includes or is likely to include the AQP4-Ab test and therefore is at risk of incorporation bias. Issues associated with the test which prevent data collected from the relevant literature being reliable, include the following:</w:t>
      </w:r>
    </w:p>
    <w:p w14:paraId="4100A18B" w14:textId="5775D5EC" w:rsidR="00433B47" w:rsidRDefault="000D34C2" w:rsidP="00433B47">
      <w:pPr>
        <w:pStyle w:val="ListParagraph"/>
        <w:numPr>
          <w:ilvl w:val="0"/>
          <w:numId w:val="27"/>
        </w:numPr>
        <w:spacing w:after="80"/>
      </w:pPr>
      <w:r>
        <w:t>a</w:t>
      </w:r>
      <w:r w:rsidR="00433B47">
        <w:t xml:space="preserve"> negative test result for AQP4-Ab does not rule out a NMOSD diagnosis</w:t>
      </w:r>
    </w:p>
    <w:p w14:paraId="50423BAB" w14:textId="61A0B5FA" w:rsidR="00433B47" w:rsidRDefault="000D34C2" w:rsidP="00433B47">
      <w:pPr>
        <w:pStyle w:val="ListParagraph"/>
        <w:numPr>
          <w:ilvl w:val="0"/>
          <w:numId w:val="27"/>
        </w:numPr>
        <w:spacing w:after="80"/>
      </w:pPr>
      <w:r>
        <w:t>i</w:t>
      </w:r>
      <w:r w:rsidR="00433B47">
        <w:t>n the literature, a reported patient record of AQP4-Ab negative may also mean serostatus is not available for the purposes of calculating sensitivity</w:t>
      </w:r>
    </w:p>
    <w:p w14:paraId="17F7F7B9" w14:textId="54F7FF8B" w:rsidR="00433B47" w:rsidRDefault="000D34C2" w:rsidP="00433B47">
      <w:pPr>
        <w:pStyle w:val="ListParagraph"/>
        <w:numPr>
          <w:ilvl w:val="0"/>
          <w:numId w:val="27"/>
        </w:numPr>
        <w:spacing w:after="80"/>
      </w:pPr>
      <w:r>
        <w:t>i</w:t>
      </w:r>
      <w:r w:rsidR="00433B47">
        <w:t xml:space="preserve">t was assumed in the DCAR that AQP4-Ab positive is definitive for a diagnosis of NMOSD, therefore making it difficult to </w:t>
      </w:r>
      <w:r>
        <w:t xml:space="preserve">determine </w:t>
      </w:r>
      <w:r w:rsidR="003616F4">
        <w:t>the effect of</w:t>
      </w:r>
      <w:r w:rsidR="00EE2326">
        <w:t xml:space="preserve"> identifying</w:t>
      </w:r>
      <w:r w:rsidR="003616F4">
        <w:t xml:space="preserve"> </w:t>
      </w:r>
      <w:r>
        <w:t>false positive cases.</w:t>
      </w:r>
    </w:p>
    <w:p w14:paraId="0420C0D9" w14:textId="58B1FC1A" w:rsidR="00ED31CF" w:rsidRDefault="00433B47" w:rsidP="003C0E09">
      <w:pPr>
        <w:spacing w:before="240"/>
      </w:pPr>
      <w:r>
        <w:t xml:space="preserve">The DCAR stated that yield data for AQP4-Ab testing was determined from retrospective studies of patient cohorts in early stages of disease development. A prevalence of approximately 34% for NMOSD cases was calculated from the yield data for patients having </w:t>
      </w:r>
      <w:r>
        <w:lastRenderedPageBreak/>
        <w:t>one symptom (for example LETM, ON or acquired brainstem syndrome [ABS]) and meeting the suspected NMOSD PPICO criteria. Prevalence was found to be similar (43%) in one Australian based study, but did not match that determined from Australian data collected from clinical pathology laboratories performing the test. AQP4-Ab and/or MOG-Ab testing is performed in a broader population in Australia, with a prevalence of NMOSD cases of 2.9% for QLD (</w:t>
      </w:r>
      <w:r w:rsidR="00B4207C">
        <w:t>i</w:t>
      </w:r>
      <w:r>
        <w:t>ncluding tests from SA) and 5.4% for WA, calculat</w:t>
      </w:r>
      <w:r w:rsidR="00ED31CF">
        <w:t>ed from the tested population.</w:t>
      </w:r>
    </w:p>
    <w:p w14:paraId="1080B05A" w14:textId="42DF6261" w:rsidR="00433B47" w:rsidRDefault="00433B47" w:rsidP="003C0E09">
      <w:pPr>
        <w:spacing w:before="240"/>
      </w:pPr>
      <w:r>
        <w:t>There is no clinical reference standard for MOG-Ab testing</w:t>
      </w:r>
      <w:r w:rsidRPr="00C05467">
        <w:t xml:space="preserve"> </w:t>
      </w:r>
      <w:r>
        <w:t>and so its accuracy could not be assessed, and only yield data were reported for this test. In some studies, all patients were tested for MOG-Ab</w:t>
      </w:r>
      <w:r w:rsidR="00ED31CF">
        <w:t>,</w:t>
      </w:r>
      <w:r>
        <w:t xml:space="preserve"> whereas in others only those testing negative for AQP4-Ab were tested, so it is difficult to comp</w:t>
      </w:r>
      <w:r w:rsidR="003C0E09">
        <w:t>are the outcome across studies.</w:t>
      </w:r>
    </w:p>
    <w:p w14:paraId="20D8C551" w14:textId="0B26079C" w:rsidR="00433B47" w:rsidRDefault="00433B47" w:rsidP="003C0E09">
      <w:pPr>
        <w:spacing w:before="240"/>
      </w:pPr>
      <w:r>
        <w:t>The DCAR stated that</w:t>
      </w:r>
      <w:r w:rsidR="00ED31CF">
        <w:t>,</w:t>
      </w:r>
      <w:r>
        <w:t xml:space="preserve"> in the absence of relevant diagnostic accuracy data from the clinical setting, prognostic data have provided a step in the linked evidence. Studies comparing the longitudinal outcomes for patients testing positive or negative for AQP4-Ab indicate that the presence of AQP4 antibodies identifies a group of patients at risk of clinically significantly worse outcomes amongst those </w:t>
      </w:r>
      <w:r w:rsidRPr="00547A82">
        <w:rPr>
          <w:i/>
        </w:rPr>
        <w:t>suspected</w:t>
      </w:r>
      <w:r>
        <w:t xml:space="preserve"> of NMOSD. Visual impairment, rate of legal blindness, rate of diagnosis with NMO/NMOSD and annualised relapse rate (ARR) were all found to be worse after a minimum follow-up period of 1 year in patients found positive for AQP4-Ab compared to those who tested negative, amongst those who were suspected of NMOSD due to the pr</w:t>
      </w:r>
      <w:r w:rsidR="003C0E09">
        <w:t>esence of one or more symptoms.</w:t>
      </w:r>
    </w:p>
    <w:p w14:paraId="763A456F" w14:textId="50AA880E" w:rsidR="00433B47" w:rsidRDefault="00433B47" w:rsidP="003C0E09">
      <w:pPr>
        <w:spacing w:before="240"/>
      </w:pPr>
      <w:r>
        <w:t>The DCAR stated that th</w:t>
      </w:r>
      <w:r w:rsidR="00ED31CF">
        <w:t>ese</w:t>
      </w:r>
      <w:r>
        <w:t xml:space="preserve"> data were supported by results of a systematic review in which visual outcomes were found to be worse for patients who were AQP4-Ab positive compared to those testing negative,</w:t>
      </w:r>
      <w:r w:rsidRPr="007F03EC">
        <w:t xml:space="preserve"> </w:t>
      </w:r>
      <w:r>
        <w:t xml:space="preserve">amongst those </w:t>
      </w:r>
      <w:r w:rsidRPr="002647F8">
        <w:rPr>
          <w:i/>
        </w:rPr>
        <w:t>diagnosed</w:t>
      </w:r>
      <w:r>
        <w:t xml:space="preserve"> with NMO or NMOSD. There were similar but less consistent prognostic data for MOG-Ab testing performed in those suspected of NMOSD, suggesting that those who were MOG-Ab positive had worse outcom</w:t>
      </w:r>
      <w:r w:rsidR="00ED31CF">
        <w:t>es than those testing negative.</w:t>
      </w:r>
    </w:p>
    <w:p w14:paraId="3486AD4F" w14:textId="77777777" w:rsidR="00433B47" w:rsidRDefault="00433B47" w:rsidP="00433B47">
      <w:pPr>
        <w:pStyle w:val="Heading2"/>
      </w:pPr>
      <w:r>
        <w:t>Clinical utility</w:t>
      </w:r>
    </w:p>
    <w:p w14:paraId="2DB37E73" w14:textId="755854D8" w:rsidR="00433B47" w:rsidRDefault="00433B47" w:rsidP="00433B47">
      <w:r>
        <w:t>The DCAR stated that there was evidence to show that patients are diagnosed earlier when diagnosis is based on the 2015 IPND criteria compared to those diagnosed by the 2006 criteria.</w:t>
      </w:r>
      <w:r w:rsidR="00ED31CF">
        <w:t xml:space="preserve"> </w:t>
      </w:r>
      <w:r>
        <w:t>In addition to AQP4-IgG serology status, the 2006 guidelines required both myelitis and optic neuritis for diagnosis of NMO (subsequently relaxed in the 2015 IPND guidelines). The term NMO spectrum disorder (NMOSD) was introduced in 2007 to include AQP4-IgG seropositive patients with limited clinical symptoms but at</w:t>
      </w:r>
      <w:r w:rsidR="00ED31CF">
        <w:t xml:space="preserve"> high risk for future attacks.</w:t>
      </w:r>
    </w:p>
    <w:p w14:paraId="5A06D7F2" w14:textId="77777777" w:rsidR="00433B47" w:rsidRDefault="00433B47" w:rsidP="00433B47">
      <w:pPr>
        <w:pStyle w:val="Heading3"/>
      </w:pPr>
      <w:r>
        <w:t>Therapeutic efficacy (change in management)</w:t>
      </w:r>
    </w:p>
    <w:p w14:paraId="6AC25D49" w14:textId="5FA44A62" w:rsidR="00433B47" w:rsidRPr="00DA204F" w:rsidRDefault="00433B47" w:rsidP="00433B47">
      <w:r>
        <w:t xml:space="preserve">The DCAR stated that evidence from one study </w:t>
      </w:r>
      <w:r w:rsidRPr="00DA204F">
        <w:t>show</w:t>
      </w:r>
      <w:r>
        <w:t>ed</w:t>
      </w:r>
      <w:r w:rsidRPr="00DA204F">
        <w:t xml:space="preserve"> that patients are diagnosed earlier </w:t>
      </w:r>
      <w:r>
        <w:t>using the 2015 IPND criteria compared to those diagnosed by the 2006</w:t>
      </w:r>
      <w:r w:rsidRPr="00DA204F">
        <w:t xml:space="preserve"> </w:t>
      </w:r>
      <w:r>
        <w:t xml:space="preserve">criteria </w:t>
      </w:r>
      <w:r w:rsidRPr="00DA204F">
        <w:t>(11 versus 53</w:t>
      </w:r>
      <w:r w:rsidR="003C0E09">
        <w:t> </w:t>
      </w:r>
      <w:r w:rsidRPr="00DA204F">
        <w:t>months). The time to diagnosis was measured retrospectively in patients with central nervous system inflammatory disease</w:t>
      </w:r>
      <w:r>
        <w:t>,</w:t>
      </w:r>
      <w:r w:rsidRPr="00DA204F">
        <w:t xml:space="preserve"> which is broader than the population of interest (those suspected o</w:t>
      </w:r>
      <w:r>
        <w:t>f</w:t>
      </w:r>
      <w:r w:rsidRPr="00DA204F">
        <w:t xml:space="preserve"> NMOSD</w:t>
      </w:r>
      <w:r>
        <w:t>). In more selected populations, this effect may be reduced</w:t>
      </w:r>
      <w:r w:rsidR="00ED31CF">
        <w:t>,</w:t>
      </w:r>
      <w:r w:rsidRPr="00F10CDF">
        <w:t xml:space="preserve"> </w:t>
      </w:r>
      <w:r w:rsidR="003C0E09">
        <w:t>but is unlikely to be negated.</w:t>
      </w:r>
    </w:p>
    <w:p w14:paraId="3040F39C" w14:textId="0B752C2D" w:rsidR="00433B47" w:rsidRPr="00DA204F" w:rsidRDefault="00433B47" w:rsidP="003C0E09">
      <w:pPr>
        <w:spacing w:before="240"/>
      </w:pPr>
      <w:r>
        <w:t xml:space="preserve">The DCAR stated that further </w:t>
      </w:r>
      <w:r w:rsidRPr="00DA204F">
        <w:t>evidence show</w:t>
      </w:r>
      <w:r>
        <w:t>ed</w:t>
      </w:r>
      <w:r w:rsidRPr="00DA204F">
        <w:t xml:space="preserve"> that more patients suspected of NMOSD are diagnosed </w:t>
      </w:r>
      <w:r>
        <w:t>by</w:t>
      </w:r>
      <w:r w:rsidRPr="00DA204F">
        <w:t xml:space="preserve"> the 2015 IPND criteria than </w:t>
      </w:r>
      <w:r>
        <w:t>by</w:t>
      </w:r>
      <w:r w:rsidRPr="00DA204F">
        <w:t xml:space="preserve"> the 2006 criteria</w:t>
      </w:r>
      <w:r>
        <w:t xml:space="preserve"> (odds ratio [OR] [95% confidence interval</w:t>
      </w:r>
      <w:r w:rsidR="00ED31CF">
        <w:t xml:space="preserve"> </w:t>
      </w:r>
      <w:r>
        <w:t xml:space="preserve">(CI)] of diagnosis range: 1.76 [1.04, 2.94] to 2.48 [1.93, 3.19]). This is possibly because of the more recent </w:t>
      </w:r>
      <w:r w:rsidRPr="00DA204F">
        <w:t>emphasis o</w:t>
      </w:r>
      <w:r w:rsidR="00ED31CF">
        <w:t>n</w:t>
      </w:r>
      <w:r w:rsidR="003C0E09">
        <w:t xml:space="preserve"> AQP4-Ab testing.</w:t>
      </w:r>
    </w:p>
    <w:p w14:paraId="7B0C131B" w14:textId="35BF66F6" w:rsidR="00433B47" w:rsidRPr="00C7456B" w:rsidRDefault="00433B47" w:rsidP="003C0E09">
      <w:pPr>
        <w:spacing w:before="240"/>
      </w:pPr>
      <w:r w:rsidRPr="00DA204F">
        <w:t>The</w:t>
      </w:r>
      <w:r>
        <w:t xml:space="preserve"> DCAR stated that the</w:t>
      </w:r>
      <w:r w:rsidRPr="00DA204F">
        <w:t xml:space="preserve"> association between AQP4-Ab testing and earlier diagnosis was strong, but the confidence in the results was reduced by the risk of bias in the retrospective observational study designs. (GRADE: LOW </w:t>
      </w:r>
      <w:r w:rsidRPr="00A27630">
        <w:rPr>
          <w:rFonts w:ascii="Cambria Math" w:hAnsi="Cambria Math" w:cs="Cambria Math"/>
          <w:color w:val="00B050"/>
        </w:rPr>
        <w:t>⨁⨁</w:t>
      </w:r>
      <w:r w:rsidRPr="00A27630">
        <w:rPr>
          <w:rFonts w:ascii="Cambria Math" w:hAnsi="Cambria Math" w:cs="Cambria Math"/>
          <w:color w:val="FF0000"/>
        </w:rPr>
        <w:t>⨀⨀</w:t>
      </w:r>
      <w:r w:rsidRPr="00DA204F">
        <w:t>)</w:t>
      </w:r>
      <w:r w:rsidR="00C7456B">
        <w:t>.</w:t>
      </w:r>
    </w:p>
    <w:p w14:paraId="27CE36C6" w14:textId="1FC36463" w:rsidR="00433B47" w:rsidRDefault="00433B47" w:rsidP="00433B47">
      <w:r>
        <w:lastRenderedPageBreak/>
        <w:t>The DCAR stated that t</w:t>
      </w:r>
      <w:r w:rsidRPr="00DA204F">
        <w:t>here was no evidence to determine if MOG-Ab testing impacted on the time to diagnosis for patients suspected of</w:t>
      </w:r>
      <w:r w:rsidR="003C0E09">
        <w:t xml:space="preserve"> NMOSD.</w:t>
      </w:r>
    </w:p>
    <w:p w14:paraId="2D181D67" w14:textId="0E574526" w:rsidR="00433B47" w:rsidRDefault="00433B47" w:rsidP="003C0E09">
      <w:pPr>
        <w:spacing w:before="240"/>
      </w:pPr>
      <w:r>
        <w:t xml:space="preserve">The DCAR stated that there were two cross-sectional studies reporting </w:t>
      </w:r>
      <w:r w:rsidR="00ED31CF">
        <w:t xml:space="preserve">a </w:t>
      </w:r>
      <w:r>
        <w:t xml:space="preserve">change in </w:t>
      </w:r>
      <w:r w:rsidR="00ED31CF">
        <w:t xml:space="preserve">patient </w:t>
      </w:r>
      <w:r>
        <w:t xml:space="preserve">management </w:t>
      </w:r>
      <w:r w:rsidR="00ED31CF">
        <w:t xml:space="preserve">and consequent </w:t>
      </w:r>
      <w:r>
        <w:t xml:space="preserve">outcomes of interest. </w:t>
      </w:r>
      <w:r w:rsidRPr="00DA204F">
        <w:t xml:space="preserve">In a quality of life questionnaire, </w:t>
      </w:r>
      <w:r>
        <w:t>out of 195 NMO and NMOSD patients,</w:t>
      </w:r>
      <w:r w:rsidRPr="00DA204F">
        <w:t xml:space="preserve"> 65</w:t>
      </w:r>
      <w:r>
        <w:t>.8</w:t>
      </w:r>
      <w:r w:rsidRPr="00DA204F">
        <w:t>% had been given a prior incorrect diagnosis</w:t>
      </w:r>
      <w:r>
        <w:t>, MS being the most common (41.4%).</w:t>
      </w:r>
      <w:r w:rsidRPr="00DA204F">
        <w:t xml:space="preserve"> </w:t>
      </w:r>
      <w:r>
        <w:t xml:space="preserve">Patients </w:t>
      </w:r>
      <w:r w:rsidRPr="00DA204F">
        <w:t xml:space="preserve">were concerned about the amount of time it took to get </w:t>
      </w:r>
      <w:r w:rsidR="00ED31CF">
        <w:t xml:space="preserve">a </w:t>
      </w:r>
      <w:r w:rsidRPr="00DA204F">
        <w:t xml:space="preserve">correct diagnosis (0 to 40 years; mean 3.3 ± 6.3 years), and </w:t>
      </w:r>
      <w:r w:rsidR="00ED31CF">
        <w:t xml:space="preserve">to </w:t>
      </w:r>
      <w:r>
        <w:t xml:space="preserve">receive </w:t>
      </w:r>
      <w:r w:rsidRPr="00DA204F">
        <w:t>an effective treatment. Once a correct diagnosis had been given, the mean time it took to receive treatment was 6</w:t>
      </w:r>
      <w:r w:rsidR="0018145F">
        <w:t> </w:t>
      </w:r>
      <w:r w:rsidRPr="00DA204F">
        <w:t>months ± 1.7 years (range 0 – 11 years)</w:t>
      </w:r>
      <w:r>
        <w:t>, indicating that the primary delay to getting treatment was the time taken to diagnosis</w:t>
      </w:r>
      <w:r w:rsidRPr="00DA204F">
        <w:t xml:space="preserve">. </w:t>
      </w:r>
      <w:r>
        <w:t>In a second,</w:t>
      </w:r>
      <w:r w:rsidRPr="00DA204F">
        <w:t xml:space="preserve"> small cross-sectional study, </w:t>
      </w:r>
      <w:r>
        <w:t xml:space="preserve">it was </w:t>
      </w:r>
      <w:r w:rsidRPr="00DA204F">
        <w:t>found that there was considerable disagreement between specialists when diagnosing patients with suspected NMOSD or MS, a</w:t>
      </w:r>
      <w:r>
        <w:t>t</w:t>
      </w:r>
      <w:r w:rsidRPr="00DA204F">
        <w:t xml:space="preserve"> least partly due to the overlapping symptoms between the conditions.</w:t>
      </w:r>
      <w:r>
        <w:t xml:space="preserve"> It is likely that AQP4-Ab testing may reduce the confusion over diagnoses.</w:t>
      </w:r>
    </w:p>
    <w:p w14:paraId="112CB93C" w14:textId="77777777" w:rsidR="00433B47" w:rsidRDefault="00433B47" w:rsidP="00433B47">
      <w:pPr>
        <w:pStyle w:val="Heading3"/>
      </w:pPr>
      <w:r>
        <w:t>Therapeutic effectiveness (health benefit from change in management)</w:t>
      </w:r>
    </w:p>
    <w:p w14:paraId="7BCAEAD7" w14:textId="77777777" w:rsidR="00433B47" w:rsidRDefault="00433B47" w:rsidP="00433B47">
      <w:r>
        <w:t>The DCAR stated that studies assessing treatments that are likely to be used in the Australian setting</w:t>
      </w:r>
      <w:r w:rsidRPr="008C1B84">
        <w:t xml:space="preserve"> </w:t>
      </w:r>
      <w:r>
        <w:t>were included. Assessment of treatments in NMOSD patients were made using comparisons of early versus late treatment, NMOSD specific treatment versus MS treatment, treatment versus standard immunosuppressant treatment (intravenous methylprednisolone (IVMP) or</w:t>
      </w:r>
      <w:r w:rsidRPr="005B0E41">
        <w:t xml:space="preserve"> glucocorticoids alone)</w:t>
      </w:r>
      <w:r>
        <w:t>, or treatment versus placebo.</w:t>
      </w:r>
    </w:p>
    <w:p w14:paraId="32A03537" w14:textId="22781E53" w:rsidR="00433B47" w:rsidRDefault="00433B47" w:rsidP="00433B47">
      <w:pPr>
        <w:spacing w:before="240"/>
      </w:pPr>
      <w:r>
        <w:t>The DCAR stated that early PLEX treatment resulted in a greater chance of complete improvement, while early AZA treatment led to a longer remission time when compared to delayed treatment. Early IVMP treatment in NMOSD patients with ON resulted in better visual outcomes compared to late treatment. Delay of treatment in all three studies assessing ON treatments led to worse visual outcomes. In the study of NMOSD patients with ON, delay of treatment beyond as little as 4 days after an ON attack led to worse visual outcomes</w:t>
      </w:r>
      <w:r>
        <w:rPr>
          <w:rStyle w:val="FootnoteReference"/>
          <w:rFonts w:eastAsiaTheme="majorEastAsia"/>
        </w:rPr>
        <w:footnoteReference w:id="5"/>
      </w:r>
      <w:r w:rsidR="00ED31CF">
        <w:t>.</w:t>
      </w:r>
    </w:p>
    <w:p w14:paraId="4726433D" w14:textId="77777777" w:rsidR="00433B47" w:rsidRDefault="00433B47" w:rsidP="00433B47">
      <w:pPr>
        <w:spacing w:before="240"/>
      </w:pPr>
      <w:r>
        <w:t xml:space="preserve">The DCAR considered that early treatment (PLEX, AZA or IVMP) for NMOSD patients resulted in better treatment effectiveness when compared to late treatment. Although there was a strong to very strong association between early treatment and better outcomes, confidence was reduced by the risk of bias in the retrospective observational study designs and the outcome certainty was moderate when assessed by GRADE. (GRADE: </w:t>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A27630">
        <w:t>MODERATE)</w:t>
      </w:r>
    </w:p>
    <w:p w14:paraId="21EE6735" w14:textId="77777777" w:rsidR="001625E9" w:rsidRDefault="00433B47" w:rsidP="00433B47">
      <w:pPr>
        <w:spacing w:before="240"/>
      </w:pPr>
      <w:r>
        <w:t xml:space="preserve">The DCAR considered that therapies for NMOSD (PLEX, RTX, AZA and ECZ) were more effective overall than placebo, standard </w:t>
      </w:r>
      <w:r w:rsidRPr="005B0E41">
        <w:t>immunosuppressant therapy (IVMP, glucocorticoids) alone</w:t>
      </w:r>
      <w:r>
        <w:t xml:space="preserve"> or MS treatment (interferon beta), when assessed by change in expanded disability status scale (EDSS) and annualised relapse rate (ARR). The association between better EDSS and ARR outcomes and NMOSD treatment, compared to interferon beta, was strong and there was moderate certainty in this outcome when assessed by GRADE. One exception to this trend was evidence from a randomised controlled trial (RCT) comparing ECZ treatment to placebo. The study found a very strong association for an improved ARR in ECZ treated patients, but a lower level of association between ECZ and EDSS at follow-up. Change in EDSS, rather than EDSS at follow-up may have detected a difference between groups, as</w:t>
      </w:r>
      <w:r w:rsidRPr="002076A6">
        <w:t xml:space="preserve"> </w:t>
      </w:r>
      <w:r>
        <w:lastRenderedPageBreak/>
        <w:t xml:space="preserve">there was improvement in patients given ECZ and placebo in the trial. (GRADE: </w:t>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A27630">
        <w:t>MODERATE)</w:t>
      </w:r>
    </w:p>
    <w:p w14:paraId="51FA333F" w14:textId="77777777" w:rsidR="00433B47" w:rsidRDefault="00433B47" w:rsidP="00433B47">
      <w:pPr>
        <w:pStyle w:val="Heading3"/>
      </w:pPr>
      <w:r>
        <w:t>Summary of findings for AQP4-Ab testing</w:t>
      </w:r>
    </w:p>
    <w:p w14:paraId="62AD05DF" w14:textId="00DD4E52" w:rsidR="00433B47" w:rsidRDefault="00433B47" w:rsidP="00433B47">
      <w:r>
        <w:t xml:space="preserve">The DCAR provided a summary of likely outcomes for tested patients with AQP4-Ab for the diagnosis of NMOSD, who have true positive, true negative, false positive and false negative test results, </w:t>
      </w:r>
      <w:proofErr w:type="gramStart"/>
      <w:r>
        <w:t>can</w:t>
      </w:r>
      <w:proofErr w:type="gramEnd"/>
      <w:r>
        <w:t xml:space="preserve"> be seen in </w:t>
      </w:r>
      <w:r w:rsidR="003C0E09" w:rsidRPr="009D6016">
        <w:rPr>
          <w:szCs w:val="24"/>
        </w:rPr>
        <w:fldChar w:fldCharType="begin"/>
      </w:r>
      <w:r w:rsidR="003C0E09" w:rsidRPr="009D6016">
        <w:rPr>
          <w:szCs w:val="24"/>
        </w:rPr>
        <w:instrText xml:space="preserve"> REF _Ref33442890 \h </w:instrText>
      </w:r>
      <w:r w:rsidR="009D6016" w:rsidRPr="009D6016">
        <w:rPr>
          <w:szCs w:val="24"/>
        </w:rPr>
        <w:instrText xml:space="preserve"> \* MERGEFORMAT </w:instrText>
      </w:r>
      <w:r w:rsidR="003C0E09" w:rsidRPr="009D6016">
        <w:rPr>
          <w:szCs w:val="24"/>
        </w:rPr>
      </w:r>
      <w:r w:rsidR="003C0E09" w:rsidRPr="009D6016">
        <w:rPr>
          <w:szCs w:val="24"/>
        </w:rPr>
        <w:fldChar w:fldCharType="separate"/>
      </w:r>
      <w:r w:rsidR="009D6016" w:rsidRPr="009D6016">
        <w:rPr>
          <w:szCs w:val="24"/>
        </w:rPr>
        <w:t xml:space="preserve">Table </w:t>
      </w:r>
      <w:r w:rsidR="009D6016" w:rsidRPr="009D6016">
        <w:rPr>
          <w:noProof/>
          <w:szCs w:val="24"/>
        </w:rPr>
        <w:t>5</w:t>
      </w:r>
      <w:r w:rsidR="003C0E09" w:rsidRPr="009D6016">
        <w:rPr>
          <w:szCs w:val="24"/>
        </w:rPr>
        <w:fldChar w:fldCharType="end"/>
      </w:r>
      <w:r w:rsidR="003C0E09">
        <w:t>.</w:t>
      </w:r>
    </w:p>
    <w:p w14:paraId="22C7225E" w14:textId="00A0DC4D" w:rsidR="00433B47" w:rsidRPr="00BE62FA" w:rsidRDefault="003C0E09" w:rsidP="00BE62FA">
      <w:pPr>
        <w:spacing w:before="240"/>
        <w:rPr>
          <w:rFonts w:ascii="Arial Narrow" w:hAnsi="Arial Narrow"/>
          <w:b/>
          <w:sz w:val="20"/>
        </w:rPr>
      </w:pPr>
      <w:bookmarkStart w:id="15" w:name="_Ref33442890"/>
      <w:bookmarkStart w:id="16" w:name="_Toc39580785"/>
      <w:r w:rsidRPr="00BE62FA">
        <w:rPr>
          <w:rFonts w:ascii="Arial Narrow" w:hAnsi="Arial Narrow"/>
          <w:b/>
          <w:sz w:val="20"/>
        </w:rPr>
        <w:t xml:space="preserve">Table </w:t>
      </w:r>
      <w:r w:rsidRPr="00BE62FA">
        <w:rPr>
          <w:rFonts w:ascii="Arial Narrow" w:hAnsi="Arial Narrow"/>
          <w:b/>
          <w:sz w:val="20"/>
        </w:rPr>
        <w:fldChar w:fldCharType="begin"/>
      </w:r>
      <w:r w:rsidRPr="00BE62FA">
        <w:rPr>
          <w:rFonts w:ascii="Arial Narrow" w:hAnsi="Arial Narrow"/>
          <w:b/>
          <w:sz w:val="20"/>
        </w:rPr>
        <w:instrText xml:space="preserve"> SEQ Table \* ARABIC </w:instrText>
      </w:r>
      <w:r w:rsidRPr="00BE62FA">
        <w:rPr>
          <w:rFonts w:ascii="Arial Narrow" w:hAnsi="Arial Narrow"/>
          <w:b/>
          <w:sz w:val="20"/>
        </w:rPr>
        <w:fldChar w:fldCharType="separate"/>
      </w:r>
      <w:r w:rsidR="009D6016">
        <w:rPr>
          <w:rFonts w:ascii="Arial Narrow" w:hAnsi="Arial Narrow"/>
          <w:b/>
          <w:noProof/>
          <w:sz w:val="20"/>
        </w:rPr>
        <w:t>5</w:t>
      </w:r>
      <w:r w:rsidRPr="00BE62FA">
        <w:rPr>
          <w:rFonts w:ascii="Arial Narrow" w:hAnsi="Arial Narrow"/>
          <w:b/>
          <w:sz w:val="20"/>
        </w:rPr>
        <w:fldChar w:fldCharType="end"/>
      </w:r>
      <w:bookmarkEnd w:id="15"/>
      <w:r w:rsidR="00433B47" w:rsidRPr="00BE62FA">
        <w:rPr>
          <w:rFonts w:ascii="Arial Narrow" w:hAnsi="Arial Narrow"/>
          <w:b/>
          <w:sz w:val="20"/>
        </w:rPr>
        <w:tab/>
        <w:t>Summary of findings for the linked evidence of AQP4-Ab testing for patients who are suspected of NMOSD</w:t>
      </w:r>
      <w:bookmarkEnd w:id="16"/>
    </w:p>
    <w:tbl>
      <w:tblPr>
        <w:tblStyle w:val="TableGrid"/>
        <w:tblW w:w="906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Caption w:val="Table 4 Summary of findings for the linked evidence of AQP4-Ab testing for patients who are suspected of NMOSD"/>
        <w:tblDescription w:val="Summary of findings table describing likely outcomes for true positives, true negatives, false positives and false negatives after testing for AQP4- antibodies."/>
      </w:tblPr>
      <w:tblGrid>
        <w:gridCol w:w="1555"/>
        <w:gridCol w:w="7512"/>
      </w:tblGrid>
      <w:tr w:rsidR="00433B47" w:rsidRPr="00BC0125" w14:paraId="6E994AB8" w14:textId="77777777" w:rsidTr="00F23742">
        <w:trPr>
          <w:tblHeader/>
        </w:trPr>
        <w:tc>
          <w:tcPr>
            <w:tcW w:w="1555" w:type="dxa"/>
            <w:shd w:val="clear" w:color="auto" w:fill="DDD9C3" w:themeFill="background2" w:themeFillShade="E6"/>
          </w:tcPr>
          <w:p w14:paraId="4C7E2845" w14:textId="09CC40A1" w:rsidR="00433B47" w:rsidRPr="00BC0125" w:rsidRDefault="00F56437" w:rsidP="00F56437">
            <w:pPr>
              <w:pStyle w:val="TableHeading"/>
              <w:ind w:left="0" w:firstLine="0"/>
            </w:pPr>
            <w:r>
              <w:t>Outcomes</w:t>
            </w:r>
          </w:p>
        </w:tc>
        <w:tc>
          <w:tcPr>
            <w:tcW w:w="7512" w:type="dxa"/>
            <w:shd w:val="clear" w:color="auto" w:fill="DDD9C3" w:themeFill="background2" w:themeFillShade="E6"/>
          </w:tcPr>
          <w:p w14:paraId="1EDBBAC8" w14:textId="77777777" w:rsidR="00433B47" w:rsidRPr="00BC0125" w:rsidRDefault="00433B47" w:rsidP="00F56437">
            <w:pPr>
              <w:pStyle w:val="TableHeading"/>
              <w:ind w:left="0" w:firstLine="0"/>
            </w:pPr>
            <w:r w:rsidRPr="00BC0125">
              <w:t>Comments</w:t>
            </w:r>
          </w:p>
        </w:tc>
      </w:tr>
      <w:tr w:rsidR="00433B47" w14:paraId="2FD66412" w14:textId="77777777" w:rsidTr="00F23742">
        <w:tc>
          <w:tcPr>
            <w:tcW w:w="1555" w:type="dxa"/>
          </w:tcPr>
          <w:p w14:paraId="09D45A4D" w14:textId="77777777" w:rsidR="00433B47" w:rsidRPr="002D0E9A" w:rsidRDefault="00433B47" w:rsidP="00433B47">
            <w:pPr>
              <w:pStyle w:val="TableText0"/>
            </w:pPr>
            <w:r>
              <w:t>True positives</w:t>
            </w:r>
          </w:p>
        </w:tc>
        <w:tc>
          <w:tcPr>
            <w:tcW w:w="7512" w:type="dxa"/>
          </w:tcPr>
          <w:p w14:paraId="3298ED5A" w14:textId="77777777" w:rsidR="00433B47" w:rsidRPr="004A196F" w:rsidRDefault="00433B47" w:rsidP="00433B47">
            <w:pPr>
              <w:pStyle w:val="TableText0"/>
            </w:pPr>
            <w:r>
              <w:t>Patients are likely to benefit from earlier diagnosis and treatment. Earlier treatment can be effective in reducing disability and relapse rate. There is a risk of serious side effects from treatments.</w:t>
            </w:r>
          </w:p>
        </w:tc>
      </w:tr>
      <w:tr w:rsidR="00433B47" w14:paraId="2DCF8241" w14:textId="77777777" w:rsidTr="00F23742">
        <w:tc>
          <w:tcPr>
            <w:tcW w:w="1555" w:type="dxa"/>
          </w:tcPr>
          <w:p w14:paraId="4EC9E03A" w14:textId="77777777" w:rsidR="00433B47" w:rsidRPr="002D0E9A" w:rsidRDefault="00433B47" w:rsidP="00433B47">
            <w:pPr>
              <w:pStyle w:val="TableText0"/>
            </w:pPr>
            <w:r>
              <w:t>True negatives</w:t>
            </w:r>
          </w:p>
        </w:tc>
        <w:tc>
          <w:tcPr>
            <w:tcW w:w="7512" w:type="dxa"/>
          </w:tcPr>
          <w:p w14:paraId="31ABFB2C" w14:textId="0BFC44FC" w:rsidR="00433B47" w:rsidRPr="004A196F" w:rsidRDefault="00433B47" w:rsidP="00433B47">
            <w:pPr>
              <w:pStyle w:val="TableText0"/>
            </w:pPr>
            <w:r>
              <w:t>Patients are likely to undergo further testing to correctly classify their inflammatory demyelinating dise</w:t>
            </w:r>
            <w:r w:rsidR="00ED31CF">
              <w:t>ase.</w:t>
            </w:r>
          </w:p>
        </w:tc>
      </w:tr>
      <w:tr w:rsidR="00433B47" w14:paraId="212964FF" w14:textId="77777777" w:rsidTr="00F23742">
        <w:tc>
          <w:tcPr>
            <w:tcW w:w="1555" w:type="dxa"/>
          </w:tcPr>
          <w:p w14:paraId="0CC4C518" w14:textId="77777777" w:rsidR="00433B47" w:rsidRPr="002D0E9A" w:rsidRDefault="00433B47" w:rsidP="00433B47">
            <w:pPr>
              <w:pStyle w:val="TableText0"/>
            </w:pPr>
            <w:r>
              <w:t>False positives</w:t>
            </w:r>
          </w:p>
        </w:tc>
        <w:tc>
          <w:tcPr>
            <w:tcW w:w="7512" w:type="dxa"/>
          </w:tcPr>
          <w:p w14:paraId="73C9D626" w14:textId="77777777" w:rsidR="00433B47" w:rsidRPr="004A196F" w:rsidRDefault="00433B47" w:rsidP="00433B47">
            <w:pPr>
              <w:pStyle w:val="TableText0"/>
            </w:pPr>
            <w:r>
              <w:t>Unlikely to be recognised in a clinical setting. If a false positive result is suspected (for example in a control test) a retest could be considered.</w:t>
            </w:r>
          </w:p>
        </w:tc>
      </w:tr>
      <w:tr w:rsidR="00433B47" w14:paraId="421DE317" w14:textId="77777777" w:rsidTr="00F23742">
        <w:tc>
          <w:tcPr>
            <w:tcW w:w="1555" w:type="dxa"/>
          </w:tcPr>
          <w:p w14:paraId="4C144169" w14:textId="77777777" w:rsidR="00433B47" w:rsidRPr="002D0E9A" w:rsidRDefault="00433B47" w:rsidP="00433B47">
            <w:pPr>
              <w:pStyle w:val="TableText0"/>
            </w:pPr>
            <w:r>
              <w:t>False negatives</w:t>
            </w:r>
          </w:p>
        </w:tc>
        <w:tc>
          <w:tcPr>
            <w:tcW w:w="7512" w:type="dxa"/>
          </w:tcPr>
          <w:p w14:paraId="401E2A84" w14:textId="77777777" w:rsidR="00433B47" w:rsidRDefault="00433B47" w:rsidP="00433B47">
            <w:pPr>
              <w:pStyle w:val="TableText0"/>
            </w:pPr>
            <w:r>
              <w:t xml:space="preserve">Patients are likely to be treated as though they are suspected of NMOSD. Effective treatment may be delayed as a diagnosis may not be definitive until further symptoms occur. Delayed treatment may result in worse health outcomes. </w:t>
            </w:r>
          </w:p>
          <w:p w14:paraId="6051EDD5" w14:textId="77777777" w:rsidR="00433B47" w:rsidRPr="004A196F" w:rsidRDefault="00433B47" w:rsidP="00433B47">
            <w:pPr>
              <w:pStyle w:val="TableText0"/>
            </w:pPr>
            <w:r>
              <w:t>Alternatively patients may be treated as though they have MS and receive ineffective treatment.</w:t>
            </w:r>
          </w:p>
        </w:tc>
      </w:tr>
    </w:tbl>
    <w:p w14:paraId="0F9DB39D" w14:textId="14F39958" w:rsidR="00433B47" w:rsidRDefault="00433B47" w:rsidP="00F4009F">
      <w:pPr>
        <w:pStyle w:val="Tablenotes"/>
      </w:pPr>
      <w:r>
        <w:t xml:space="preserve">AQP4-Ab </w:t>
      </w:r>
      <w:r w:rsidR="00A461E2">
        <w:t>=</w:t>
      </w:r>
      <w:r>
        <w:t xml:space="preserve"> aquaporin 4 antibodies; MS = multiple sclerosis; NMOSD = neuromyelitis optica spectrum disorder</w:t>
      </w:r>
    </w:p>
    <w:p w14:paraId="300041BD" w14:textId="77777777" w:rsidR="00433B47" w:rsidRDefault="00433B47" w:rsidP="00F4009F">
      <w:pPr>
        <w:pStyle w:val="Tablenotes"/>
      </w:pPr>
      <w:r>
        <w:t>Sourc</w:t>
      </w:r>
      <w:r w:rsidR="001625E9">
        <w:t>e: Table 4, pp26-27 of the DCAR</w:t>
      </w:r>
    </w:p>
    <w:p w14:paraId="14E6AFE0" w14:textId="77777777" w:rsidR="00433B47" w:rsidRPr="00FC0F62" w:rsidRDefault="00433B47" w:rsidP="00433B47">
      <w:pPr>
        <w:pStyle w:val="Heading2"/>
      </w:pPr>
      <w:r w:rsidRPr="00FC0F62">
        <w:t>Antibody status in the NMOSD population</w:t>
      </w:r>
    </w:p>
    <w:p w14:paraId="263ACBC5" w14:textId="34D1412D" w:rsidR="00433B47" w:rsidRPr="00FC0F62" w:rsidRDefault="00433B47" w:rsidP="00433B47">
      <w:r>
        <w:t>The DCAR stated that d</w:t>
      </w:r>
      <w:r w:rsidRPr="00FC0F62">
        <w:t xml:space="preserve">ata provided from Australian laboratories on AQP4 and MOG antibody tests performed did not permit the calculation of the proportion of AQP4-Ab positive and negative, or MOG-Ab positive and negative NMOSD cases. </w:t>
      </w:r>
      <w:r w:rsidR="003C0E09" w:rsidRPr="009D6016">
        <w:rPr>
          <w:szCs w:val="24"/>
        </w:rPr>
        <w:fldChar w:fldCharType="begin"/>
      </w:r>
      <w:r w:rsidR="003C0E09" w:rsidRPr="009D6016">
        <w:rPr>
          <w:szCs w:val="24"/>
        </w:rPr>
        <w:instrText xml:space="preserve"> REF _Ref38983508 \h </w:instrText>
      </w:r>
      <w:r w:rsidR="009D6016" w:rsidRPr="009D6016">
        <w:rPr>
          <w:szCs w:val="24"/>
        </w:rPr>
        <w:instrText xml:space="preserve"> \* MERGEFORMAT </w:instrText>
      </w:r>
      <w:r w:rsidR="003C0E09" w:rsidRPr="009D6016">
        <w:rPr>
          <w:szCs w:val="24"/>
        </w:rPr>
      </w:r>
      <w:r w:rsidR="003C0E09" w:rsidRPr="009D6016">
        <w:rPr>
          <w:szCs w:val="24"/>
        </w:rPr>
        <w:fldChar w:fldCharType="separate"/>
      </w:r>
      <w:r w:rsidR="009D6016" w:rsidRPr="009D6016">
        <w:rPr>
          <w:szCs w:val="24"/>
        </w:rPr>
        <w:t xml:space="preserve">Table </w:t>
      </w:r>
      <w:r w:rsidR="009D6016" w:rsidRPr="009D6016">
        <w:rPr>
          <w:noProof/>
          <w:szCs w:val="24"/>
        </w:rPr>
        <w:t>6</w:t>
      </w:r>
      <w:r w:rsidR="003C0E09" w:rsidRPr="009D6016">
        <w:rPr>
          <w:szCs w:val="24"/>
        </w:rPr>
        <w:fldChar w:fldCharType="end"/>
      </w:r>
      <w:r>
        <w:t xml:space="preserve"> </w:t>
      </w:r>
      <w:r w:rsidRPr="00FC0F62">
        <w:t xml:space="preserve">provides estimated proportions, based on a single European (Caucasian) study identified that reported AQP4-Ab and MOG-Ab yield in 74 adult NMOSD patients </w:t>
      </w:r>
      <w:r w:rsidRPr="00B52D4B">
        <w:t>(Drulovic et al. 2019</w:t>
      </w:r>
      <w:r>
        <w:rPr>
          <w:rStyle w:val="FootnoteReference"/>
        </w:rPr>
        <w:footnoteReference w:id="6"/>
      </w:r>
      <w:r w:rsidRPr="00B52D4B">
        <w:t xml:space="preserve">). </w:t>
      </w:r>
      <w:r w:rsidRPr="00FC0F62">
        <w:t xml:space="preserve">For comparison, </w:t>
      </w:r>
      <w:r w:rsidR="003C0E09" w:rsidRPr="009D6016">
        <w:rPr>
          <w:szCs w:val="24"/>
        </w:rPr>
        <w:fldChar w:fldCharType="begin"/>
      </w:r>
      <w:r w:rsidR="003C0E09" w:rsidRPr="009D6016">
        <w:rPr>
          <w:szCs w:val="24"/>
        </w:rPr>
        <w:instrText xml:space="preserve"> REF _Ref38983508 \h </w:instrText>
      </w:r>
      <w:r w:rsidR="009D6016" w:rsidRPr="009D6016">
        <w:rPr>
          <w:szCs w:val="24"/>
        </w:rPr>
        <w:instrText xml:space="preserve"> \* MERGEFORMAT </w:instrText>
      </w:r>
      <w:r w:rsidR="003C0E09" w:rsidRPr="009D6016">
        <w:rPr>
          <w:szCs w:val="24"/>
        </w:rPr>
      </w:r>
      <w:r w:rsidR="003C0E09" w:rsidRPr="009D6016">
        <w:rPr>
          <w:szCs w:val="24"/>
        </w:rPr>
        <w:fldChar w:fldCharType="separate"/>
      </w:r>
      <w:r w:rsidR="009D6016" w:rsidRPr="009D6016">
        <w:rPr>
          <w:szCs w:val="24"/>
        </w:rPr>
        <w:t xml:space="preserve">Table </w:t>
      </w:r>
      <w:r w:rsidR="009D6016" w:rsidRPr="009D6016">
        <w:rPr>
          <w:noProof/>
          <w:szCs w:val="24"/>
        </w:rPr>
        <w:t>6</w:t>
      </w:r>
      <w:r w:rsidR="003C0E09" w:rsidRPr="009D6016">
        <w:rPr>
          <w:szCs w:val="24"/>
        </w:rPr>
        <w:fldChar w:fldCharType="end"/>
      </w:r>
      <w:r w:rsidR="005D1EEA">
        <w:t xml:space="preserve"> also provides </w:t>
      </w:r>
      <w:r w:rsidRPr="00FC0F62">
        <w:t xml:space="preserve">the range of proportions in adults with NMO or NMOSD reported in studies from around the world in italics. Data for MS and other CNS conditions </w:t>
      </w:r>
      <w:r w:rsidR="00ED31CF">
        <w:t>are</w:t>
      </w:r>
      <w:r w:rsidRPr="00FC0F62">
        <w:t xml:space="preserve"> not available.</w:t>
      </w:r>
    </w:p>
    <w:p w14:paraId="38A805D4" w14:textId="36B06364" w:rsidR="00433B47" w:rsidRPr="00BE62FA" w:rsidRDefault="003C0E09" w:rsidP="00BE62FA">
      <w:pPr>
        <w:spacing w:before="240"/>
        <w:rPr>
          <w:rFonts w:ascii="Arial Narrow" w:hAnsi="Arial Narrow"/>
          <w:b/>
          <w:sz w:val="20"/>
        </w:rPr>
      </w:pPr>
      <w:bookmarkStart w:id="17" w:name="_Ref38983508"/>
      <w:bookmarkStart w:id="18" w:name="_Toc39580786"/>
      <w:r w:rsidRPr="00BE62FA">
        <w:rPr>
          <w:rFonts w:ascii="Arial Narrow" w:hAnsi="Arial Narrow"/>
          <w:b/>
          <w:sz w:val="20"/>
        </w:rPr>
        <w:t xml:space="preserve">Table </w:t>
      </w:r>
      <w:r w:rsidRPr="00BE62FA">
        <w:rPr>
          <w:rFonts w:ascii="Arial Narrow" w:hAnsi="Arial Narrow"/>
          <w:b/>
          <w:sz w:val="20"/>
        </w:rPr>
        <w:fldChar w:fldCharType="begin"/>
      </w:r>
      <w:r w:rsidRPr="00BE62FA">
        <w:rPr>
          <w:rFonts w:ascii="Arial Narrow" w:hAnsi="Arial Narrow"/>
          <w:b/>
          <w:sz w:val="20"/>
        </w:rPr>
        <w:instrText xml:space="preserve"> SEQ Table \* ARABIC </w:instrText>
      </w:r>
      <w:r w:rsidRPr="00BE62FA">
        <w:rPr>
          <w:rFonts w:ascii="Arial Narrow" w:hAnsi="Arial Narrow"/>
          <w:b/>
          <w:sz w:val="20"/>
        </w:rPr>
        <w:fldChar w:fldCharType="separate"/>
      </w:r>
      <w:r w:rsidR="009D6016">
        <w:rPr>
          <w:rFonts w:ascii="Arial Narrow" w:hAnsi="Arial Narrow"/>
          <w:b/>
          <w:noProof/>
          <w:sz w:val="20"/>
        </w:rPr>
        <w:t>6</w:t>
      </w:r>
      <w:r w:rsidRPr="00BE62FA">
        <w:rPr>
          <w:rFonts w:ascii="Arial Narrow" w:hAnsi="Arial Narrow"/>
          <w:b/>
          <w:sz w:val="20"/>
        </w:rPr>
        <w:fldChar w:fldCharType="end"/>
      </w:r>
      <w:bookmarkEnd w:id="17"/>
      <w:r w:rsidR="00433B47" w:rsidRPr="00BE62FA">
        <w:rPr>
          <w:rFonts w:ascii="Arial Narrow" w:hAnsi="Arial Narrow"/>
          <w:b/>
          <w:sz w:val="20"/>
        </w:rPr>
        <w:tab/>
        <w:t>Estimated proportions of AQP4 and MOG positive and negative adults with demyelinating CNS disorders</w:t>
      </w:r>
      <w:bookmarkEnd w:id="18"/>
    </w:p>
    <w:tbl>
      <w:tblPr>
        <w:tblStyle w:val="TableGrid"/>
        <w:tblW w:w="0" w:type="auto"/>
        <w:tblLook w:val="04A0" w:firstRow="1" w:lastRow="0" w:firstColumn="1" w:lastColumn="0" w:noHBand="0" w:noVBand="1"/>
        <w:tblCaption w:val="Table 5 Estimated proportions of AQP4 and MOG positive and negative adults with demyelinating CNS disorders"/>
        <w:tblDescription w:val="Estimated proportions of AQP4 and MOG antibody positive cases and negative cases reported in a caucasian population, and the range reported in studies from across the world."/>
      </w:tblPr>
      <w:tblGrid>
        <w:gridCol w:w="1980"/>
        <w:gridCol w:w="1626"/>
        <w:gridCol w:w="1803"/>
        <w:gridCol w:w="1803"/>
        <w:gridCol w:w="1804"/>
      </w:tblGrid>
      <w:tr w:rsidR="00433B47" w:rsidRPr="00FC0F62" w14:paraId="22D0B463" w14:textId="77777777" w:rsidTr="00F23742">
        <w:trPr>
          <w:tblHeader/>
        </w:trPr>
        <w:tc>
          <w:tcPr>
            <w:tcW w:w="1980" w:type="dxa"/>
          </w:tcPr>
          <w:p w14:paraId="20F477E0" w14:textId="77777777" w:rsidR="00433B47" w:rsidRPr="00FC0F62" w:rsidRDefault="00433B47" w:rsidP="00433B47">
            <w:pPr>
              <w:pStyle w:val="Tabletext"/>
              <w:rPr>
                <w:b/>
              </w:rPr>
            </w:pPr>
            <w:r w:rsidRPr="00FC0F62">
              <w:rPr>
                <w:b/>
              </w:rPr>
              <w:t>CNS Condition</w:t>
            </w:r>
          </w:p>
        </w:tc>
        <w:tc>
          <w:tcPr>
            <w:tcW w:w="1626" w:type="dxa"/>
          </w:tcPr>
          <w:p w14:paraId="5DA78864" w14:textId="77777777" w:rsidR="00433B47" w:rsidRPr="00FC0F62" w:rsidRDefault="00433B47" w:rsidP="00F23742">
            <w:pPr>
              <w:pStyle w:val="Tabletext"/>
              <w:jc w:val="center"/>
              <w:rPr>
                <w:b/>
              </w:rPr>
            </w:pPr>
            <w:r w:rsidRPr="00FC0F62">
              <w:rPr>
                <w:b/>
              </w:rPr>
              <w:t>AQP4 +ve</w:t>
            </w:r>
          </w:p>
          <w:p w14:paraId="7F28511F" w14:textId="77777777" w:rsidR="00433B47" w:rsidRPr="00FC0F62" w:rsidRDefault="00433B47" w:rsidP="00F23742">
            <w:pPr>
              <w:pStyle w:val="Tabletext"/>
              <w:jc w:val="center"/>
              <w:rPr>
                <w:b/>
              </w:rPr>
            </w:pPr>
            <w:r w:rsidRPr="00FC0F62">
              <w:rPr>
                <w:b/>
              </w:rPr>
              <w:t>MOG -ve</w:t>
            </w:r>
          </w:p>
        </w:tc>
        <w:tc>
          <w:tcPr>
            <w:tcW w:w="1803" w:type="dxa"/>
          </w:tcPr>
          <w:p w14:paraId="48BD0893" w14:textId="77777777" w:rsidR="00433B47" w:rsidRPr="00FC0F62" w:rsidRDefault="00433B47" w:rsidP="00F23742">
            <w:pPr>
              <w:pStyle w:val="Tabletext"/>
              <w:jc w:val="center"/>
              <w:rPr>
                <w:b/>
              </w:rPr>
            </w:pPr>
            <w:r w:rsidRPr="00FC0F62">
              <w:rPr>
                <w:b/>
              </w:rPr>
              <w:t>AQP4 -ve</w:t>
            </w:r>
          </w:p>
          <w:p w14:paraId="16FEC20D" w14:textId="77777777" w:rsidR="00433B47" w:rsidRPr="00FC0F62" w:rsidRDefault="00433B47" w:rsidP="00F23742">
            <w:pPr>
              <w:pStyle w:val="Tabletext"/>
              <w:jc w:val="center"/>
              <w:rPr>
                <w:b/>
              </w:rPr>
            </w:pPr>
            <w:r w:rsidRPr="00FC0F62">
              <w:rPr>
                <w:b/>
              </w:rPr>
              <w:t>MOG +ve</w:t>
            </w:r>
          </w:p>
        </w:tc>
        <w:tc>
          <w:tcPr>
            <w:tcW w:w="1803" w:type="dxa"/>
          </w:tcPr>
          <w:p w14:paraId="46672D9C" w14:textId="77777777" w:rsidR="00433B47" w:rsidRPr="00FC0F62" w:rsidRDefault="00433B47" w:rsidP="00F23742">
            <w:pPr>
              <w:pStyle w:val="Tabletext"/>
              <w:jc w:val="center"/>
              <w:rPr>
                <w:b/>
              </w:rPr>
            </w:pPr>
            <w:r w:rsidRPr="00FC0F62">
              <w:rPr>
                <w:b/>
              </w:rPr>
              <w:t>AQP4 -ve</w:t>
            </w:r>
          </w:p>
          <w:p w14:paraId="7F4D9F0C" w14:textId="77777777" w:rsidR="00433B47" w:rsidRPr="00FC0F62" w:rsidRDefault="00433B47" w:rsidP="00F23742">
            <w:pPr>
              <w:pStyle w:val="Tabletext"/>
              <w:jc w:val="center"/>
              <w:rPr>
                <w:b/>
              </w:rPr>
            </w:pPr>
            <w:r w:rsidRPr="00FC0F62">
              <w:rPr>
                <w:b/>
              </w:rPr>
              <w:t>MOG -ve</w:t>
            </w:r>
          </w:p>
        </w:tc>
        <w:tc>
          <w:tcPr>
            <w:tcW w:w="1804" w:type="dxa"/>
          </w:tcPr>
          <w:p w14:paraId="5FDB8658" w14:textId="77777777" w:rsidR="00433B47" w:rsidRPr="00FC0F62" w:rsidRDefault="00433B47" w:rsidP="00F23742">
            <w:pPr>
              <w:pStyle w:val="Tabletext"/>
              <w:jc w:val="center"/>
              <w:rPr>
                <w:b/>
              </w:rPr>
            </w:pPr>
            <w:r w:rsidRPr="00FC0F62">
              <w:rPr>
                <w:b/>
              </w:rPr>
              <w:t>AQP4 +ve</w:t>
            </w:r>
          </w:p>
          <w:p w14:paraId="03BDC8E5" w14:textId="77777777" w:rsidR="00433B47" w:rsidRPr="00FC0F62" w:rsidRDefault="00433B47" w:rsidP="00F23742">
            <w:pPr>
              <w:pStyle w:val="Tabletext"/>
              <w:jc w:val="center"/>
              <w:rPr>
                <w:b/>
              </w:rPr>
            </w:pPr>
            <w:r w:rsidRPr="00FC0F62">
              <w:rPr>
                <w:b/>
              </w:rPr>
              <w:t>MOG +ve</w:t>
            </w:r>
          </w:p>
        </w:tc>
      </w:tr>
      <w:tr w:rsidR="00433B47" w:rsidRPr="00FC0F62" w14:paraId="53437C4E" w14:textId="77777777" w:rsidTr="00F23742">
        <w:tc>
          <w:tcPr>
            <w:tcW w:w="1980" w:type="dxa"/>
          </w:tcPr>
          <w:p w14:paraId="3BA50079" w14:textId="77777777" w:rsidR="00433B47" w:rsidRPr="00FC0F62" w:rsidRDefault="00433B47" w:rsidP="00433B47">
            <w:pPr>
              <w:pStyle w:val="Tabletext"/>
            </w:pPr>
            <w:r w:rsidRPr="00FC0F62">
              <w:t>NMOSD</w:t>
            </w:r>
          </w:p>
          <w:p w14:paraId="440FF8E0" w14:textId="77777777" w:rsidR="00433B47" w:rsidRPr="00FC0F62" w:rsidRDefault="00433B47" w:rsidP="00433B47">
            <w:pPr>
              <w:pStyle w:val="Tabletext"/>
              <w:widowControl w:val="0"/>
              <w:numPr>
                <w:ilvl w:val="0"/>
                <w:numId w:val="28"/>
              </w:numPr>
            </w:pPr>
            <w:r w:rsidRPr="00FC0F62">
              <w:t>Data from single European study of 74 adults</w:t>
            </w:r>
          </w:p>
          <w:p w14:paraId="33CB77D3" w14:textId="77777777" w:rsidR="00433B47" w:rsidRPr="00FC0F62" w:rsidRDefault="00433B47" w:rsidP="00433B47">
            <w:pPr>
              <w:pStyle w:val="Tabletext"/>
              <w:widowControl w:val="0"/>
              <w:numPr>
                <w:ilvl w:val="0"/>
                <w:numId w:val="28"/>
              </w:numPr>
              <w:rPr>
                <w:i/>
              </w:rPr>
            </w:pPr>
            <w:r w:rsidRPr="00FC0F62">
              <w:rPr>
                <w:i/>
              </w:rPr>
              <w:t>Range from global studies</w:t>
            </w:r>
          </w:p>
        </w:tc>
        <w:tc>
          <w:tcPr>
            <w:tcW w:w="1626" w:type="dxa"/>
          </w:tcPr>
          <w:p w14:paraId="1FC0BA50" w14:textId="77777777" w:rsidR="00433B47" w:rsidRPr="00FC0F62" w:rsidRDefault="00433B47" w:rsidP="00F23742">
            <w:pPr>
              <w:pStyle w:val="Tabletext"/>
              <w:jc w:val="center"/>
            </w:pPr>
          </w:p>
          <w:p w14:paraId="3FB84EAD" w14:textId="77777777" w:rsidR="00433B47" w:rsidRPr="00FC0F62" w:rsidRDefault="00433B47" w:rsidP="00F23742">
            <w:pPr>
              <w:pStyle w:val="Tabletext"/>
              <w:jc w:val="center"/>
            </w:pPr>
            <w:r w:rsidRPr="00FC0F62">
              <w:t>89.2% of total</w:t>
            </w:r>
            <w:r w:rsidRPr="00FC0F62">
              <w:rPr>
                <w:vertAlign w:val="superscript"/>
              </w:rPr>
              <w:t>a</w:t>
            </w:r>
          </w:p>
          <w:p w14:paraId="1CAF24DB" w14:textId="77777777" w:rsidR="00433B47" w:rsidRPr="00FC0F62" w:rsidRDefault="00433B47" w:rsidP="00F23742">
            <w:pPr>
              <w:pStyle w:val="Tabletext"/>
              <w:jc w:val="center"/>
              <w:rPr>
                <w:i/>
              </w:rPr>
            </w:pPr>
            <w:r w:rsidRPr="00FC0F62">
              <w:br/>
            </w:r>
            <w:r w:rsidRPr="00FC0F62">
              <w:br/>
            </w:r>
            <w:r w:rsidRPr="00FC0F62">
              <w:rPr>
                <w:i/>
              </w:rPr>
              <w:t>40.9%-89.2% of total</w:t>
            </w:r>
          </w:p>
        </w:tc>
        <w:tc>
          <w:tcPr>
            <w:tcW w:w="1803" w:type="dxa"/>
          </w:tcPr>
          <w:p w14:paraId="0625AF84" w14:textId="77777777" w:rsidR="00433B47" w:rsidRPr="00FC0F62" w:rsidRDefault="00433B47" w:rsidP="00F23742">
            <w:pPr>
              <w:pStyle w:val="TableText0"/>
              <w:jc w:val="center"/>
            </w:pPr>
          </w:p>
          <w:p w14:paraId="6ECB1924" w14:textId="77777777" w:rsidR="00433B47" w:rsidRPr="00FC0F62" w:rsidRDefault="00433B47" w:rsidP="00F23742">
            <w:pPr>
              <w:pStyle w:val="TableText0"/>
              <w:jc w:val="center"/>
            </w:pPr>
            <w:r w:rsidRPr="00FC0F62">
              <w:t xml:space="preserve">28.6% of AQP4 –ve </w:t>
            </w:r>
            <w:r w:rsidRPr="00FC0F62">
              <w:br/>
              <w:t>(2.7% of total)</w:t>
            </w:r>
            <w:r w:rsidRPr="00FC0F62">
              <w:rPr>
                <w:vertAlign w:val="superscript"/>
              </w:rPr>
              <w:t>a</w:t>
            </w:r>
            <w:r w:rsidRPr="00FC0F62">
              <w:rPr>
                <w:vertAlign w:val="superscript"/>
              </w:rPr>
              <w:br/>
            </w:r>
          </w:p>
          <w:p w14:paraId="00907125" w14:textId="77777777" w:rsidR="00433B47" w:rsidRPr="00FC0F62" w:rsidRDefault="00433B47" w:rsidP="00F23742">
            <w:pPr>
              <w:pStyle w:val="Tabletext"/>
              <w:jc w:val="center"/>
              <w:rPr>
                <w:i/>
              </w:rPr>
            </w:pPr>
            <w:r w:rsidRPr="00FC0F62">
              <w:rPr>
                <w:i/>
              </w:rPr>
              <w:t>0%-29% of AQP4 –ve cases</w:t>
            </w:r>
          </w:p>
        </w:tc>
        <w:tc>
          <w:tcPr>
            <w:tcW w:w="1803" w:type="dxa"/>
          </w:tcPr>
          <w:p w14:paraId="40513DAE" w14:textId="77777777" w:rsidR="00433B47" w:rsidRPr="00FC0F62" w:rsidRDefault="00433B47" w:rsidP="00F23742">
            <w:pPr>
              <w:pStyle w:val="TableText0"/>
              <w:jc w:val="center"/>
            </w:pPr>
          </w:p>
          <w:p w14:paraId="07B8209F" w14:textId="77777777" w:rsidR="00433B47" w:rsidRPr="00FC0F62" w:rsidRDefault="00433B47" w:rsidP="00F23742">
            <w:pPr>
              <w:pStyle w:val="TableText0"/>
              <w:jc w:val="center"/>
            </w:pPr>
            <w:r w:rsidRPr="00FC0F62">
              <w:t xml:space="preserve">71.4% of AQP4 –ve </w:t>
            </w:r>
            <w:r w:rsidRPr="00FC0F62">
              <w:br/>
              <w:t>(6.8% of total)</w:t>
            </w:r>
            <w:r w:rsidRPr="00FC0F62">
              <w:rPr>
                <w:vertAlign w:val="superscript"/>
              </w:rPr>
              <w:t>a</w:t>
            </w:r>
            <w:r w:rsidRPr="00FC0F62">
              <w:rPr>
                <w:vertAlign w:val="superscript"/>
              </w:rPr>
              <w:br/>
            </w:r>
          </w:p>
          <w:p w14:paraId="3DC81BA0" w14:textId="77777777" w:rsidR="00433B47" w:rsidRPr="00FC0F62" w:rsidRDefault="00433B47" w:rsidP="00F23742">
            <w:pPr>
              <w:pStyle w:val="Tabletext"/>
              <w:jc w:val="center"/>
              <w:rPr>
                <w:i/>
              </w:rPr>
            </w:pPr>
            <w:r w:rsidRPr="00FC0F62">
              <w:rPr>
                <w:i/>
              </w:rPr>
              <w:t>71%-100% of AQP4 –ve cases</w:t>
            </w:r>
          </w:p>
        </w:tc>
        <w:tc>
          <w:tcPr>
            <w:tcW w:w="1804" w:type="dxa"/>
          </w:tcPr>
          <w:p w14:paraId="40D894E1" w14:textId="77777777" w:rsidR="00433B47" w:rsidRPr="00FC0F62" w:rsidRDefault="00433B47" w:rsidP="00F23742">
            <w:pPr>
              <w:pStyle w:val="TableText0"/>
              <w:jc w:val="center"/>
            </w:pPr>
          </w:p>
          <w:p w14:paraId="4FD447B7" w14:textId="3232F124" w:rsidR="00433B47" w:rsidRPr="00FC0F62" w:rsidRDefault="00433B47" w:rsidP="00F23742">
            <w:pPr>
              <w:pStyle w:val="TableText0"/>
              <w:jc w:val="center"/>
            </w:pPr>
            <w:r w:rsidRPr="00FC0F62">
              <w:t>0%</w:t>
            </w:r>
            <w:r w:rsidRPr="00FC0F62">
              <w:rPr>
                <w:vertAlign w:val="superscript"/>
              </w:rPr>
              <w:t>b</w:t>
            </w:r>
          </w:p>
          <w:p w14:paraId="1DD0185D" w14:textId="77777777" w:rsidR="00433B47" w:rsidRPr="00FC0F62" w:rsidRDefault="00433B47" w:rsidP="00F23742">
            <w:pPr>
              <w:pStyle w:val="Tabletext"/>
              <w:jc w:val="center"/>
              <w:rPr>
                <w:i/>
              </w:rPr>
            </w:pPr>
            <w:r w:rsidRPr="00FC0F62">
              <w:br/>
            </w:r>
            <w:r w:rsidRPr="00FC0F62">
              <w:br/>
            </w:r>
            <w:r w:rsidRPr="00FC0F62">
              <w:rPr>
                <w:i/>
              </w:rPr>
              <w:t>0%</w:t>
            </w:r>
            <w:r w:rsidRPr="00FC0F62">
              <w:rPr>
                <w:i/>
              </w:rPr>
              <w:br/>
              <w:t>Rare cases reported</w:t>
            </w:r>
          </w:p>
        </w:tc>
      </w:tr>
      <w:tr w:rsidR="00433B47" w:rsidRPr="00FC0F62" w14:paraId="5C1B65FA" w14:textId="77777777" w:rsidTr="00F23742">
        <w:trPr>
          <w:trHeight w:val="70"/>
        </w:trPr>
        <w:tc>
          <w:tcPr>
            <w:tcW w:w="1980" w:type="dxa"/>
          </w:tcPr>
          <w:p w14:paraId="5F0491FA" w14:textId="77777777" w:rsidR="00433B47" w:rsidRPr="00FC0F62" w:rsidRDefault="00433B47" w:rsidP="00433B47">
            <w:pPr>
              <w:pStyle w:val="Tabletext"/>
            </w:pPr>
            <w:r w:rsidRPr="00FC0F62">
              <w:t>MS</w:t>
            </w:r>
          </w:p>
        </w:tc>
        <w:tc>
          <w:tcPr>
            <w:tcW w:w="1626" w:type="dxa"/>
          </w:tcPr>
          <w:p w14:paraId="4D611543" w14:textId="77777777" w:rsidR="00433B47" w:rsidRPr="00FC0F62" w:rsidRDefault="00433B47" w:rsidP="00F23742">
            <w:pPr>
              <w:pStyle w:val="Tabletext"/>
              <w:jc w:val="center"/>
            </w:pPr>
            <w:r w:rsidRPr="00FC0F62">
              <w:t>Approx 0%</w:t>
            </w:r>
          </w:p>
        </w:tc>
        <w:tc>
          <w:tcPr>
            <w:tcW w:w="1803" w:type="dxa"/>
          </w:tcPr>
          <w:p w14:paraId="20798555" w14:textId="77777777" w:rsidR="00433B47" w:rsidRPr="00FC0F62" w:rsidRDefault="00433B47" w:rsidP="00F23742">
            <w:pPr>
              <w:pStyle w:val="Tabletext"/>
              <w:jc w:val="center"/>
            </w:pPr>
            <w:r w:rsidRPr="00FC0F62">
              <w:t>Approx 0%</w:t>
            </w:r>
          </w:p>
        </w:tc>
        <w:tc>
          <w:tcPr>
            <w:tcW w:w="1803" w:type="dxa"/>
          </w:tcPr>
          <w:p w14:paraId="70FCC71F" w14:textId="77777777" w:rsidR="00433B47" w:rsidRPr="00FC0F62" w:rsidRDefault="00433B47" w:rsidP="00F23742">
            <w:pPr>
              <w:pStyle w:val="Tabletext"/>
              <w:jc w:val="center"/>
            </w:pPr>
            <w:r w:rsidRPr="00FC0F62">
              <w:t>Approx 0%</w:t>
            </w:r>
          </w:p>
        </w:tc>
        <w:tc>
          <w:tcPr>
            <w:tcW w:w="1804" w:type="dxa"/>
          </w:tcPr>
          <w:p w14:paraId="2C6FE7C6" w14:textId="77777777" w:rsidR="00433B47" w:rsidRPr="00FC0F62" w:rsidRDefault="00433B47" w:rsidP="00F23742">
            <w:pPr>
              <w:pStyle w:val="Tabletext"/>
              <w:jc w:val="center"/>
            </w:pPr>
            <w:r w:rsidRPr="00FC0F62">
              <w:t>Approx 0%</w:t>
            </w:r>
          </w:p>
        </w:tc>
      </w:tr>
      <w:tr w:rsidR="00433B47" w:rsidRPr="00FC0F62" w14:paraId="4CCE053E" w14:textId="77777777" w:rsidTr="00F23742">
        <w:tc>
          <w:tcPr>
            <w:tcW w:w="1980" w:type="dxa"/>
          </w:tcPr>
          <w:p w14:paraId="222419DD" w14:textId="77777777" w:rsidR="00433B47" w:rsidRPr="00FC0F62" w:rsidRDefault="00433B47" w:rsidP="00433B47">
            <w:pPr>
              <w:pStyle w:val="Tabletext"/>
            </w:pPr>
            <w:r w:rsidRPr="00FC0F62">
              <w:t>Neither NMOSD or MS</w:t>
            </w:r>
          </w:p>
        </w:tc>
        <w:tc>
          <w:tcPr>
            <w:tcW w:w="1626" w:type="dxa"/>
          </w:tcPr>
          <w:p w14:paraId="5E00F84B" w14:textId="77777777" w:rsidR="00433B47" w:rsidRPr="00FC0F62" w:rsidRDefault="00433B47" w:rsidP="00F23742">
            <w:pPr>
              <w:pStyle w:val="Tabletext"/>
              <w:jc w:val="center"/>
            </w:pPr>
            <w:r w:rsidRPr="00FC0F62">
              <w:t>Approx 0%</w:t>
            </w:r>
          </w:p>
        </w:tc>
        <w:tc>
          <w:tcPr>
            <w:tcW w:w="1803" w:type="dxa"/>
          </w:tcPr>
          <w:p w14:paraId="66423A3F" w14:textId="77777777" w:rsidR="00433B47" w:rsidRPr="00FC0F62" w:rsidRDefault="00433B47" w:rsidP="00F23742">
            <w:pPr>
              <w:pStyle w:val="Tabletext"/>
              <w:jc w:val="center"/>
            </w:pPr>
            <w:r w:rsidRPr="00FC0F62">
              <w:t>Cases are likely but no data available</w:t>
            </w:r>
          </w:p>
        </w:tc>
        <w:tc>
          <w:tcPr>
            <w:tcW w:w="1803" w:type="dxa"/>
          </w:tcPr>
          <w:p w14:paraId="15C17D66" w14:textId="77777777" w:rsidR="00433B47" w:rsidRPr="00FC0F62" w:rsidRDefault="00433B47" w:rsidP="00F23742">
            <w:pPr>
              <w:pStyle w:val="Tabletext"/>
              <w:jc w:val="center"/>
            </w:pPr>
            <w:r w:rsidRPr="00FC0F62">
              <w:t>Cases are likely but no data available</w:t>
            </w:r>
          </w:p>
        </w:tc>
        <w:tc>
          <w:tcPr>
            <w:tcW w:w="1804" w:type="dxa"/>
          </w:tcPr>
          <w:p w14:paraId="3AF464DB" w14:textId="77777777" w:rsidR="00433B47" w:rsidRPr="00FC0F62" w:rsidRDefault="00433B47" w:rsidP="00F23742">
            <w:pPr>
              <w:pStyle w:val="Tabletext"/>
              <w:jc w:val="center"/>
            </w:pPr>
            <w:r w:rsidRPr="00FC0F62">
              <w:t>Approx 0%</w:t>
            </w:r>
          </w:p>
        </w:tc>
      </w:tr>
    </w:tbl>
    <w:p w14:paraId="16ABF3A4" w14:textId="77777777" w:rsidR="00433B47" w:rsidRPr="00FC0F62" w:rsidRDefault="00433B47" w:rsidP="00F4009F">
      <w:pPr>
        <w:pStyle w:val="Tablenotes"/>
      </w:pPr>
      <w:r w:rsidRPr="00FC0F62">
        <w:t>AQP4 = aquaporin 4 antibodies; MOG = myelin oligodendrocyte glycoprotein antibodies; MS = multiple sclerosis; NMOSD = neuromyelitis optica spectrum disorder</w:t>
      </w:r>
    </w:p>
    <w:p w14:paraId="5DAEA56E" w14:textId="77777777" w:rsidR="00433B47" w:rsidRPr="00FC0F62" w:rsidRDefault="00433B47" w:rsidP="00F4009F">
      <w:pPr>
        <w:pStyle w:val="Tablenotes"/>
      </w:pPr>
      <w:r w:rsidRPr="00FC0F62">
        <w:rPr>
          <w:vertAlign w:val="superscript"/>
        </w:rPr>
        <w:t xml:space="preserve">a </w:t>
      </w:r>
      <w:r w:rsidRPr="00FC0F62">
        <w:t xml:space="preserve">Based on data from Drulovic et al, 2019 </w:t>
      </w:r>
      <w:r w:rsidRPr="00FC0F62">
        <w:fldChar w:fldCharType="begin">
          <w:fldData xml:space="preserve">PEVuZE5vdGU+PENpdGU+PEF1dGhvcj5EcnVsb3ZpYzwvQXV0aG9yPjxZZWFyPjIwMTk8L1llYXI+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</w:fldData>
        </w:fldChar>
      </w:r>
      <w:r w:rsidRPr="00FC0F62">
        <w:instrText xml:space="preserve"> ADDIN EN.CITE </w:instrText>
      </w:r>
      <w:r w:rsidRPr="00FC0F62">
        <w:fldChar w:fldCharType="begin">
          <w:fldData xml:space="preserve">PEVuZE5vdGU+PENpdGU+PEF1dGhvcj5EcnVsb3ZpYzwvQXV0aG9yPjxZZWFyPjIwMTk8L1llYXI+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</w:fldData>
        </w:fldChar>
      </w:r>
      <w:r w:rsidRPr="00FC0F62">
        <w:instrText xml:space="preserve"> ADDIN EN.CITE.DATA </w:instrText>
      </w:r>
      <w:r w:rsidRPr="00FC0F62">
        <w:fldChar w:fldCharType="end"/>
      </w:r>
      <w:r w:rsidRPr="00FC0F62">
        <w:fldChar w:fldCharType="separate"/>
      </w:r>
      <w:r w:rsidRPr="00FC0F62">
        <w:rPr>
          <w:noProof/>
        </w:rPr>
        <w:t>(Drulovic et al. 2019)</w:t>
      </w:r>
      <w:r w:rsidRPr="00FC0F62">
        <w:fldChar w:fldCharType="end"/>
      </w:r>
    </w:p>
    <w:p w14:paraId="100D5869" w14:textId="77777777" w:rsidR="00433B47" w:rsidRDefault="00433B47" w:rsidP="00F4009F">
      <w:pPr>
        <w:pStyle w:val="Tablenotes"/>
      </w:pPr>
      <w:r w:rsidRPr="00FC0F62">
        <w:rPr>
          <w:vertAlign w:val="superscript"/>
        </w:rPr>
        <w:t xml:space="preserve">b </w:t>
      </w:r>
      <w:r>
        <w:t>Cases are documented but rare</w:t>
      </w:r>
    </w:p>
    <w:p w14:paraId="6B0579C0" w14:textId="77777777" w:rsidR="00433B47" w:rsidRPr="00FC0F62" w:rsidRDefault="00433B47" w:rsidP="00F4009F">
      <w:pPr>
        <w:pStyle w:val="Tablenotes"/>
      </w:pPr>
      <w:r>
        <w:t>Source: Table 5, p27 of the DCAR</w:t>
      </w:r>
    </w:p>
    <w:p w14:paraId="03C46542" w14:textId="5D487D00" w:rsidR="00433B47" w:rsidRDefault="003C0E09" w:rsidP="00433B47">
      <w:pPr>
        <w:rPr>
          <w:lang w:eastAsia="en-US"/>
        </w:rPr>
      </w:pPr>
      <w:r w:rsidRPr="009D6016">
        <w:rPr>
          <w:szCs w:val="24"/>
          <w:lang w:eastAsia="en-US"/>
        </w:rPr>
        <w:lastRenderedPageBreak/>
        <w:fldChar w:fldCharType="begin"/>
      </w:r>
      <w:r w:rsidRPr="009D6016">
        <w:rPr>
          <w:szCs w:val="24"/>
          <w:lang w:eastAsia="en-US"/>
        </w:rPr>
        <w:instrText xml:space="preserve"> REF _Ref33002067 \h </w:instrText>
      </w:r>
      <w:r w:rsidR="009D6016" w:rsidRPr="009D6016">
        <w:rPr>
          <w:szCs w:val="24"/>
          <w:lang w:eastAsia="en-US"/>
        </w:rPr>
        <w:instrText xml:space="preserve"> \* MERGEFORMAT </w:instrText>
      </w:r>
      <w:r w:rsidRPr="009D6016">
        <w:rPr>
          <w:szCs w:val="24"/>
          <w:lang w:eastAsia="en-US"/>
        </w:rPr>
      </w:r>
      <w:r w:rsidRPr="009D6016">
        <w:rPr>
          <w:szCs w:val="24"/>
          <w:lang w:eastAsia="en-US"/>
        </w:rPr>
        <w:fldChar w:fldCharType="separate"/>
      </w:r>
      <w:r w:rsidR="009D6016" w:rsidRPr="009D6016">
        <w:rPr>
          <w:szCs w:val="24"/>
        </w:rPr>
        <w:t xml:space="preserve">Table </w:t>
      </w:r>
      <w:r w:rsidR="009D6016" w:rsidRPr="009D6016">
        <w:rPr>
          <w:noProof/>
          <w:szCs w:val="24"/>
        </w:rPr>
        <w:t>7</w:t>
      </w:r>
      <w:r w:rsidRPr="009D6016">
        <w:rPr>
          <w:szCs w:val="24"/>
          <w:lang w:eastAsia="en-US"/>
        </w:rPr>
        <w:fldChar w:fldCharType="end"/>
      </w:r>
      <w:r w:rsidR="00B63FFD">
        <w:rPr>
          <w:lang w:eastAsia="en-US"/>
        </w:rPr>
        <w:t xml:space="preserve"> and </w:t>
      </w:r>
      <w:r w:rsidRPr="009D6016">
        <w:rPr>
          <w:szCs w:val="24"/>
          <w:lang w:eastAsia="en-US"/>
        </w:rPr>
        <w:fldChar w:fldCharType="begin"/>
      </w:r>
      <w:r w:rsidRPr="009D6016">
        <w:rPr>
          <w:szCs w:val="24"/>
          <w:lang w:eastAsia="en-US"/>
        </w:rPr>
        <w:instrText xml:space="preserve"> REF _Ref33021356 \h </w:instrText>
      </w:r>
      <w:r w:rsidR="009D6016" w:rsidRPr="009D6016">
        <w:rPr>
          <w:szCs w:val="24"/>
          <w:lang w:eastAsia="en-US"/>
        </w:rPr>
        <w:instrText xml:space="preserve"> \* MERGEFORMAT </w:instrText>
      </w:r>
      <w:r w:rsidRPr="009D6016">
        <w:rPr>
          <w:szCs w:val="24"/>
          <w:lang w:eastAsia="en-US"/>
        </w:rPr>
      </w:r>
      <w:r w:rsidRPr="009D6016">
        <w:rPr>
          <w:szCs w:val="24"/>
          <w:lang w:eastAsia="en-US"/>
        </w:rPr>
        <w:fldChar w:fldCharType="separate"/>
      </w:r>
      <w:r w:rsidR="009D6016" w:rsidRPr="009D6016">
        <w:rPr>
          <w:szCs w:val="24"/>
        </w:rPr>
        <w:t xml:space="preserve">Table </w:t>
      </w:r>
      <w:r w:rsidR="009D6016" w:rsidRPr="009D6016">
        <w:rPr>
          <w:noProof/>
          <w:szCs w:val="24"/>
        </w:rPr>
        <w:t>8</w:t>
      </w:r>
      <w:r w:rsidRPr="009D6016">
        <w:rPr>
          <w:szCs w:val="24"/>
          <w:lang w:eastAsia="en-US"/>
        </w:rPr>
        <w:fldChar w:fldCharType="end"/>
      </w:r>
      <w:r w:rsidR="00B63FFD">
        <w:rPr>
          <w:lang w:eastAsia="en-US"/>
        </w:rPr>
        <w:t xml:space="preserve"> present a</w:t>
      </w:r>
      <w:r w:rsidR="00433B47" w:rsidRPr="00FC0F62">
        <w:rPr>
          <w:lang w:eastAsia="en-US"/>
        </w:rPr>
        <w:t xml:space="preserve"> summary of the balance of benefits and harms for the critical outcomes assessing AQP4-Ab and MOG-Ab testing for NMOSD diagnosis</w:t>
      </w:r>
      <w:r>
        <w:rPr>
          <w:lang w:eastAsia="en-US"/>
        </w:rPr>
        <w:t>.</w:t>
      </w:r>
    </w:p>
    <w:p w14:paraId="206D4AC7" w14:textId="744367AB" w:rsidR="00433B47" w:rsidRPr="00BE62FA" w:rsidRDefault="003C0E09" w:rsidP="00BE62FA">
      <w:pPr>
        <w:spacing w:before="240"/>
        <w:rPr>
          <w:rFonts w:ascii="Arial Narrow" w:hAnsi="Arial Narrow"/>
          <w:b/>
          <w:sz w:val="20"/>
        </w:rPr>
      </w:pPr>
      <w:bookmarkStart w:id="19" w:name="_Ref33002067"/>
      <w:bookmarkStart w:id="20" w:name="_Ref33002058"/>
      <w:bookmarkStart w:id="21" w:name="_Toc39580849"/>
      <w:r w:rsidRPr="00BE62FA">
        <w:rPr>
          <w:rFonts w:ascii="Arial Narrow" w:hAnsi="Arial Narrow"/>
          <w:b/>
          <w:sz w:val="20"/>
        </w:rPr>
        <w:t xml:space="preserve">Table </w:t>
      </w:r>
      <w:r w:rsidRPr="00BE62FA">
        <w:rPr>
          <w:rFonts w:ascii="Arial Narrow" w:hAnsi="Arial Narrow"/>
          <w:b/>
          <w:sz w:val="20"/>
        </w:rPr>
        <w:fldChar w:fldCharType="begin"/>
      </w:r>
      <w:r w:rsidRPr="00BE62FA">
        <w:rPr>
          <w:rFonts w:ascii="Arial Narrow" w:hAnsi="Arial Narrow"/>
          <w:b/>
          <w:sz w:val="20"/>
        </w:rPr>
        <w:instrText xml:space="preserve"> SEQ Table \* ARABIC </w:instrText>
      </w:r>
      <w:r w:rsidRPr="00BE62FA">
        <w:rPr>
          <w:rFonts w:ascii="Arial Narrow" w:hAnsi="Arial Narrow"/>
          <w:b/>
          <w:sz w:val="20"/>
        </w:rPr>
        <w:fldChar w:fldCharType="separate"/>
      </w:r>
      <w:r w:rsidR="009D6016">
        <w:rPr>
          <w:rFonts w:ascii="Arial Narrow" w:hAnsi="Arial Narrow"/>
          <w:b/>
          <w:noProof/>
          <w:sz w:val="20"/>
        </w:rPr>
        <w:t>7</w:t>
      </w:r>
      <w:r w:rsidRPr="00BE62FA">
        <w:rPr>
          <w:rFonts w:ascii="Arial Narrow" w:hAnsi="Arial Narrow"/>
          <w:b/>
          <w:sz w:val="20"/>
        </w:rPr>
        <w:fldChar w:fldCharType="end"/>
      </w:r>
      <w:bookmarkEnd w:id="19"/>
      <w:r w:rsidR="00433B47" w:rsidRPr="00BE62FA">
        <w:rPr>
          <w:rFonts w:ascii="Arial Narrow" w:hAnsi="Arial Narrow"/>
          <w:b/>
          <w:sz w:val="20"/>
        </w:rPr>
        <w:tab/>
        <w:t>Summary of findings of the relevant critical patient outcomes for change in management with AQP4-Ab testing, relative to no testing</w:t>
      </w:r>
      <w:bookmarkEnd w:id="20"/>
      <w:bookmarkEnd w:id="21"/>
    </w:p>
    <w:tbl>
      <w:tblPr>
        <w:tblStyle w:val="TableGrid1"/>
        <w:tblW w:w="5000" w:type="pct"/>
        <w:tblLook w:val="04A0" w:firstRow="1" w:lastRow="0" w:firstColumn="1" w:lastColumn="0" w:noHBand="0" w:noVBand="1"/>
        <w:tblCaption w:val="Table 68 Summary of findings of the relevant critical patient outcomes for change in management with AQP4-Ab testing, relative to no testing"/>
        <w:tblDescription w:val="A summary of the findings acoording to the GRADE system"/>
      </w:tblPr>
      <w:tblGrid>
        <w:gridCol w:w="1251"/>
        <w:gridCol w:w="1393"/>
        <w:gridCol w:w="1110"/>
        <w:gridCol w:w="1052"/>
        <w:gridCol w:w="4210"/>
      </w:tblGrid>
      <w:tr w:rsidR="00F23742" w:rsidRPr="00B81E45" w14:paraId="2128DB8A" w14:textId="77777777" w:rsidTr="00F4009F">
        <w:trPr>
          <w:trHeight w:val="304"/>
          <w:tblHeader/>
        </w:trPr>
        <w:tc>
          <w:tcPr>
            <w:tcW w:w="703" w:type="pct"/>
          </w:tcPr>
          <w:p w14:paraId="1BDA77CE" w14:textId="77777777" w:rsidR="00F23742" w:rsidRDefault="00F23742" w:rsidP="00433B47">
            <w:pPr>
              <w:keepNext/>
              <w:keepLines/>
              <w:jc w:val="center"/>
              <w:rPr>
                <w:rFonts w:ascii="Arial Narrow" w:hAnsi="Arial Narrow"/>
                <w:b/>
                <w:bCs/>
                <w:sz w:val="16"/>
                <w:szCs w:val="16"/>
              </w:rPr>
            </w:pPr>
            <w:r>
              <w:rPr>
                <w:rFonts w:ascii="Arial Narrow" w:hAnsi="Arial Narrow"/>
                <w:b/>
                <w:bCs/>
                <w:sz w:val="16"/>
                <w:szCs w:val="16"/>
              </w:rPr>
              <w:t>Outcome</w:t>
            </w:r>
          </w:p>
        </w:tc>
        <w:tc>
          <w:tcPr>
            <w:tcW w:w="782" w:type="pct"/>
          </w:tcPr>
          <w:p w14:paraId="2732E690" w14:textId="0D219E0C" w:rsidR="00F23742" w:rsidRDefault="00F23742" w:rsidP="00433B47">
            <w:pPr>
              <w:keepNext/>
              <w:keepLines/>
              <w:jc w:val="center"/>
              <w:rPr>
                <w:rFonts w:ascii="Arial Narrow" w:hAnsi="Arial Narrow"/>
                <w:b/>
                <w:bCs/>
                <w:sz w:val="16"/>
                <w:szCs w:val="16"/>
              </w:rPr>
            </w:pPr>
            <w:r>
              <w:rPr>
                <w:rFonts w:ascii="Arial Narrow" w:hAnsi="Arial Narrow"/>
                <w:b/>
                <w:bCs/>
                <w:sz w:val="16"/>
                <w:szCs w:val="16"/>
              </w:rPr>
              <w:t>K studies</w:t>
            </w:r>
          </w:p>
          <w:p w14:paraId="66C3FC26" w14:textId="0C8F36D5" w:rsidR="00F23742" w:rsidRDefault="00F23742" w:rsidP="00F23742">
            <w:pPr>
              <w:keepNext/>
              <w:keepLines/>
              <w:jc w:val="center"/>
              <w:rPr>
                <w:rFonts w:ascii="Arial Narrow" w:hAnsi="Arial Narrow"/>
                <w:b/>
                <w:bCs/>
                <w:sz w:val="16"/>
                <w:szCs w:val="16"/>
              </w:rPr>
            </w:pPr>
            <w:r>
              <w:rPr>
                <w:rFonts w:ascii="Arial Narrow" w:hAnsi="Arial Narrow"/>
                <w:b/>
                <w:bCs/>
                <w:sz w:val="16"/>
                <w:szCs w:val="16"/>
              </w:rPr>
              <w:t>N participants</w:t>
            </w:r>
          </w:p>
        </w:tc>
        <w:tc>
          <w:tcPr>
            <w:tcW w:w="625" w:type="pct"/>
            <w:hideMark/>
          </w:tcPr>
          <w:p w14:paraId="07AD35D8" w14:textId="77777777" w:rsidR="00F23742" w:rsidRPr="00B81E45" w:rsidRDefault="00F23742" w:rsidP="00F23742">
            <w:pPr>
              <w:keepNext/>
              <w:keepLines/>
              <w:jc w:val="center"/>
              <w:rPr>
                <w:rFonts w:ascii="Arial Narrow" w:hAnsi="Arial Narrow"/>
                <w:b/>
                <w:bCs/>
                <w:sz w:val="16"/>
                <w:szCs w:val="16"/>
              </w:rPr>
            </w:pPr>
            <w:r w:rsidRPr="00B81E45">
              <w:rPr>
                <w:rFonts w:ascii="Arial Narrow" w:hAnsi="Arial Narrow"/>
                <w:b/>
                <w:bCs/>
                <w:sz w:val="16"/>
                <w:szCs w:val="16"/>
              </w:rPr>
              <w:t>Relative</w:t>
            </w:r>
            <w:r>
              <w:rPr>
                <w:rFonts w:ascii="Arial Narrow" w:hAnsi="Arial Narrow"/>
                <w:b/>
                <w:bCs/>
                <w:sz w:val="16"/>
                <w:szCs w:val="16"/>
              </w:rPr>
              <w:t xml:space="preserve"> effect</w:t>
            </w:r>
            <w:r w:rsidRPr="00B81E45">
              <w:rPr>
                <w:rFonts w:ascii="Arial Narrow" w:hAnsi="Arial Narrow"/>
                <w:b/>
                <w:bCs/>
                <w:sz w:val="16"/>
                <w:szCs w:val="16"/>
              </w:rPr>
              <w:br/>
              <w:t>(95% CI)</w:t>
            </w:r>
          </w:p>
        </w:tc>
        <w:tc>
          <w:tcPr>
            <w:tcW w:w="546" w:type="pct"/>
            <w:hideMark/>
          </w:tcPr>
          <w:p w14:paraId="1AF7527F" w14:textId="77777777" w:rsidR="00F23742" w:rsidRPr="00B81E45" w:rsidRDefault="00F23742" w:rsidP="00433B47">
            <w:pPr>
              <w:keepNext/>
              <w:keepLines/>
              <w:rPr>
                <w:rFonts w:ascii="Arial Narrow" w:hAnsi="Arial Narrow"/>
                <w:b/>
                <w:bCs/>
                <w:sz w:val="16"/>
                <w:szCs w:val="16"/>
              </w:rPr>
            </w:pPr>
            <w:r w:rsidRPr="00B81E45">
              <w:rPr>
                <w:rFonts w:ascii="Arial Narrow" w:hAnsi="Arial Narrow"/>
                <w:b/>
                <w:bCs/>
                <w:sz w:val="16"/>
                <w:szCs w:val="16"/>
              </w:rPr>
              <w:t>Certainty</w:t>
            </w:r>
          </w:p>
        </w:tc>
        <w:tc>
          <w:tcPr>
            <w:tcW w:w="2344" w:type="pct"/>
          </w:tcPr>
          <w:p w14:paraId="1D24A05D" w14:textId="77777777" w:rsidR="00F23742" w:rsidRPr="00B81E45" w:rsidRDefault="00F23742" w:rsidP="00433B47">
            <w:pPr>
              <w:keepNext/>
              <w:keepLines/>
              <w:jc w:val="center"/>
              <w:rPr>
                <w:rFonts w:ascii="Arial Narrow" w:hAnsi="Arial Narrow"/>
                <w:b/>
                <w:bCs/>
                <w:sz w:val="16"/>
                <w:szCs w:val="16"/>
              </w:rPr>
            </w:pPr>
            <w:r>
              <w:rPr>
                <w:rFonts w:ascii="Arial Narrow" w:hAnsi="Arial Narrow"/>
                <w:b/>
                <w:bCs/>
                <w:sz w:val="16"/>
                <w:szCs w:val="16"/>
              </w:rPr>
              <w:t>Comments</w:t>
            </w:r>
          </w:p>
        </w:tc>
      </w:tr>
      <w:tr w:rsidR="00433B47" w:rsidRPr="00165145" w14:paraId="442A22FD" w14:textId="77777777" w:rsidTr="00F4009F">
        <w:tc>
          <w:tcPr>
            <w:tcW w:w="703" w:type="pct"/>
          </w:tcPr>
          <w:p w14:paraId="02E0B9FE" w14:textId="77777777" w:rsidR="00433B47" w:rsidRPr="00165145" w:rsidRDefault="00433B47" w:rsidP="00433B47">
            <w:pPr>
              <w:keepNext/>
              <w:keepLines/>
              <w:rPr>
                <w:rFonts w:ascii="Arial Narrow" w:hAnsi="Arial Narrow"/>
                <w:bCs/>
                <w:sz w:val="16"/>
                <w:szCs w:val="16"/>
              </w:rPr>
            </w:pPr>
            <w:r>
              <w:rPr>
                <w:rFonts w:ascii="Arial Narrow" w:hAnsi="Arial Narrow"/>
                <w:bCs/>
                <w:sz w:val="16"/>
                <w:szCs w:val="16"/>
              </w:rPr>
              <w:t>Time to diagnosis (months; mean follow-up 9.2 y)</w:t>
            </w:r>
          </w:p>
        </w:tc>
        <w:tc>
          <w:tcPr>
            <w:tcW w:w="782" w:type="pct"/>
          </w:tcPr>
          <w:p w14:paraId="024BF010" w14:textId="77777777" w:rsidR="00433B47" w:rsidRDefault="00433B47" w:rsidP="00433B47">
            <w:pPr>
              <w:keepNext/>
              <w:keepLines/>
              <w:rPr>
                <w:rFonts w:ascii="Arial Narrow" w:hAnsi="Arial Narrow"/>
                <w:bCs/>
                <w:sz w:val="16"/>
                <w:szCs w:val="16"/>
              </w:rPr>
            </w:pPr>
            <w:r>
              <w:rPr>
                <w:rFonts w:ascii="Arial Narrow" w:hAnsi="Arial Narrow"/>
                <w:bCs/>
                <w:sz w:val="16"/>
                <w:szCs w:val="16"/>
              </w:rPr>
              <w:t>K=1 observational study</w:t>
            </w:r>
          </w:p>
          <w:p w14:paraId="36453E6D" w14:textId="77777777" w:rsidR="00433B47" w:rsidRPr="00165145" w:rsidRDefault="00433B47" w:rsidP="00433B47">
            <w:pPr>
              <w:keepNext/>
              <w:keepLines/>
              <w:rPr>
                <w:rFonts w:ascii="Arial Narrow" w:hAnsi="Arial Narrow"/>
                <w:bCs/>
                <w:sz w:val="16"/>
                <w:szCs w:val="16"/>
              </w:rPr>
            </w:pPr>
            <w:r>
              <w:rPr>
                <w:rFonts w:ascii="Arial Narrow" w:hAnsi="Arial Narrow"/>
                <w:bCs/>
                <w:sz w:val="16"/>
                <w:szCs w:val="16"/>
              </w:rPr>
              <w:t xml:space="preserve">N=252 </w:t>
            </w:r>
          </w:p>
        </w:tc>
        <w:tc>
          <w:tcPr>
            <w:tcW w:w="625" w:type="pct"/>
          </w:tcPr>
          <w:p w14:paraId="1978B74F" w14:textId="77777777" w:rsidR="00433B47" w:rsidRPr="00165145" w:rsidRDefault="00433B47" w:rsidP="00433B47">
            <w:pPr>
              <w:keepNext/>
              <w:keepLines/>
              <w:rPr>
                <w:rFonts w:ascii="Arial Narrow" w:hAnsi="Arial Narrow"/>
                <w:bCs/>
                <w:sz w:val="16"/>
                <w:szCs w:val="16"/>
              </w:rPr>
            </w:pPr>
            <w:r w:rsidRPr="00165145">
              <w:rPr>
                <w:rFonts w:ascii="Arial Narrow" w:hAnsi="Arial Narrow"/>
                <w:bCs/>
                <w:sz w:val="16"/>
                <w:szCs w:val="16"/>
              </w:rPr>
              <w:t xml:space="preserve">P&lt;0.001 </w:t>
            </w:r>
            <w:r>
              <w:rPr>
                <w:rFonts w:ascii="Arial Narrow" w:hAnsi="Arial Narrow"/>
                <w:bCs/>
                <w:sz w:val="16"/>
                <w:szCs w:val="16"/>
              </w:rPr>
              <w:br/>
            </w:r>
            <w:r w:rsidRPr="00165145">
              <w:rPr>
                <w:rFonts w:ascii="Arial Narrow" w:hAnsi="Arial Narrow"/>
                <w:bCs/>
                <w:sz w:val="16"/>
                <w:szCs w:val="16"/>
              </w:rPr>
              <w:t>(log rank test)</w:t>
            </w:r>
          </w:p>
        </w:tc>
        <w:tc>
          <w:tcPr>
            <w:tcW w:w="546" w:type="pct"/>
            <w:hideMark/>
          </w:tcPr>
          <w:p w14:paraId="471D0A1F" w14:textId="77777777" w:rsidR="00433B47" w:rsidRPr="00395FC5" w:rsidRDefault="00433B47" w:rsidP="00433B47">
            <w:pPr>
              <w:keepNext/>
              <w:keepLines/>
              <w:rPr>
                <w:rFonts w:ascii="Arial Narrow" w:hAnsi="Arial Narrow"/>
                <w:bCs/>
                <w:sz w:val="16"/>
                <w:szCs w:val="16"/>
                <w:vertAlign w:val="superscript"/>
              </w:rPr>
            </w:pPr>
            <w:r w:rsidRPr="00D4733A">
              <w:rPr>
                <w:rFonts w:ascii="Cambria Math" w:hAnsi="Cambria Math"/>
                <w:color w:val="00B050"/>
              </w:rPr>
              <w:t>⨁⨁⨁</w:t>
            </w:r>
            <w:r w:rsidRPr="00D4733A">
              <w:rPr>
                <w:rFonts w:ascii="Cambria Math" w:hAnsi="Cambria Math" w:cs="Cambria Math"/>
                <w:color w:val="C00000"/>
              </w:rPr>
              <w:t>⨀</w:t>
            </w:r>
            <w:r>
              <w:rPr>
                <w:rFonts w:ascii="Arial Narrow" w:hAnsi="Arial Narrow"/>
                <w:bCs/>
                <w:sz w:val="16"/>
                <w:szCs w:val="16"/>
              </w:rPr>
              <w:br/>
              <w:t>MODERATE</w:t>
            </w:r>
            <w:r>
              <w:rPr>
                <w:rFonts w:ascii="Arial Narrow" w:hAnsi="Arial Narrow"/>
                <w:bCs/>
                <w:sz w:val="16"/>
                <w:szCs w:val="16"/>
                <w:vertAlign w:val="superscript"/>
              </w:rPr>
              <w:t>a</w:t>
            </w:r>
          </w:p>
        </w:tc>
        <w:tc>
          <w:tcPr>
            <w:tcW w:w="2344" w:type="pct"/>
          </w:tcPr>
          <w:p w14:paraId="401A187C" w14:textId="77777777" w:rsidR="00433B47" w:rsidRPr="00165145" w:rsidRDefault="00433B47" w:rsidP="00433B47">
            <w:pPr>
              <w:keepNext/>
              <w:keepLines/>
              <w:rPr>
                <w:rFonts w:ascii="Arial Narrow" w:hAnsi="Arial Narrow"/>
                <w:bCs/>
                <w:sz w:val="16"/>
                <w:szCs w:val="16"/>
              </w:rPr>
            </w:pPr>
            <w:r>
              <w:rPr>
                <w:rFonts w:ascii="Arial Narrow" w:hAnsi="Arial Narrow"/>
                <w:bCs/>
                <w:sz w:val="16"/>
                <w:szCs w:val="16"/>
              </w:rPr>
              <w:t>There was a statistically significant difference in time to diagnosis between those diagnosed based on the 2015 criteria (which has stronger emphasis on testing) (11 months) compared those diagnosed by the 2006 criteria (53 months). The effect was very large, and there is moderate confidence that the effect is true.</w:t>
            </w:r>
          </w:p>
        </w:tc>
      </w:tr>
      <w:tr w:rsidR="00433B47" w:rsidRPr="00165145" w14:paraId="00BC0AC5" w14:textId="77777777" w:rsidTr="00F4009F">
        <w:tc>
          <w:tcPr>
            <w:tcW w:w="703" w:type="pct"/>
          </w:tcPr>
          <w:p w14:paraId="1F8D2ADD" w14:textId="77777777" w:rsidR="00433B47" w:rsidRPr="00165145" w:rsidRDefault="00433B47" w:rsidP="00433B47">
            <w:pPr>
              <w:rPr>
                <w:rFonts w:ascii="Arial Narrow" w:hAnsi="Arial Narrow"/>
                <w:bCs/>
                <w:sz w:val="16"/>
                <w:szCs w:val="16"/>
              </w:rPr>
            </w:pPr>
            <w:r>
              <w:rPr>
                <w:rFonts w:ascii="Arial Narrow" w:hAnsi="Arial Narrow"/>
                <w:bCs/>
                <w:sz w:val="16"/>
                <w:szCs w:val="16"/>
              </w:rPr>
              <w:t>Number of NMOSD diagnoses based on 2015 compared with 2006 criteria</w:t>
            </w:r>
          </w:p>
        </w:tc>
        <w:tc>
          <w:tcPr>
            <w:tcW w:w="782" w:type="pct"/>
          </w:tcPr>
          <w:p w14:paraId="05B229CB" w14:textId="77777777" w:rsidR="00433B47" w:rsidRDefault="00433B47" w:rsidP="00433B47">
            <w:pPr>
              <w:rPr>
                <w:rFonts w:ascii="Arial Narrow" w:hAnsi="Arial Narrow"/>
                <w:bCs/>
                <w:sz w:val="16"/>
                <w:szCs w:val="16"/>
              </w:rPr>
            </w:pPr>
            <w:r>
              <w:rPr>
                <w:rFonts w:ascii="Arial Narrow" w:hAnsi="Arial Narrow"/>
                <w:bCs/>
                <w:sz w:val="16"/>
                <w:szCs w:val="16"/>
              </w:rPr>
              <w:t>K=2 observational studies</w:t>
            </w:r>
          </w:p>
          <w:p w14:paraId="1EFA0B7E" w14:textId="77777777" w:rsidR="00433B47" w:rsidRPr="00165145" w:rsidRDefault="00433B47" w:rsidP="00433B47">
            <w:pPr>
              <w:rPr>
                <w:rFonts w:ascii="Arial Narrow" w:hAnsi="Arial Narrow"/>
                <w:bCs/>
                <w:sz w:val="16"/>
                <w:szCs w:val="16"/>
              </w:rPr>
            </w:pPr>
            <w:r>
              <w:rPr>
                <w:rFonts w:ascii="Arial Narrow" w:hAnsi="Arial Narrow"/>
                <w:bCs/>
                <w:sz w:val="16"/>
                <w:szCs w:val="16"/>
              </w:rPr>
              <w:t>N=1418</w:t>
            </w:r>
          </w:p>
        </w:tc>
        <w:tc>
          <w:tcPr>
            <w:tcW w:w="625" w:type="pct"/>
            <w:hideMark/>
          </w:tcPr>
          <w:p w14:paraId="7997A3D5" w14:textId="77777777" w:rsidR="00433B47" w:rsidRPr="00165145" w:rsidRDefault="00433B47" w:rsidP="00433B47">
            <w:pPr>
              <w:rPr>
                <w:rFonts w:ascii="Arial Narrow" w:hAnsi="Arial Narrow"/>
                <w:bCs/>
                <w:sz w:val="16"/>
                <w:szCs w:val="16"/>
              </w:rPr>
            </w:pPr>
            <w:r w:rsidRPr="00165145">
              <w:rPr>
                <w:rFonts w:ascii="Arial Narrow" w:hAnsi="Arial Narrow"/>
                <w:bCs/>
                <w:sz w:val="16"/>
                <w:szCs w:val="16"/>
              </w:rPr>
              <w:t xml:space="preserve">OR range </w:t>
            </w:r>
            <w:r w:rsidRPr="00165145">
              <w:rPr>
                <w:rFonts w:ascii="Arial Narrow" w:hAnsi="Arial Narrow"/>
                <w:bCs/>
                <w:sz w:val="16"/>
                <w:szCs w:val="16"/>
              </w:rPr>
              <w:br/>
              <w:t xml:space="preserve">1.76 to 2.48 </w:t>
            </w:r>
          </w:p>
        </w:tc>
        <w:tc>
          <w:tcPr>
            <w:tcW w:w="546" w:type="pct"/>
            <w:hideMark/>
          </w:tcPr>
          <w:p w14:paraId="49751206" w14:textId="77777777" w:rsidR="00433B47" w:rsidRPr="00395FC5" w:rsidRDefault="00433B47" w:rsidP="00433B47">
            <w:pPr>
              <w:rPr>
                <w:rFonts w:ascii="Arial Narrow" w:hAnsi="Arial Narrow"/>
                <w:bCs/>
                <w:sz w:val="16"/>
                <w:szCs w:val="16"/>
                <w:vertAlign w:val="superscript"/>
              </w:rPr>
            </w:pPr>
            <w:r>
              <w:rPr>
                <w:rFonts w:ascii="Cambria Math" w:hAnsi="Cambria Math"/>
                <w:color w:val="00B050"/>
              </w:rPr>
              <w:t>⨁⨁</w:t>
            </w:r>
            <w:r w:rsidRPr="00D4733A">
              <w:rPr>
                <w:rFonts w:ascii="Cambria Math" w:hAnsi="Cambria Math" w:cs="Cambria Math"/>
                <w:color w:val="C00000"/>
              </w:rPr>
              <w:t>⨀⨀</w:t>
            </w:r>
            <w:r>
              <w:rPr>
                <w:rFonts w:ascii="Arial Narrow" w:hAnsi="Arial Narrow"/>
                <w:bCs/>
                <w:sz w:val="16"/>
                <w:szCs w:val="16"/>
              </w:rPr>
              <w:br/>
              <w:t>LOW</w:t>
            </w:r>
            <w:r>
              <w:rPr>
                <w:rFonts w:ascii="Arial Narrow" w:hAnsi="Arial Narrow"/>
                <w:bCs/>
                <w:sz w:val="16"/>
                <w:szCs w:val="16"/>
                <w:vertAlign w:val="superscript"/>
              </w:rPr>
              <w:t>a</w:t>
            </w:r>
          </w:p>
        </w:tc>
        <w:tc>
          <w:tcPr>
            <w:tcW w:w="2344" w:type="pct"/>
          </w:tcPr>
          <w:p w14:paraId="2B413C89" w14:textId="77777777" w:rsidR="00433B47" w:rsidRPr="00165145" w:rsidRDefault="00433B47" w:rsidP="00433B47">
            <w:pPr>
              <w:rPr>
                <w:rFonts w:ascii="Arial Narrow" w:hAnsi="Arial Narrow"/>
                <w:bCs/>
                <w:sz w:val="16"/>
                <w:szCs w:val="16"/>
              </w:rPr>
            </w:pPr>
            <w:r>
              <w:rPr>
                <w:rFonts w:ascii="Arial Narrow" w:hAnsi="Arial Narrow"/>
                <w:bCs/>
                <w:sz w:val="16"/>
                <w:szCs w:val="16"/>
              </w:rPr>
              <w:t>The odds of receiving a NMOSD diagnosis based on the 2015 IPND criteria were higher than when diagnosed with the 2006 criteria. The 2015 criteria emphasise AQP4-Ab testing for diagnosis whereas the 2006 criteria do not. The effect was large but due to risk of bias, there is low confidence that this is the true effect.</w:t>
            </w:r>
          </w:p>
        </w:tc>
      </w:tr>
    </w:tbl>
    <w:p w14:paraId="48F5E77B" w14:textId="56D31262" w:rsidR="00433B47" w:rsidRPr="00395FC5" w:rsidRDefault="00433B47" w:rsidP="00433B47">
      <w:pPr>
        <w:spacing w:after="80"/>
        <w:rPr>
          <w:rFonts w:ascii="Arial Narrow" w:hAnsi="Arial Narrow"/>
          <w:bCs/>
          <w:sz w:val="18"/>
          <w:szCs w:val="18"/>
          <w:lang w:val="en"/>
        </w:rPr>
      </w:pPr>
      <w:r w:rsidRPr="00395FC5">
        <w:rPr>
          <w:rFonts w:ascii="Arial Narrow" w:hAnsi="Arial Narrow"/>
          <w:bCs/>
          <w:sz w:val="18"/>
          <w:szCs w:val="18"/>
          <w:lang w:val="en"/>
        </w:rPr>
        <w:t>AQP4</w:t>
      </w:r>
      <w:r w:rsidR="00F23742">
        <w:rPr>
          <w:rFonts w:ascii="Arial Narrow" w:hAnsi="Arial Narrow"/>
          <w:bCs/>
          <w:sz w:val="18"/>
          <w:szCs w:val="18"/>
          <w:lang w:val="en"/>
        </w:rPr>
        <w:t>-Ab = aquaporin 4 antibodies; CI</w:t>
      </w:r>
      <w:r w:rsidRPr="00395FC5">
        <w:rPr>
          <w:rFonts w:ascii="Arial Narrow" w:hAnsi="Arial Narrow"/>
          <w:bCs/>
          <w:sz w:val="18"/>
          <w:szCs w:val="18"/>
          <w:lang w:val="en"/>
        </w:rPr>
        <w:t xml:space="preserve"> = confidence interval; NMOSD = neuromyelitis optica spectrum disorder</w:t>
      </w:r>
      <w:r>
        <w:rPr>
          <w:rFonts w:ascii="Arial Narrow" w:hAnsi="Arial Narrow"/>
          <w:bCs/>
          <w:sz w:val="18"/>
          <w:szCs w:val="18"/>
          <w:lang w:val="en"/>
        </w:rPr>
        <w:t>s;</w:t>
      </w:r>
      <w:r w:rsidRPr="00395FC5">
        <w:rPr>
          <w:rFonts w:ascii="Arial Narrow" w:hAnsi="Arial Narrow"/>
          <w:bCs/>
          <w:sz w:val="18"/>
          <w:szCs w:val="18"/>
          <w:lang w:val="en"/>
        </w:rPr>
        <w:t xml:space="preserve"> OR = odds ratio</w:t>
      </w:r>
    </w:p>
    <w:p w14:paraId="1CBE3134" w14:textId="77777777" w:rsidR="00433B47" w:rsidRPr="004B488D" w:rsidRDefault="00433B47" w:rsidP="00433B47">
      <w:pPr>
        <w:spacing w:after="80"/>
        <w:rPr>
          <w:rFonts w:ascii="Arial Narrow" w:hAnsi="Arial Narrow"/>
          <w:b/>
          <w:bCs/>
          <w:sz w:val="18"/>
          <w:szCs w:val="18"/>
          <w:lang w:val="en"/>
        </w:rPr>
      </w:pPr>
      <w:r w:rsidRPr="004B488D">
        <w:rPr>
          <w:rFonts w:ascii="Arial Narrow" w:hAnsi="Arial Narrow"/>
          <w:b/>
          <w:bCs/>
          <w:sz w:val="18"/>
          <w:szCs w:val="18"/>
          <w:lang w:val="en"/>
        </w:rPr>
        <w:t>Explanations</w:t>
      </w:r>
    </w:p>
    <w:p w14:paraId="47725CD3" w14:textId="29038C7A" w:rsidR="00433B47" w:rsidRPr="004B488D" w:rsidRDefault="00433B47" w:rsidP="00433B47">
      <w:pPr>
        <w:spacing w:after="80"/>
        <w:rPr>
          <w:rFonts w:ascii="Arial Narrow" w:hAnsi="Arial Narrow"/>
          <w:sz w:val="18"/>
          <w:szCs w:val="18"/>
          <w:lang w:val="en"/>
        </w:rPr>
      </w:pPr>
      <w:r w:rsidRPr="004B488D">
        <w:rPr>
          <w:rFonts w:ascii="Arial Narrow" w:hAnsi="Arial Narrow"/>
          <w:sz w:val="18"/>
          <w:szCs w:val="18"/>
          <w:lang w:val="en"/>
        </w:rPr>
        <w:t>a. Retrospective study d</w:t>
      </w:r>
      <w:r w:rsidR="00F23742">
        <w:rPr>
          <w:rFonts w:ascii="Arial Narrow" w:hAnsi="Arial Narrow"/>
          <w:sz w:val="18"/>
          <w:szCs w:val="18"/>
          <w:lang w:val="en"/>
        </w:rPr>
        <w:t>esign at risk of selection bias</w:t>
      </w:r>
    </w:p>
    <w:p w14:paraId="095FE8B1" w14:textId="77777777" w:rsidR="00433B47" w:rsidRDefault="00433B47" w:rsidP="00F4009F">
      <w:pPr>
        <w:pStyle w:val="Tablenotes"/>
      </w:pPr>
      <w:r w:rsidRPr="00FA4E0A">
        <w:rPr>
          <w:b/>
        </w:rPr>
        <w:t>GRADE Working Group grades of evidence (Guyatt et al., 2013)</w:t>
      </w:r>
      <w:r w:rsidRPr="00FA4E0A">
        <w:rPr>
          <w:b/>
        </w:rPr>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3F6E8034" w14:textId="77777777" w:rsidR="00433B47" w:rsidRDefault="00433B47" w:rsidP="00F4009F">
      <w:pPr>
        <w:pStyle w:val="Tablenotes"/>
      </w:pPr>
      <w:r>
        <w:t>Source: Table 68, p122 of DCAR</w:t>
      </w:r>
    </w:p>
    <w:p w14:paraId="0D3923AF" w14:textId="51CCD2DF" w:rsidR="00433B47" w:rsidRPr="00BE62FA" w:rsidRDefault="003C0E09" w:rsidP="00BE62FA">
      <w:pPr>
        <w:rPr>
          <w:rFonts w:ascii="Arial Narrow" w:hAnsi="Arial Narrow"/>
          <w:b/>
          <w:sz w:val="20"/>
        </w:rPr>
      </w:pPr>
      <w:bookmarkStart w:id="22" w:name="_Ref33021356"/>
      <w:bookmarkStart w:id="23" w:name="_Toc39580850"/>
      <w:r w:rsidRPr="00BE62FA">
        <w:rPr>
          <w:rFonts w:ascii="Arial Narrow" w:hAnsi="Arial Narrow"/>
          <w:b/>
          <w:sz w:val="20"/>
        </w:rPr>
        <w:t xml:space="preserve">Table </w:t>
      </w:r>
      <w:r w:rsidRPr="00BE62FA">
        <w:rPr>
          <w:rFonts w:ascii="Arial Narrow" w:hAnsi="Arial Narrow"/>
          <w:b/>
          <w:sz w:val="20"/>
        </w:rPr>
        <w:fldChar w:fldCharType="begin"/>
      </w:r>
      <w:r w:rsidRPr="00BE62FA">
        <w:rPr>
          <w:rFonts w:ascii="Arial Narrow" w:hAnsi="Arial Narrow"/>
          <w:b/>
          <w:sz w:val="20"/>
        </w:rPr>
        <w:instrText xml:space="preserve"> SEQ Table \* ARABIC </w:instrText>
      </w:r>
      <w:r w:rsidRPr="00BE62FA">
        <w:rPr>
          <w:rFonts w:ascii="Arial Narrow" w:hAnsi="Arial Narrow"/>
          <w:b/>
          <w:sz w:val="20"/>
        </w:rPr>
        <w:fldChar w:fldCharType="separate"/>
      </w:r>
      <w:r w:rsidR="009D6016">
        <w:rPr>
          <w:rFonts w:ascii="Arial Narrow" w:hAnsi="Arial Narrow"/>
          <w:b/>
          <w:noProof/>
          <w:sz w:val="20"/>
        </w:rPr>
        <w:t>8</w:t>
      </w:r>
      <w:r w:rsidRPr="00BE62FA">
        <w:rPr>
          <w:rFonts w:ascii="Arial Narrow" w:hAnsi="Arial Narrow"/>
          <w:b/>
          <w:sz w:val="20"/>
        </w:rPr>
        <w:fldChar w:fldCharType="end"/>
      </w:r>
      <w:bookmarkEnd w:id="22"/>
      <w:r w:rsidR="00433B47" w:rsidRPr="00BE62FA">
        <w:rPr>
          <w:rFonts w:ascii="Arial Narrow" w:hAnsi="Arial Narrow"/>
          <w:b/>
          <w:sz w:val="20"/>
        </w:rPr>
        <w:tab/>
        <w:t>Summary of findings table for relevant critical patient outcomes on the impact of change in management due to AQP4-Ab testing for NMSDO</w:t>
      </w:r>
      <w:bookmarkEnd w:id="23"/>
      <w:r w:rsidR="00433B47" w:rsidRPr="00BE62FA">
        <w:rPr>
          <w:rFonts w:ascii="Arial Narrow" w:hAnsi="Arial Narrow"/>
          <w:b/>
          <w:sz w:val="20"/>
        </w:rPr>
        <w:t xml:space="preserve"> </w:t>
      </w:r>
    </w:p>
    <w:tbl>
      <w:tblPr>
        <w:tblW w:w="5000" w:type="pct"/>
        <w:tblInd w:w="-3" w:type="dxa"/>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CellMar>
          <w:top w:w="75" w:type="dxa"/>
          <w:left w:w="75" w:type="dxa"/>
          <w:bottom w:w="75" w:type="dxa"/>
          <w:right w:w="75" w:type="dxa"/>
        </w:tblCellMar>
        <w:tblLook w:val="04A0" w:firstRow="1" w:lastRow="0" w:firstColumn="1" w:lastColumn="0" w:noHBand="0" w:noVBand="1"/>
        <w:tblCaption w:val="Table 69 Summary of findings table for relevant critical patient outcomes on the impact of change in management due to AQP4-Ab testing for NMSDO "/>
        <w:tblDescription w:val="A summary of findings according to the GRADE system."/>
      </w:tblPr>
      <w:tblGrid>
        <w:gridCol w:w="953"/>
        <w:gridCol w:w="77"/>
        <w:gridCol w:w="1027"/>
        <w:gridCol w:w="960"/>
        <w:gridCol w:w="778"/>
        <w:gridCol w:w="986"/>
        <w:gridCol w:w="4235"/>
      </w:tblGrid>
      <w:tr w:rsidR="00433B47" w:rsidRPr="00EA5BA8" w14:paraId="54537EC2" w14:textId="77777777" w:rsidTr="00F23742">
        <w:trPr>
          <w:cantSplit/>
          <w:trHeight w:val="476"/>
          <w:tblHeader/>
        </w:trPr>
        <w:tc>
          <w:tcPr>
            <w:tcW w:w="572" w:type="pct"/>
            <w:gridSpan w:val="2"/>
            <w:shd w:val="clear" w:color="auto" w:fill="auto"/>
            <w:vAlign w:val="center"/>
          </w:tcPr>
          <w:p w14:paraId="641AAD6A" w14:textId="77777777" w:rsidR="00433B47" w:rsidRPr="00EA5BA8" w:rsidRDefault="00433B47" w:rsidP="00433B47">
            <w:pPr>
              <w:keepNext/>
              <w:keepLines/>
              <w:jc w:val="center"/>
              <w:rPr>
                <w:rFonts w:ascii="Arial Narrow" w:hAnsi="Arial Narrow"/>
                <w:b/>
                <w:bCs/>
                <w:sz w:val="16"/>
                <w:szCs w:val="16"/>
              </w:rPr>
            </w:pPr>
            <w:r>
              <w:rPr>
                <w:rFonts w:ascii="Arial Narrow" w:hAnsi="Arial Narrow"/>
                <w:b/>
                <w:bCs/>
                <w:sz w:val="16"/>
                <w:szCs w:val="16"/>
              </w:rPr>
              <w:t>Outcome</w:t>
            </w:r>
          </w:p>
        </w:tc>
        <w:tc>
          <w:tcPr>
            <w:tcW w:w="570" w:type="pct"/>
            <w:shd w:val="clear" w:color="auto" w:fill="auto"/>
            <w:vAlign w:val="center"/>
          </w:tcPr>
          <w:p w14:paraId="6E7BA83A" w14:textId="77777777" w:rsidR="00433B47" w:rsidRDefault="00433B47" w:rsidP="00433B47">
            <w:pPr>
              <w:keepNext/>
              <w:keepLines/>
              <w:jc w:val="center"/>
              <w:rPr>
                <w:rFonts w:ascii="Arial Narrow" w:hAnsi="Arial Narrow"/>
                <w:b/>
                <w:bCs/>
                <w:sz w:val="16"/>
                <w:szCs w:val="16"/>
              </w:rPr>
            </w:pPr>
            <w:r>
              <w:rPr>
                <w:rFonts w:ascii="Arial Narrow" w:hAnsi="Arial Narrow"/>
                <w:b/>
                <w:bCs/>
                <w:sz w:val="16"/>
                <w:szCs w:val="16"/>
              </w:rPr>
              <w:t>K studies</w:t>
            </w:r>
          </w:p>
          <w:p w14:paraId="18F1A86B" w14:textId="77777777" w:rsidR="00433B47" w:rsidRPr="00EA5BA8" w:rsidRDefault="00433B47" w:rsidP="00433B47">
            <w:pPr>
              <w:keepNext/>
              <w:keepLines/>
              <w:jc w:val="center"/>
              <w:rPr>
                <w:rFonts w:ascii="Arial Narrow" w:hAnsi="Arial Narrow"/>
                <w:b/>
                <w:bCs/>
                <w:sz w:val="16"/>
                <w:szCs w:val="16"/>
              </w:rPr>
            </w:pPr>
            <w:r>
              <w:rPr>
                <w:rFonts w:ascii="Arial Narrow" w:hAnsi="Arial Narrow"/>
                <w:b/>
                <w:bCs/>
                <w:sz w:val="16"/>
                <w:szCs w:val="16"/>
              </w:rPr>
              <w:t>N participants</w:t>
            </w:r>
          </w:p>
        </w:tc>
        <w:tc>
          <w:tcPr>
            <w:tcW w:w="533" w:type="pct"/>
            <w:shd w:val="clear" w:color="auto" w:fill="auto"/>
            <w:vAlign w:val="center"/>
          </w:tcPr>
          <w:p w14:paraId="09D6C15A" w14:textId="70581878" w:rsidR="00433B47" w:rsidRPr="00EA5BA8" w:rsidRDefault="00433B47" w:rsidP="00433B47">
            <w:pPr>
              <w:keepNext/>
              <w:keepLines/>
              <w:jc w:val="center"/>
              <w:rPr>
                <w:rFonts w:ascii="Arial Narrow" w:hAnsi="Arial Narrow"/>
                <w:b/>
                <w:bCs/>
                <w:sz w:val="16"/>
                <w:szCs w:val="16"/>
              </w:rPr>
            </w:pPr>
            <w:r>
              <w:rPr>
                <w:rFonts w:ascii="Arial Narrow" w:hAnsi="Arial Narrow"/>
                <w:b/>
                <w:bCs/>
                <w:sz w:val="16"/>
                <w:szCs w:val="16"/>
              </w:rPr>
              <w:t xml:space="preserve">Relative </w:t>
            </w:r>
            <w:r w:rsidR="00F23742">
              <w:rPr>
                <w:rFonts w:ascii="Arial Narrow" w:hAnsi="Arial Narrow"/>
                <w:b/>
                <w:bCs/>
                <w:sz w:val="16"/>
                <w:szCs w:val="16"/>
              </w:rPr>
              <w:t>e</w:t>
            </w:r>
            <w:r w:rsidRPr="00EA5BA8">
              <w:rPr>
                <w:rFonts w:ascii="Arial Narrow" w:hAnsi="Arial Narrow"/>
                <w:b/>
                <w:bCs/>
                <w:sz w:val="16"/>
                <w:szCs w:val="16"/>
              </w:rPr>
              <w:t>ffect</w:t>
            </w:r>
          </w:p>
          <w:p w14:paraId="0EC4612E" w14:textId="77777777" w:rsidR="00433B47" w:rsidRDefault="00433B47" w:rsidP="00433B47">
            <w:pPr>
              <w:keepNext/>
              <w:keepLines/>
              <w:jc w:val="center"/>
              <w:rPr>
                <w:rFonts w:ascii="Arial Narrow" w:hAnsi="Arial Narrow"/>
                <w:b/>
                <w:bCs/>
                <w:sz w:val="16"/>
                <w:szCs w:val="16"/>
              </w:rPr>
            </w:pPr>
            <w:r w:rsidRPr="00EA5BA8">
              <w:rPr>
                <w:rFonts w:ascii="Arial Narrow" w:hAnsi="Arial Narrow"/>
                <w:b/>
                <w:bCs/>
                <w:sz w:val="16"/>
                <w:szCs w:val="16"/>
              </w:rPr>
              <w:t>(95% CI)</w:t>
            </w:r>
          </w:p>
        </w:tc>
        <w:tc>
          <w:tcPr>
            <w:tcW w:w="432" w:type="pct"/>
            <w:shd w:val="clear" w:color="auto" w:fill="auto"/>
            <w:vAlign w:val="center"/>
            <w:hideMark/>
          </w:tcPr>
          <w:p w14:paraId="1ED0E021" w14:textId="04F09F9D" w:rsidR="00433B47" w:rsidRDefault="00433B47" w:rsidP="00433B47">
            <w:pPr>
              <w:keepNext/>
              <w:keepLines/>
              <w:jc w:val="center"/>
              <w:rPr>
                <w:rFonts w:ascii="Arial Narrow" w:hAnsi="Arial Narrow"/>
                <w:b/>
                <w:bCs/>
                <w:sz w:val="16"/>
                <w:szCs w:val="16"/>
              </w:rPr>
            </w:pPr>
            <w:r>
              <w:rPr>
                <w:rFonts w:ascii="Arial Narrow" w:hAnsi="Arial Narrow"/>
                <w:b/>
                <w:bCs/>
                <w:sz w:val="16"/>
                <w:szCs w:val="16"/>
              </w:rPr>
              <w:t xml:space="preserve">Absolute </w:t>
            </w:r>
            <w:r w:rsidR="00F23742">
              <w:rPr>
                <w:rFonts w:ascii="Arial Narrow" w:hAnsi="Arial Narrow"/>
                <w:b/>
                <w:bCs/>
                <w:sz w:val="16"/>
                <w:szCs w:val="16"/>
              </w:rPr>
              <w:t>e</w:t>
            </w:r>
            <w:r>
              <w:rPr>
                <w:rFonts w:ascii="Arial Narrow" w:hAnsi="Arial Narrow"/>
                <w:b/>
                <w:bCs/>
                <w:sz w:val="16"/>
                <w:szCs w:val="16"/>
              </w:rPr>
              <w:t>ffect</w:t>
            </w:r>
          </w:p>
          <w:p w14:paraId="4E33113A" w14:textId="77777777" w:rsidR="00433B47" w:rsidRPr="00EA5BA8" w:rsidRDefault="00433B47" w:rsidP="00433B47">
            <w:pPr>
              <w:keepNext/>
              <w:keepLines/>
              <w:jc w:val="center"/>
              <w:rPr>
                <w:rFonts w:ascii="Arial Narrow" w:hAnsi="Arial Narrow"/>
                <w:b/>
                <w:bCs/>
                <w:sz w:val="16"/>
                <w:szCs w:val="16"/>
              </w:rPr>
            </w:pPr>
            <w:r>
              <w:rPr>
                <w:rFonts w:ascii="Arial Narrow" w:hAnsi="Arial Narrow"/>
                <w:b/>
                <w:bCs/>
                <w:sz w:val="16"/>
                <w:szCs w:val="16"/>
              </w:rPr>
              <w:t>(95% CI)</w:t>
            </w:r>
          </w:p>
        </w:tc>
        <w:tc>
          <w:tcPr>
            <w:tcW w:w="544" w:type="pct"/>
            <w:shd w:val="clear" w:color="auto" w:fill="auto"/>
            <w:vAlign w:val="center"/>
            <w:hideMark/>
          </w:tcPr>
          <w:p w14:paraId="1828C39A" w14:textId="77777777" w:rsidR="00433B47" w:rsidRPr="00EA5BA8" w:rsidRDefault="00433B47" w:rsidP="00433B47">
            <w:pPr>
              <w:keepNext/>
              <w:keepLines/>
              <w:jc w:val="center"/>
              <w:rPr>
                <w:rFonts w:ascii="Arial Narrow" w:hAnsi="Arial Narrow"/>
                <w:b/>
                <w:bCs/>
                <w:sz w:val="16"/>
                <w:szCs w:val="16"/>
              </w:rPr>
            </w:pPr>
            <w:r w:rsidRPr="00EA5BA8">
              <w:rPr>
                <w:rFonts w:ascii="Arial Narrow" w:hAnsi="Arial Narrow"/>
                <w:b/>
                <w:bCs/>
                <w:sz w:val="16"/>
                <w:szCs w:val="16"/>
              </w:rPr>
              <w:t>Certainty</w:t>
            </w:r>
          </w:p>
        </w:tc>
        <w:tc>
          <w:tcPr>
            <w:tcW w:w="2350" w:type="pct"/>
            <w:shd w:val="clear" w:color="auto" w:fill="auto"/>
            <w:vAlign w:val="center"/>
            <w:hideMark/>
          </w:tcPr>
          <w:p w14:paraId="6EE4A324" w14:textId="77777777" w:rsidR="00433B47" w:rsidRPr="00EA5BA8" w:rsidRDefault="00433B47" w:rsidP="00433B47">
            <w:pPr>
              <w:keepNext/>
              <w:keepLines/>
              <w:jc w:val="center"/>
              <w:rPr>
                <w:rFonts w:ascii="Arial Narrow" w:hAnsi="Arial Narrow"/>
                <w:b/>
                <w:bCs/>
                <w:sz w:val="16"/>
                <w:szCs w:val="16"/>
              </w:rPr>
            </w:pPr>
            <w:r>
              <w:rPr>
                <w:rFonts w:ascii="Arial Narrow" w:hAnsi="Arial Narrow"/>
                <w:b/>
                <w:bCs/>
                <w:sz w:val="16"/>
                <w:szCs w:val="16"/>
              </w:rPr>
              <w:t>Comments</w:t>
            </w:r>
          </w:p>
        </w:tc>
      </w:tr>
      <w:tr w:rsidR="00433B47" w:rsidRPr="00EA5BA8" w14:paraId="0F37505C" w14:textId="77777777" w:rsidTr="00F23742">
        <w:trPr>
          <w:cantSplit/>
        </w:trPr>
        <w:tc>
          <w:tcPr>
            <w:tcW w:w="5000" w:type="pct"/>
            <w:gridSpan w:val="7"/>
          </w:tcPr>
          <w:p w14:paraId="2232BADC" w14:textId="77777777" w:rsidR="00433B47" w:rsidRDefault="00433B47" w:rsidP="00433B47">
            <w:pPr>
              <w:keepNext/>
              <w:keepLines/>
              <w:rPr>
                <w:rFonts w:ascii="Arial Narrow" w:hAnsi="Arial Narrow"/>
                <w:sz w:val="16"/>
                <w:szCs w:val="16"/>
              </w:rPr>
            </w:pPr>
            <w:r w:rsidRPr="005B189A">
              <w:rPr>
                <w:rFonts w:ascii="Arial Narrow" w:hAnsi="Arial Narrow"/>
                <w:b/>
                <w:sz w:val="16"/>
                <w:szCs w:val="16"/>
                <w:lang w:val="en"/>
              </w:rPr>
              <w:t>Early treatment compared to late treatment for NMOSD patients</w:t>
            </w:r>
          </w:p>
        </w:tc>
      </w:tr>
      <w:tr w:rsidR="00433B47" w:rsidRPr="005801A9" w14:paraId="61DB8C6C" w14:textId="77777777" w:rsidTr="00F23742">
        <w:trPr>
          <w:cantSplit/>
        </w:trPr>
        <w:tc>
          <w:tcPr>
            <w:tcW w:w="572" w:type="pct"/>
            <w:gridSpan w:val="2"/>
          </w:tcPr>
          <w:p w14:paraId="58128302" w14:textId="77777777" w:rsidR="00433B47" w:rsidRDefault="00433B47" w:rsidP="00433B47">
            <w:pPr>
              <w:keepNext/>
              <w:keepLines/>
              <w:rPr>
                <w:rFonts w:ascii="Arial Narrow" w:hAnsi="Arial Narrow"/>
                <w:sz w:val="16"/>
                <w:szCs w:val="16"/>
              </w:rPr>
            </w:pPr>
            <w:r>
              <w:rPr>
                <w:rFonts w:ascii="Arial Narrow" w:hAnsi="Arial Narrow"/>
                <w:sz w:val="16"/>
                <w:szCs w:val="16"/>
              </w:rPr>
              <w:t>Probability of complete improvement (PLEX received day 0-1 or after day 20)</w:t>
            </w:r>
          </w:p>
        </w:tc>
        <w:tc>
          <w:tcPr>
            <w:tcW w:w="570" w:type="pct"/>
          </w:tcPr>
          <w:p w14:paraId="5938B64C" w14:textId="77777777" w:rsidR="00433B47" w:rsidRDefault="00433B47" w:rsidP="00433B47">
            <w:pPr>
              <w:keepNext/>
              <w:keepLines/>
              <w:rPr>
                <w:rFonts w:ascii="Arial Narrow" w:hAnsi="Arial Narrow"/>
                <w:sz w:val="16"/>
                <w:szCs w:val="16"/>
              </w:rPr>
            </w:pPr>
            <w:r>
              <w:rPr>
                <w:rFonts w:ascii="Arial Narrow" w:hAnsi="Arial Narrow"/>
                <w:sz w:val="16"/>
                <w:szCs w:val="16"/>
              </w:rPr>
              <w:t>K=1 observational study</w:t>
            </w:r>
          </w:p>
          <w:p w14:paraId="6FB661E4" w14:textId="77777777" w:rsidR="00433B47" w:rsidRDefault="00433B47" w:rsidP="00433B47">
            <w:pPr>
              <w:keepNext/>
              <w:keepLines/>
              <w:rPr>
                <w:rFonts w:ascii="Arial Narrow" w:hAnsi="Arial Narrow"/>
                <w:sz w:val="16"/>
                <w:szCs w:val="16"/>
              </w:rPr>
            </w:pPr>
            <w:r>
              <w:rPr>
                <w:rFonts w:ascii="Arial Narrow" w:hAnsi="Arial Narrow"/>
                <w:sz w:val="16"/>
                <w:szCs w:val="16"/>
              </w:rPr>
              <w:t>N=60</w:t>
            </w:r>
          </w:p>
        </w:tc>
        <w:tc>
          <w:tcPr>
            <w:tcW w:w="533" w:type="pct"/>
            <w:hideMark/>
          </w:tcPr>
          <w:p w14:paraId="42D65154" w14:textId="77777777" w:rsidR="00433B47" w:rsidRPr="005801A9" w:rsidRDefault="00433B47" w:rsidP="00433B47">
            <w:pPr>
              <w:keepNext/>
              <w:keepLines/>
              <w:rPr>
                <w:rFonts w:ascii="Arial Narrow" w:hAnsi="Arial Narrow"/>
                <w:sz w:val="16"/>
                <w:szCs w:val="16"/>
              </w:rPr>
            </w:pPr>
            <w:r>
              <w:rPr>
                <w:rFonts w:ascii="Arial Narrow" w:hAnsi="Arial Narrow"/>
                <w:sz w:val="16"/>
                <w:szCs w:val="16"/>
              </w:rPr>
              <w:t>P=0.02</w:t>
            </w:r>
          </w:p>
        </w:tc>
        <w:tc>
          <w:tcPr>
            <w:tcW w:w="432" w:type="pct"/>
            <w:hideMark/>
          </w:tcPr>
          <w:p w14:paraId="32FAD3C4" w14:textId="77777777" w:rsidR="00433B47" w:rsidRPr="005801A9" w:rsidRDefault="00433B47" w:rsidP="00433B47">
            <w:pPr>
              <w:keepNext/>
              <w:keepLines/>
              <w:rPr>
                <w:rFonts w:ascii="Arial Narrow" w:hAnsi="Arial Narrow"/>
                <w:sz w:val="16"/>
                <w:szCs w:val="16"/>
              </w:rPr>
            </w:pPr>
            <w:r>
              <w:rPr>
                <w:rFonts w:ascii="Arial Narrow" w:hAnsi="Arial Narrow"/>
                <w:sz w:val="16"/>
                <w:szCs w:val="16"/>
              </w:rPr>
              <w:t>NA</w:t>
            </w:r>
          </w:p>
        </w:tc>
        <w:tc>
          <w:tcPr>
            <w:tcW w:w="544" w:type="pct"/>
            <w:hideMark/>
          </w:tcPr>
          <w:p w14:paraId="5B9ACE48" w14:textId="77777777" w:rsidR="00433B47" w:rsidRPr="005801A9" w:rsidRDefault="00433B47" w:rsidP="00433B47">
            <w:pPr>
              <w:keepNext/>
              <w:keepLines/>
              <w:rPr>
                <w:rFonts w:ascii="Arial Narrow" w:hAnsi="Arial Narrow"/>
                <w:sz w:val="16"/>
                <w:szCs w:val="16"/>
              </w:rPr>
            </w:pPr>
            <w:r>
              <w:rPr>
                <w:rFonts w:ascii="Cambria Math" w:hAnsi="Cambria Math"/>
                <w:color w:val="00B050"/>
              </w:rPr>
              <w:t>⨁⨁</w:t>
            </w:r>
            <w:r w:rsidRPr="00D4733A">
              <w:rPr>
                <w:rFonts w:ascii="Cambria Math" w:hAnsi="Cambria Math" w:cs="Cambria Math"/>
                <w:color w:val="C00000"/>
              </w:rPr>
              <w:t>⨀⨀</w:t>
            </w:r>
            <w:r w:rsidRPr="005801A9">
              <w:rPr>
                <w:rFonts w:ascii="Arial Narrow" w:hAnsi="Arial Narrow"/>
                <w:sz w:val="16"/>
                <w:szCs w:val="16"/>
              </w:rPr>
              <w:br/>
              <w:t xml:space="preserve">LOW </w:t>
            </w:r>
          </w:p>
        </w:tc>
        <w:tc>
          <w:tcPr>
            <w:tcW w:w="2350" w:type="pct"/>
          </w:tcPr>
          <w:p w14:paraId="5CE89651" w14:textId="77777777" w:rsidR="00433B47" w:rsidRDefault="00433B47" w:rsidP="00433B47">
            <w:pPr>
              <w:keepNext/>
              <w:keepLines/>
              <w:rPr>
                <w:rFonts w:ascii="Arial Narrow" w:hAnsi="Arial Narrow"/>
                <w:sz w:val="16"/>
                <w:szCs w:val="16"/>
              </w:rPr>
            </w:pPr>
            <w:r>
              <w:rPr>
                <w:rFonts w:ascii="Arial Narrow" w:hAnsi="Arial Narrow"/>
                <w:sz w:val="16"/>
                <w:szCs w:val="16"/>
              </w:rPr>
              <w:t>The probability of complete improvement was much higher in the group treated early (50%) compared with those treated late (5%). There was a strong association between early treatment and better outcome. Due to risk of bias, there is low confidence in the effect.</w:t>
            </w:r>
          </w:p>
        </w:tc>
      </w:tr>
      <w:tr w:rsidR="00433B47" w:rsidRPr="005801A9" w14:paraId="0AD7F9A3" w14:textId="77777777" w:rsidTr="00F23742">
        <w:trPr>
          <w:cantSplit/>
        </w:trPr>
        <w:tc>
          <w:tcPr>
            <w:tcW w:w="572" w:type="pct"/>
            <w:gridSpan w:val="2"/>
          </w:tcPr>
          <w:p w14:paraId="3EA6F3C2" w14:textId="77777777" w:rsidR="00433B47" w:rsidRPr="005801A9" w:rsidRDefault="00433B47" w:rsidP="00433B47">
            <w:pPr>
              <w:rPr>
                <w:rFonts w:ascii="Arial Narrow" w:hAnsi="Arial Narrow"/>
                <w:sz w:val="16"/>
                <w:szCs w:val="16"/>
              </w:rPr>
            </w:pPr>
            <w:r>
              <w:rPr>
                <w:rFonts w:ascii="Arial Narrow" w:hAnsi="Arial Narrow"/>
                <w:sz w:val="16"/>
                <w:szCs w:val="16"/>
              </w:rPr>
              <w:t>Time to next relapse on AZA (months)</w:t>
            </w:r>
          </w:p>
        </w:tc>
        <w:tc>
          <w:tcPr>
            <w:tcW w:w="570" w:type="pct"/>
          </w:tcPr>
          <w:p w14:paraId="25E2423A" w14:textId="77777777" w:rsidR="00433B47" w:rsidRDefault="00433B47" w:rsidP="00433B47">
            <w:pPr>
              <w:rPr>
                <w:rFonts w:ascii="Arial Narrow" w:hAnsi="Arial Narrow"/>
                <w:sz w:val="16"/>
                <w:szCs w:val="16"/>
              </w:rPr>
            </w:pPr>
            <w:r>
              <w:rPr>
                <w:rFonts w:ascii="Arial Narrow" w:hAnsi="Arial Narrow"/>
                <w:sz w:val="16"/>
                <w:szCs w:val="16"/>
              </w:rPr>
              <w:t>K=1 observational study</w:t>
            </w:r>
          </w:p>
          <w:p w14:paraId="7413825C" w14:textId="77777777" w:rsidR="00433B47" w:rsidRPr="005801A9" w:rsidRDefault="00433B47" w:rsidP="00433B47">
            <w:pPr>
              <w:rPr>
                <w:rFonts w:ascii="Arial Narrow" w:hAnsi="Arial Narrow"/>
                <w:sz w:val="16"/>
                <w:szCs w:val="16"/>
              </w:rPr>
            </w:pPr>
            <w:r>
              <w:rPr>
                <w:rFonts w:ascii="Arial Narrow" w:hAnsi="Arial Narrow"/>
                <w:sz w:val="16"/>
                <w:szCs w:val="16"/>
              </w:rPr>
              <w:t>N=38</w:t>
            </w:r>
          </w:p>
        </w:tc>
        <w:tc>
          <w:tcPr>
            <w:tcW w:w="533" w:type="pct"/>
          </w:tcPr>
          <w:p w14:paraId="2B7CF4B7" w14:textId="77777777" w:rsidR="00433B47" w:rsidRPr="005801A9" w:rsidRDefault="00433B47" w:rsidP="00433B47">
            <w:pPr>
              <w:rPr>
                <w:rFonts w:ascii="Arial Narrow" w:hAnsi="Arial Narrow"/>
                <w:sz w:val="16"/>
                <w:szCs w:val="16"/>
              </w:rPr>
            </w:pPr>
            <w:r w:rsidRPr="005801A9">
              <w:rPr>
                <w:rFonts w:ascii="Arial Narrow" w:hAnsi="Arial Narrow"/>
                <w:sz w:val="16"/>
                <w:szCs w:val="16"/>
              </w:rPr>
              <w:t>p=0.025</w:t>
            </w:r>
          </w:p>
        </w:tc>
        <w:tc>
          <w:tcPr>
            <w:tcW w:w="432" w:type="pct"/>
          </w:tcPr>
          <w:p w14:paraId="73C4DC88" w14:textId="77777777" w:rsidR="00433B47" w:rsidRPr="005801A9" w:rsidRDefault="00433B47" w:rsidP="00433B47">
            <w:pPr>
              <w:rPr>
                <w:rFonts w:ascii="Arial Narrow" w:hAnsi="Arial Narrow"/>
                <w:sz w:val="16"/>
                <w:szCs w:val="16"/>
              </w:rPr>
            </w:pPr>
            <w:r>
              <w:rPr>
                <w:rFonts w:ascii="Arial Narrow" w:hAnsi="Arial Narrow"/>
                <w:sz w:val="16"/>
                <w:szCs w:val="16"/>
              </w:rPr>
              <w:t>NA</w:t>
            </w:r>
          </w:p>
        </w:tc>
        <w:tc>
          <w:tcPr>
            <w:tcW w:w="544" w:type="pct"/>
            <w:hideMark/>
          </w:tcPr>
          <w:p w14:paraId="624D3541" w14:textId="77777777" w:rsidR="00433B47" w:rsidRPr="005801A9" w:rsidRDefault="00433B47" w:rsidP="00433B47">
            <w:pPr>
              <w:rPr>
                <w:rFonts w:ascii="Arial Narrow" w:hAnsi="Arial Narrow"/>
                <w:sz w:val="16"/>
                <w:szCs w:val="16"/>
              </w:rPr>
            </w:pPr>
            <w:r>
              <w:rPr>
                <w:rFonts w:ascii="Cambria Math" w:hAnsi="Cambria Math"/>
                <w:color w:val="00B050"/>
              </w:rPr>
              <w:t>⨁⨁</w:t>
            </w:r>
            <w:r w:rsidRPr="00D4733A">
              <w:rPr>
                <w:rFonts w:ascii="Cambria Math" w:hAnsi="Cambria Math" w:cs="Cambria Math"/>
                <w:color w:val="C00000"/>
              </w:rPr>
              <w:t>⨀⨀</w:t>
            </w:r>
            <w:r w:rsidRPr="005801A9">
              <w:rPr>
                <w:rFonts w:ascii="Arial Narrow" w:hAnsi="Arial Narrow"/>
                <w:sz w:val="16"/>
                <w:szCs w:val="16"/>
              </w:rPr>
              <w:br/>
              <w:t xml:space="preserve">LOW </w:t>
            </w:r>
          </w:p>
        </w:tc>
        <w:tc>
          <w:tcPr>
            <w:tcW w:w="2350" w:type="pct"/>
          </w:tcPr>
          <w:p w14:paraId="4700F586" w14:textId="77777777" w:rsidR="00433B47" w:rsidRDefault="00433B47" w:rsidP="00433B47">
            <w:pPr>
              <w:rPr>
                <w:rFonts w:ascii="Arial Narrow" w:hAnsi="Arial Narrow"/>
                <w:sz w:val="16"/>
                <w:szCs w:val="16"/>
              </w:rPr>
            </w:pPr>
            <w:r>
              <w:rPr>
                <w:rFonts w:ascii="Arial Narrow" w:hAnsi="Arial Narrow"/>
                <w:sz w:val="16"/>
                <w:szCs w:val="16"/>
              </w:rPr>
              <w:t>The time to next relapse on AZA was nearly twice as long in the late (32.74 months) compared to the early treated group (17.17 months). There was a strong association between early treatment and better outcome. Due to risk of bias, there is low confidence in the effect.</w:t>
            </w:r>
          </w:p>
        </w:tc>
      </w:tr>
      <w:tr w:rsidR="00433B47" w:rsidRPr="005801A9" w14:paraId="2425204C" w14:textId="77777777" w:rsidTr="00F23742">
        <w:trPr>
          <w:cantSplit/>
        </w:trPr>
        <w:tc>
          <w:tcPr>
            <w:tcW w:w="572" w:type="pct"/>
            <w:gridSpan w:val="2"/>
          </w:tcPr>
          <w:p w14:paraId="1A90A188" w14:textId="77777777" w:rsidR="00433B47" w:rsidRDefault="00433B47" w:rsidP="00433B47">
            <w:pPr>
              <w:rPr>
                <w:rFonts w:ascii="Arial Narrow" w:hAnsi="Arial Narrow"/>
                <w:sz w:val="16"/>
                <w:szCs w:val="16"/>
              </w:rPr>
            </w:pPr>
            <w:r>
              <w:rPr>
                <w:rFonts w:ascii="Arial Narrow" w:hAnsi="Arial Narrow"/>
                <w:sz w:val="16"/>
                <w:szCs w:val="16"/>
              </w:rPr>
              <w:t>Duration of remission on AZA (&lt;7 days or &gt;7 days)</w:t>
            </w:r>
          </w:p>
        </w:tc>
        <w:tc>
          <w:tcPr>
            <w:tcW w:w="570" w:type="pct"/>
          </w:tcPr>
          <w:p w14:paraId="3991A48A" w14:textId="77777777" w:rsidR="00433B47" w:rsidRDefault="00433B47" w:rsidP="00433B47">
            <w:pPr>
              <w:rPr>
                <w:rFonts w:ascii="Arial Narrow" w:hAnsi="Arial Narrow"/>
                <w:sz w:val="16"/>
                <w:szCs w:val="16"/>
              </w:rPr>
            </w:pPr>
            <w:r>
              <w:rPr>
                <w:rFonts w:ascii="Arial Narrow" w:hAnsi="Arial Narrow"/>
                <w:sz w:val="16"/>
                <w:szCs w:val="16"/>
              </w:rPr>
              <w:t>K=1 observational study</w:t>
            </w:r>
          </w:p>
          <w:p w14:paraId="23621C93" w14:textId="77777777" w:rsidR="00433B47" w:rsidRDefault="00433B47" w:rsidP="00433B47">
            <w:pPr>
              <w:rPr>
                <w:rFonts w:ascii="Arial Narrow" w:hAnsi="Arial Narrow"/>
                <w:sz w:val="16"/>
                <w:szCs w:val="16"/>
              </w:rPr>
            </w:pPr>
            <w:r>
              <w:rPr>
                <w:rFonts w:ascii="Arial Narrow" w:hAnsi="Arial Narrow"/>
                <w:sz w:val="16"/>
                <w:szCs w:val="16"/>
              </w:rPr>
              <w:t>N=38</w:t>
            </w:r>
          </w:p>
        </w:tc>
        <w:tc>
          <w:tcPr>
            <w:tcW w:w="533" w:type="pct"/>
          </w:tcPr>
          <w:p w14:paraId="05EEF019" w14:textId="77777777" w:rsidR="00433B47" w:rsidRDefault="00433B47" w:rsidP="00433B47">
            <w:pPr>
              <w:rPr>
                <w:rFonts w:ascii="Arial Narrow" w:hAnsi="Arial Narrow"/>
                <w:sz w:val="16"/>
                <w:szCs w:val="16"/>
              </w:rPr>
            </w:pPr>
            <w:r w:rsidRPr="005801A9">
              <w:rPr>
                <w:rFonts w:ascii="Arial Narrow" w:hAnsi="Arial Narrow"/>
                <w:sz w:val="16"/>
                <w:szCs w:val="16"/>
              </w:rPr>
              <w:t xml:space="preserve">HR 0.250 </w:t>
            </w:r>
            <w:r>
              <w:rPr>
                <w:rFonts w:ascii="Arial Narrow" w:hAnsi="Arial Narrow"/>
                <w:sz w:val="16"/>
                <w:szCs w:val="16"/>
              </w:rPr>
              <w:br/>
            </w:r>
            <w:r w:rsidRPr="005801A9">
              <w:rPr>
                <w:rFonts w:ascii="Arial Narrow" w:hAnsi="Arial Narrow"/>
                <w:sz w:val="16"/>
                <w:szCs w:val="16"/>
              </w:rPr>
              <w:t>(</w:t>
            </w:r>
            <w:r w:rsidRPr="0006002E">
              <w:rPr>
                <w:rFonts w:ascii="Arial Narrow" w:hAnsi="Arial Narrow"/>
                <w:sz w:val="16"/>
                <w:szCs w:val="16"/>
              </w:rPr>
              <w:t>0.072, 0.867</w:t>
            </w:r>
            <w:r w:rsidRPr="005801A9">
              <w:rPr>
                <w:rFonts w:ascii="Arial Narrow" w:hAnsi="Arial Narrow"/>
                <w:sz w:val="16"/>
                <w:szCs w:val="16"/>
              </w:rPr>
              <w:t>)</w:t>
            </w:r>
          </w:p>
          <w:p w14:paraId="3A7DA781" w14:textId="77777777" w:rsidR="00433B47" w:rsidRDefault="00433B47" w:rsidP="00433B47">
            <w:pPr>
              <w:rPr>
                <w:rFonts w:ascii="Arial Narrow" w:hAnsi="Arial Narrow"/>
                <w:sz w:val="16"/>
                <w:szCs w:val="16"/>
              </w:rPr>
            </w:pPr>
            <w:r>
              <w:rPr>
                <w:rFonts w:ascii="Arial Narrow" w:hAnsi="Arial Narrow"/>
                <w:sz w:val="16"/>
                <w:szCs w:val="16"/>
              </w:rPr>
              <w:t>P=0.029</w:t>
            </w:r>
          </w:p>
        </w:tc>
        <w:tc>
          <w:tcPr>
            <w:tcW w:w="432" w:type="pct"/>
          </w:tcPr>
          <w:p w14:paraId="018FD117" w14:textId="77777777" w:rsidR="00433B47" w:rsidRPr="005801A9" w:rsidRDefault="00433B47" w:rsidP="00433B47">
            <w:pPr>
              <w:rPr>
                <w:rFonts w:ascii="Arial Narrow" w:hAnsi="Arial Narrow"/>
                <w:sz w:val="16"/>
                <w:szCs w:val="16"/>
              </w:rPr>
            </w:pPr>
            <w:r>
              <w:rPr>
                <w:rFonts w:ascii="Arial Narrow" w:hAnsi="Arial Narrow"/>
                <w:sz w:val="16"/>
                <w:szCs w:val="16"/>
              </w:rPr>
              <w:t>NA</w:t>
            </w:r>
          </w:p>
        </w:tc>
        <w:tc>
          <w:tcPr>
            <w:tcW w:w="544" w:type="pct"/>
            <w:hideMark/>
          </w:tcPr>
          <w:p w14:paraId="05550EF0" w14:textId="77777777" w:rsidR="00433B47" w:rsidRPr="005801A9" w:rsidRDefault="00433B47" w:rsidP="00433B47">
            <w:pPr>
              <w:rPr>
                <w:rFonts w:ascii="Arial Narrow" w:hAnsi="Arial Narrow"/>
                <w:sz w:val="16"/>
                <w:szCs w:val="16"/>
              </w:rPr>
            </w:pPr>
            <w:r>
              <w:rPr>
                <w:rFonts w:ascii="Cambria Math" w:hAnsi="Cambria Math"/>
                <w:color w:val="00B050"/>
              </w:rPr>
              <w:t>⨁⨁</w:t>
            </w:r>
            <w:r w:rsidRPr="00D4733A">
              <w:rPr>
                <w:rFonts w:ascii="Cambria Math" w:hAnsi="Cambria Math" w:cs="Cambria Math"/>
                <w:color w:val="C00000"/>
              </w:rPr>
              <w:t>⨀⨀</w:t>
            </w:r>
            <w:r w:rsidRPr="005801A9">
              <w:rPr>
                <w:rFonts w:ascii="Arial Narrow" w:hAnsi="Arial Narrow"/>
                <w:sz w:val="16"/>
                <w:szCs w:val="16"/>
              </w:rPr>
              <w:br/>
              <w:t xml:space="preserve">LOW </w:t>
            </w:r>
          </w:p>
        </w:tc>
        <w:tc>
          <w:tcPr>
            <w:tcW w:w="2350" w:type="pct"/>
          </w:tcPr>
          <w:p w14:paraId="2B2ACDC7" w14:textId="77777777" w:rsidR="00433B47" w:rsidRDefault="00433B47" w:rsidP="00433B47">
            <w:pPr>
              <w:rPr>
                <w:rFonts w:ascii="Arial Narrow" w:hAnsi="Arial Narrow"/>
                <w:sz w:val="16"/>
                <w:szCs w:val="16"/>
              </w:rPr>
            </w:pPr>
            <w:r>
              <w:rPr>
                <w:rFonts w:ascii="Arial Narrow" w:hAnsi="Arial Narrow"/>
                <w:sz w:val="16"/>
                <w:szCs w:val="16"/>
              </w:rPr>
              <w:t>The duration of remission for those who received AZA &lt;7 days from attack was longer compared to those who received AZA &gt;7 days from attack. There was a strong association between early treatment and better outcome. Due to risk of bias, there is low confidence in the effect.</w:t>
            </w:r>
          </w:p>
        </w:tc>
      </w:tr>
      <w:tr w:rsidR="00433B47" w:rsidRPr="005801A9" w14:paraId="6C1DD9E5" w14:textId="77777777" w:rsidTr="00F23742">
        <w:trPr>
          <w:cantSplit/>
        </w:trPr>
        <w:tc>
          <w:tcPr>
            <w:tcW w:w="572" w:type="pct"/>
            <w:gridSpan w:val="2"/>
          </w:tcPr>
          <w:p w14:paraId="3F54C55C" w14:textId="77777777" w:rsidR="00433B47" w:rsidRDefault="00433B47" w:rsidP="00433B47">
            <w:pPr>
              <w:rPr>
                <w:rFonts w:ascii="Arial Narrow" w:hAnsi="Arial Narrow"/>
                <w:sz w:val="16"/>
                <w:szCs w:val="16"/>
              </w:rPr>
            </w:pPr>
            <w:r>
              <w:rPr>
                <w:rFonts w:ascii="Arial Narrow" w:hAnsi="Arial Narrow"/>
                <w:sz w:val="16"/>
                <w:szCs w:val="16"/>
              </w:rPr>
              <w:t>Failure to regain 20/30 vision on IVMP (&lt;7 days or &gt;7 days)</w:t>
            </w:r>
          </w:p>
        </w:tc>
        <w:tc>
          <w:tcPr>
            <w:tcW w:w="570" w:type="pct"/>
          </w:tcPr>
          <w:p w14:paraId="32243007" w14:textId="77777777" w:rsidR="00433B47" w:rsidRDefault="00433B47" w:rsidP="00433B47">
            <w:pPr>
              <w:rPr>
                <w:rFonts w:ascii="Arial Narrow" w:hAnsi="Arial Narrow"/>
                <w:sz w:val="16"/>
                <w:szCs w:val="16"/>
              </w:rPr>
            </w:pPr>
            <w:r>
              <w:rPr>
                <w:rFonts w:ascii="Arial Narrow" w:hAnsi="Arial Narrow"/>
                <w:sz w:val="16"/>
                <w:szCs w:val="16"/>
              </w:rPr>
              <w:t>K=1 observational study</w:t>
            </w:r>
          </w:p>
          <w:p w14:paraId="3153575B" w14:textId="77777777" w:rsidR="00433B47" w:rsidRDefault="00433B47" w:rsidP="00433B47">
            <w:pPr>
              <w:rPr>
                <w:rFonts w:ascii="Arial Narrow" w:hAnsi="Arial Narrow"/>
                <w:sz w:val="16"/>
                <w:szCs w:val="16"/>
              </w:rPr>
            </w:pPr>
            <w:r>
              <w:rPr>
                <w:rFonts w:ascii="Arial Narrow" w:hAnsi="Arial Narrow"/>
                <w:sz w:val="16"/>
                <w:szCs w:val="16"/>
              </w:rPr>
              <w:t>N=36</w:t>
            </w:r>
          </w:p>
        </w:tc>
        <w:tc>
          <w:tcPr>
            <w:tcW w:w="533" w:type="pct"/>
          </w:tcPr>
          <w:p w14:paraId="654B1D97" w14:textId="77777777" w:rsidR="00433B47" w:rsidRDefault="00433B47" w:rsidP="00433B47">
            <w:pPr>
              <w:rPr>
                <w:rFonts w:ascii="Arial Narrow" w:hAnsi="Arial Narrow"/>
                <w:sz w:val="16"/>
                <w:szCs w:val="16"/>
              </w:rPr>
            </w:pPr>
            <w:r w:rsidRPr="005801A9">
              <w:rPr>
                <w:rFonts w:ascii="Arial Narrow" w:hAnsi="Arial Narrow"/>
                <w:sz w:val="16"/>
                <w:szCs w:val="16"/>
              </w:rPr>
              <w:t xml:space="preserve">OR 10.0 </w:t>
            </w:r>
            <w:r>
              <w:rPr>
                <w:rFonts w:ascii="Arial Narrow" w:hAnsi="Arial Narrow"/>
                <w:sz w:val="16"/>
                <w:szCs w:val="16"/>
              </w:rPr>
              <w:br/>
            </w:r>
            <w:r w:rsidRPr="005801A9">
              <w:rPr>
                <w:rFonts w:ascii="Arial Narrow" w:hAnsi="Arial Narrow"/>
                <w:sz w:val="16"/>
                <w:szCs w:val="16"/>
              </w:rPr>
              <w:t>(1.39, 71.86)</w:t>
            </w:r>
          </w:p>
          <w:p w14:paraId="0DBB1A67" w14:textId="77777777" w:rsidR="00433B47" w:rsidRPr="005801A9" w:rsidRDefault="00433B47" w:rsidP="00433B47">
            <w:pPr>
              <w:rPr>
                <w:rFonts w:ascii="Arial Narrow" w:hAnsi="Arial Narrow"/>
                <w:sz w:val="16"/>
                <w:szCs w:val="16"/>
              </w:rPr>
            </w:pPr>
            <w:r w:rsidRPr="005801A9">
              <w:rPr>
                <w:rFonts w:ascii="Arial Narrow" w:hAnsi="Arial Narrow"/>
                <w:sz w:val="16"/>
                <w:szCs w:val="16"/>
              </w:rPr>
              <w:t>p=0.01</w:t>
            </w:r>
          </w:p>
        </w:tc>
        <w:tc>
          <w:tcPr>
            <w:tcW w:w="432" w:type="pct"/>
          </w:tcPr>
          <w:p w14:paraId="5DF08E26" w14:textId="77777777" w:rsidR="00433B47" w:rsidRPr="005801A9" w:rsidRDefault="00433B47" w:rsidP="00433B47">
            <w:pPr>
              <w:rPr>
                <w:rFonts w:ascii="Arial Narrow" w:hAnsi="Arial Narrow"/>
                <w:sz w:val="16"/>
                <w:szCs w:val="16"/>
              </w:rPr>
            </w:pPr>
            <w:r>
              <w:rPr>
                <w:rFonts w:ascii="Arial Narrow" w:hAnsi="Arial Narrow"/>
                <w:sz w:val="16"/>
                <w:szCs w:val="16"/>
              </w:rPr>
              <w:t>NA</w:t>
            </w:r>
          </w:p>
        </w:tc>
        <w:tc>
          <w:tcPr>
            <w:tcW w:w="544" w:type="pct"/>
            <w:hideMark/>
          </w:tcPr>
          <w:p w14:paraId="708A3280" w14:textId="77777777" w:rsidR="00433B47" w:rsidRPr="005801A9" w:rsidRDefault="00433B47" w:rsidP="00433B47">
            <w:pPr>
              <w:rPr>
                <w:rFonts w:ascii="Arial Narrow" w:hAnsi="Arial Narrow"/>
                <w:sz w:val="16"/>
                <w:szCs w:val="16"/>
              </w:rPr>
            </w:pPr>
            <w:r w:rsidRPr="00D4733A">
              <w:rPr>
                <w:rFonts w:ascii="Cambria Math" w:hAnsi="Cambria Math"/>
                <w:color w:val="00B050"/>
              </w:rPr>
              <w:t>⨁⨁⨁</w:t>
            </w:r>
            <w:r w:rsidRPr="00D4733A">
              <w:rPr>
                <w:rFonts w:ascii="Cambria Math" w:hAnsi="Cambria Math" w:cs="Cambria Math"/>
                <w:color w:val="C00000"/>
              </w:rPr>
              <w:t>⨀</w:t>
            </w:r>
            <w:r w:rsidRPr="005801A9">
              <w:rPr>
                <w:rFonts w:ascii="Arial Narrow" w:hAnsi="Arial Narrow"/>
                <w:sz w:val="16"/>
                <w:szCs w:val="16"/>
              </w:rPr>
              <w:br/>
              <w:t xml:space="preserve">MODERATE </w:t>
            </w:r>
          </w:p>
        </w:tc>
        <w:tc>
          <w:tcPr>
            <w:tcW w:w="2350" w:type="pct"/>
          </w:tcPr>
          <w:p w14:paraId="00C04B85" w14:textId="77777777" w:rsidR="00433B47" w:rsidRDefault="00433B47" w:rsidP="00433B47">
            <w:pPr>
              <w:rPr>
                <w:rFonts w:ascii="Arial Narrow" w:hAnsi="Arial Narrow"/>
                <w:sz w:val="16"/>
                <w:szCs w:val="16"/>
              </w:rPr>
            </w:pPr>
            <w:r>
              <w:rPr>
                <w:rFonts w:ascii="Arial Narrow" w:hAnsi="Arial Narrow"/>
                <w:sz w:val="16"/>
                <w:szCs w:val="16"/>
              </w:rPr>
              <w:t>The odds of failing to regain 20/30 vision for NMOSD patients with ON were much higher in those who received IVMP &gt;7 days from attack compared to &lt;7 days from attack. There was a very strong association between early treatment and better visual outcome.</w:t>
            </w:r>
            <w:r>
              <w:rPr>
                <w:rFonts w:ascii="Arial Narrow" w:hAnsi="Arial Narrow"/>
                <w:bCs/>
                <w:sz w:val="16"/>
                <w:szCs w:val="16"/>
              </w:rPr>
              <w:t xml:space="preserve"> There is moderate confidence that the effect is true.</w:t>
            </w:r>
          </w:p>
        </w:tc>
      </w:tr>
      <w:tr w:rsidR="00433B47" w:rsidRPr="005801A9" w14:paraId="6E972A4A" w14:textId="77777777" w:rsidTr="00F23742">
        <w:trPr>
          <w:cantSplit/>
        </w:trPr>
        <w:tc>
          <w:tcPr>
            <w:tcW w:w="572" w:type="pct"/>
            <w:gridSpan w:val="2"/>
          </w:tcPr>
          <w:p w14:paraId="503D2951" w14:textId="77777777" w:rsidR="00433B47" w:rsidRDefault="00433B47" w:rsidP="00433B47">
            <w:pPr>
              <w:rPr>
                <w:rFonts w:ascii="Arial Narrow" w:hAnsi="Arial Narrow"/>
                <w:sz w:val="16"/>
                <w:szCs w:val="16"/>
              </w:rPr>
            </w:pPr>
            <w:r>
              <w:rPr>
                <w:rFonts w:ascii="Arial Narrow" w:hAnsi="Arial Narrow"/>
                <w:sz w:val="16"/>
                <w:szCs w:val="16"/>
              </w:rPr>
              <w:t>Likelihood of failure to regain 20/20 vision on IVMP (&lt;4 days or &gt;4 days)</w:t>
            </w:r>
          </w:p>
        </w:tc>
        <w:tc>
          <w:tcPr>
            <w:tcW w:w="570" w:type="pct"/>
          </w:tcPr>
          <w:p w14:paraId="5566E8DC" w14:textId="77777777" w:rsidR="00433B47" w:rsidRDefault="00433B47" w:rsidP="00433B47">
            <w:pPr>
              <w:rPr>
                <w:rFonts w:ascii="Arial Narrow" w:hAnsi="Arial Narrow"/>
                <w:sz w:val="16"/>
                <w:szCs w:val="16"/>
              </w:rPr>
            </w:pPr>
            <w:r>
              <w:rPr>
                <w:rFonts w:ascii="Arial Narrow" w:hAnsi="Arial Narrow"/>
                <w:sz w:val="16"/>
                <w:szCs w:val="16"/>
              </w:rPr>
              <w:t>K=1 observational study</w:t>
            </w:r>
          </w:p>
          <w:p w14:paraId="680010FE" w14:textId="77777777" w:rsidR="00433B47" w:rsidRDefault="00433B47" w:rsidP="00433B47">
            <w:pPr>
              <w:rPr>
                <w:rFonts w:ascii="Arial Narrow" w:hAnsi="Arial Narrow"/>
                <w:sz w:val="16"/>
                <w:szCs w:val="16"/>
              </w:rPr>
            </w:pPr>
            <w:r>
              <w:rPr>
                <w:rFonts w:ascii="Arial Narrow" w:hAnsi="Arial Narrow"/>
                <w:sz w:val="16"/>
                <w:szCs w:val="16"/>
              </w:rPr>
              <w:t>N=36</w:t>
            </w:r>
          </w:p>
        </w:tc>
        <w:tc>
          <w:tcPr>
            <w:tcW w:w="533" w:type="pct"/>
          </w:tcPr>
          <w:p w14:paraId="6598CEA4" w14:textId="77777777" w:rsidR="00433B47" w:rsidRDefault="00433B47" w:rsidP="00433B47">
            <w:pPr>
              <w:rPr>
                <w:rFonts w:ascii="Arial Narrow" w:hAnsi="Arial Narrow"/>
                <w:sz w:val="16"/>
                <w:szCs w:val="16"/>
              </w:rPr>
            </w:pPr>
            <w:r w:rsidRPr="005801A9">
              <w:rPr>
                <w:rFonts w:ascii="Arial Narrow" w:hAnsi="Arial Narrow"/>
                <w:sz w:val="16"/>
                <w:szCs w:val="16"/>
              </w:rPr>
              <w:t xml:space="preserve">OR 8.33 </w:t>
            </w:r>
            <w:r>
              <w:rPr>
                <w:rFonts w:ascii="Arial Narrow" w:hAnsi="Arial Narrow"/>
                <w:sz w:val="16"/>
                <w:szCs w:val="16"/>
              </w:rPr>
              <w:br/>
            </w:r>
            <w:r w:rsidRPr="005801A9">
              <w:rPr>
                <w:rFonts w:ascii="Arial Narrow" w:hAnsi="Arial Narrow"/>
                <w:sz w:val="16"/>
                <w:szCs w:val="16"/>
              </w:rPr>
              <w:t>(1.47, 47.22)</w:t>
            </w:r>
          </w:p>
          <w:p w14:paraId="323C58C6" w14:textId="77777777" w:rsidR="00433B47" w:rsidRDefault="00433B47" w:rsidP="00433B47">
            <w:pPr>
              <w:rPr>
                <w:rFonts w:ascii="Arial Narrow" w:hAnsi="Arial Narrow"/>
                <w:sz w:val="16"/>
                <w:szCs w:val="16"/>
              </w:rPr>
            </w:pPr>
            <w:r w:rsidRPr="005801A9">
              <w:rPr>
                <w:rFonts w:ascii="Arial Narrow" w:hAnsi="Arial Narrow"/>
                <w:sz w:val="16"/>
                <w:szCs w:val="16"/>
              </w:rPr>
              <w:t>p=0.01</w:t>
            </w:r>
          </w:p>
        </w:tc>
        <w:tc>
          <w:tcPr>
            <w:tcW w:w="432" w:type="pct"/>
          </w:tcPr>
          <w:p w14:paraId="50266CAF" w14:textId="77777777" w:rsidR="00433B47" w:rsidRPr="005801A9" w:rsidRDefault="00433B47" w:rsidP="00433B47">
            <w:pPr>
              <w:rPr>
                <w:rFonts w:ascii="Arial Narrow" w:hAnsi="Arial Narrow"/>
                <w:sz w:val="16"/>
                <w:szCs w:val="16"/>
              </w:rPr>
            </w:pPr>
            <w:r>
              <w:rPr>
                <w:rFonts w:ascii="Arial Narrow" w:hAnsi="Arial Narrow"/>
                <w:sz w:val="16"/>
                <w:szCs w:val="16"/>
              </w:rPr>
              <w:t>NA</w:t>
            </w:r>
          </w:p>
        </w:tc>
        <w:tc>
          <w:tcPr>
            <w:tcW w:w="544" w:type="pct"/>
            <w:hideMark/>
          </w:tcPr>
          <w:p w14:paraId="6D245DB9" w14:textId="77777777" w:rsidR="00433B47" w:rsidRPr="005801A9" w:rsidRDefault="00433B47" w:rsidP="00433B47">
            <w:pPr>
              <w:rPr>
                <w:rFonts w:ascii="Arial Narrow" w:hAnsi="Arial Narrow"/>
                <w:sz w:val="16"/>
                <w:szCs w:val="16"/>
              </w:rPr>
            </w:pPr>
            <w:r w:rsidRPr="00D4733A">
              <w:rPr>
                <w:rFonts w:ascii="Cambria Math" w:hAnsi="Cambria Math"/>
                <w:color w:val="00B050"/>
              </w:rPr>
              <w:t>⨁⨁⨁</w:t>
            </w:r>
            <w:r w:rsidRPr="00D4733A">
              <w:rPr>
                <w:rFonts w:ascii="Cambria Math" w:hAnsi="Cambria Math" w:cs="Cambria Math"/>
                <w:color w:val="C00000"/>
              </w:rPr>
              <w:t>⨀</w:t>
            </w:r>
            <w:r w:rsidRPr="005801A9">
              <w:rPr>
                <w:rFonts w:ascii="Arial Narrow" w:hAnsi="Arial Narrow"/>
                <w:sz w:val="16"/>
                <w:szCs w:val="16"/>
              </w:rPr>
              <w:br/>
              <w:t xml:space="preserve">MODERATE </w:t>
            </w:r>
          </w:p>
        </w:tc>
        <w:tc>
          <w:tcPr>
            <w:tcW w:w="2350" w:type="pct"/>
          </w:tcPr>
          <w:p w14:paraId="272C6E7B" w14:textId="77777777" w:rsidR="00433B47" w:rsidRDefault="00433B47" w:rsidP="00433B47">
            <w:pPr>
              <w:rPr>
                <w:rFonts w:ascii="Arial Narrow" w:hAnsi="Arial Narrow"/>
                <w:sz w:val="16"/>
                <w:szCs w:val="16"/>
              </w:rPr>
            </w:pPr>
            <w:r>
              <w:rPr>
                <w:rFonts w:ascii="Arial Narrow" w:hAnsi="Arial Narrow"/>
                <w:sz w:val="16"/>
                <w:szCs w:val="16"/>
              </w:rPr>
              <w:t>The likelihood of failing to regain 20/20 vision for NMOSD patients with ON was much higher in those who received IVMP &gt;4 days from attack compared to &lt;4 days from attack. There was a very strong association between early treatment and better visual outcome.</w:t>
            </w:r>
            <w:r>
              <w:rPr>
                <w:rFonts w:ascii="Arial Narrow" w:hAnsi="Arial Narrow"/>
                <w:bCs/>
                <w:sz w:val="16"/>
                <w:szCs w:val="16"/>
              </w:rPr>
              <w:t xml:space="preserve"> There is moderate confidence that the effect is true.</w:t>
            </w:r>
          </w:p>
        </w:tc>
      </w:tr>
      <w:tr w:rsidR="00433B47" w:rsidRPr="005801A9" w14:paraId="1A289B1E" w14:textId="77777777" w:rsidTr="00F23742">
        <w:trPr>
          <w:cantSplit/>
        </w:trPr>
        <w:tc>
          <w:tcPr>
            <w:tcW w:w="572" w:type="pct"/>
            <w:gridSpan w:val="2"/>
          </w:tcPr>
          <w:p w14:paraId="383E4F45" w14:textId="77777777" w:rsidR="00433B47" w:rsidRDefault="00433B47" w:rsidP="00433B47">
            <w:pPr>
              <w:rPr>
                <w:rFonts w:ascii="Arial Narrow" w:hAnsi="Arial Narrow"/>
                <w:sz w:val="16"/>
                <w:szCs w:val="16"/>
              </w:rPr>
            </w:pPr>
            <w:r>
              <w:rPr>
                <w:rFonts w:ascii="Arial Narrow" w:hAnsi="Arial Narrow"/>
                <w:sz w:val="16"/>
                <w:szCs w:val="16"/>
              </w:rPr>
              <w:lastRenderedPageBreak/>
              <w:t>Impact of early diagnosis on disability in patients on any treatment (EDSS)</w:t>
            </w:r>
          </w:p>
        </w:tc>
        <w:tc>
          <w:tcPr>
            <w:tcW w:w="570" w:type="pct"/>
          </w:tcPr>
          <w:p w14:paraId="4973E39B" w14:textId="77777777" w:rsidR="00433B47" w:rsidRDefault="00433B47" w:rsidP="00433B47">
            <w:pPr>
              <w:rPr>
                <w:rFonts w:ascii="Arial Narrow" w:hAnsi="Arial Narrow"/>
                <w:sz w:val="16"/>
                <w:szCs w:val="16"/>
              </w:rPr>
            </w:pPr>
            <w:r>
              <w:rPr>
                <w:rFonts w:ascii="Arial Narrow" w:hAnsi="Arial Narrow"/>
                <w:sz w:val="16"/>
                <w:szCs w:val="16"/>
              </w:rPr>
              <w:t>K=1 observational study</w:t>
            </w:r>
          </w:p>
          <w:p w14:paraId="7DEF8D78" w14:textId="77777777" w:rsidR="00433B47" w:rsidRDefault="00433B47" w:rsidP="00433B47">
            <w:pPr>
              <w:rPr>
                <w:rFonts w:ascii="Arial Narrow" w:hAnsi="Arial Narrow"/>
                <w:sz w:val="16"/>
                <w:szCs w:val="16"/>
              </w:rPr>
            </w:pPr>
            <w:r>
              <w:rPr>
                <w:rFonts w:ascii="Arial Narrow" w:hAnsi="Arial Narrow"/>
                <w:sz w:val="16"/>
                <w:szCs w:val="16"/>
              </w:rPr>
              <w:t>N=182</w:t>
            </w:r>
          </w:p>
        </w:tc>
        <w:tc>
          <w:tcPr>
            <w:tcW w:w="533" w:type="pct"/>
          </w:tcPr>
          <w:p w14:paraId="6A131E77" w14:textId="77777777" w:rsidR="00433B47" w:rsidRPr="005801A9" w:rsidRDefault="00433B47" w:rsidP="00433B47">
            <w:pPr>
              <w:rPr>
                <w:rFonts w:ascii="Arial Narrow" w:hAnsi="Arial Narrow"/>
                <w:sz w:val="16"/>
                <w:szCs w:val="16"/>
              </w:rPr>
            </w:pPr>
            <w:r>
              <w:rPr>
                <w:rFonts w:ascii="Arial Narrow" w:hAnsi="Arial Narrow"/>
                <w:sz w:val="16"/>
                <w:szCs w:val="16"/>
              </w:rPr>
              <w:t>NA</w:t>
            </w:r>
          </w:p>
        </w:tc>
        <w:tc>
          <w:tcPr>
            <w:tcW w:w="432" w:type="pct"/>
          </w:tcPr>
          <w:p w14:paraId="7A84AE64" w14:textId="77777777" w:rsidR="00433B47" w:rsidRDefault="00433B47" w:rsidP="00433B47">
            <w:pPr>
              <w:rPr>
                <w:rFonts w:ascii="Arial Narrow" w:hAnsi="Arial Narrow"/>
                <w:sz w:val="16"/>
                <w:szCs w:val="16"/>
              </w:rPr>
            </w:pPr>
            <w:r>
              <w:rPr>
                <w:rFonts w:ascii="Arial Narrow" w:hAnsi="Arial Narrow"/>
                <w:sz w:val="16"/>
                <w:szCs w:val="16"/>
              </w:rPr>
              <w:t>(0.02, 0.15)</w:t>
            </w:r>
          </w:p>
          <w:p w14:paraId="4F233980" w14:textId="77777777" w:rsidR="00433B47" w:rsidRDefault="00433B47" w:rsidP="00433B47">
            <w:pPr>
              <w:rPr>
                <w:rFonts w:ascii="Arial Narrow" w:hAnsi="Arial Narrow"/>
                <w:sz w:val="16"/>
                <w:szCs w:val="16"/>
              </w:rPr>
            </w:pPr>
            <w:r>
              <w:rPr>
                <w:rFonts w:ascii="Arial Narrow" w:hAnsi="Arial Narrow"/>
                <w:sz w:val="16"/>
                <w:szCs w:val="16"/>
              </w:rPr>
              <w:t>P=0.006</w:t>
            </w:r>
          </w:p>
        </w:tc>
        <w:tc>
          <w:tcPr>
            <w:tcW w:w="544" w:type="pct"/>
          </w:tcPr>
          <w:p w14:paraId="1561B10E" w14:textId="77777777" w:rsidR="00433B47" w:rsidRPr="00D4733A" w:rsidRDefault="00433B47" w:rsidP="00433B47">
            <w:pPr>
              <w:rPr>
                <w:rFonts w:ascii="Cambria Math" w:hAnsi="Cambria Math"/>
                <w:color w:val="00B050"/>
              </w:rPr>
            </w:pPr>
            <w:r>
              <w:rPr>
                <w:rFonts w:ascii="Cambria Math" w:hAnsi="Cambria Math"/>
                <w:color w:val="00B050"/>
              </w:rPr>
              <w:t>⨁⨁</w:t>
            </w:r>
            <w:r w:rsidRPr="00D4733A">
              <w:rPr>
                <w:rFonts w:ascii="Cambria Math" w:hAnsi="Cambria Math" w:cs="Cambria Math"/>
                <w:color w:val="C00000"/>
              </w:rPr>
              <w:t>⨀⨀</w:t>
            </w:r>
            <w:r w:rsidRPr="005801A9">
              <w:rPr>
                <w:rFonts w:ascii="Arial Narrow" w:hAnsi="Arial Narrow"/>
                <w:sz w:val="16"/>
                <w:szCs w:val="16"/>
              </w:rPr>
              <w:br/>
              <w:t>LOW</w:t>
            </w:r>
          </w:p>
        </w:tc>
        <w:tc>
          <w:tcPr>
            <w:tcW w:w="2350" w:type="pct"/>
          </w:tcPr>
          <w:p w14:paraId="5FD2197C" w14:textId="77777777" w:rsidR="00433B47" w:rsidRDefault="00433B47" w:rsidP="00433B47">
            <w:pPr>
              <w:rPr>
                <w:rFonts w:ascii="Arial Narrow" w:hAnsi="Arial Narrow"/>
                <w:sz w:val="16"/>
                <w:szCs w:val="16"/>
              </w:rPr>
            </w:pPr>
            <w:r>
              <w:rPr>
                <w:rFonts w:ascii="Arial Narrow" w:hAnsi="Arial Narrow"/>
                <w:sz w:val="16"/>
                <w:szCs w:val="16"/>
              </w:rPr>
              <w:t>There was less disability at follow-up in patients with early diagnosis compared with late diagnosis when measured with EDSS. There was a strong association between early diagnosis and better outcome. Due to risk of bias, there is low confidence in the effect.</w:t>
            </w:r>
          </w:p>
        </w:tc>
      </w:tr>
      <w:tr w:rsidR="00433B47" w:rsidRPr="00576648" w14:paraId="27A3EB36" w14:textId="77777777" w:rsidTr="00F23742">
        <w:trPr>
          <w:cantSplit/>
        </w:trPr>
        <w:tc>
          <w:tcPr>
            <w:tcW w:w="5000" w:type="pct"/>
            <w:gridSpan w:val="7"/>
          </w:tcPr>
          <w:p w14:paraId="22D3850C" w14:textId="77777777" w:rsidR="00433B47" w:rsidRPr="00576648" w:rsidRDefault="00433B47" w:rsidP="00433B47">
            <w:pPr>
              <w:keepNext/>
              <w:keepLines/>
              <w:rPr>
                <w:rFonts w:ascii="Arial Narrow" w:hAnsi="Arial Narrow"/>
                <w:b/>
                <w:sz w:val="16"/>
                <w:szCs w:val="16"/>
                <w:lang w:val="en"/>
              </w:rPr>
            </w:pPr>
            <w:r w:rsidRPr="00576648">
              <w:rPr>
                <w:rFonts w:ascii="Arial Narrow" w:hAnsi="Arial Narrow"/>
                <w:b/>
                <w:sz w:val="16"/>
                <w:szCs w:val="16"/>
                <w:lang w:val="en"/>
              </w:rPr>
              <w:t>NMSDO specific treatment compared to MS treatments for NMOSD patients</w:t>
            </w:r>
          </w:p>
        </w:tc>
      </w:tr>
      <w:tr w:rsidR="00433B47" w:rsidRPr="00EA5BA8" w14:paraId="5B058483" w14:textId="77777777" w:rsidTr="00F23742">
        <w:trPr>
          <w:cantSplit/>
        </w:trPr>
        <w:tc>
          <w:tcPr>
            <w:tcW w:w="572" w:type="pct"/>
            <w:gridSpan w:val="2"/>
          </w:tcPr>
          <w:p w14:paraId="568345E4" w14:textId="77777777" w:rsidR="00433B47" w:rsidRDefault="00433B47" w:rsidP="00433B47">
            <w:pPr>
              <w:keepNext/>
              <w:keepLines/>
              <w:rPr>
                <w:rFonts w:ascii="Arial Narrow" w:hAnsi="Arial Narrow"/>
                <w:sz w:val="16"/>
                <w:szCs w:val="16"/>
              </w:rPr>
            </w:pPr>
            <w:r>
              <w:rPr>
                <w:rFonts w:ascii="Arial Narrow" w:hAnsi="Arial Narrow"/>
                <w:sz w:val="16"/>
                <w:szCs w:val="16"/>
              </w:rPr>
              <w:t>Likelihood of attack (RTX or interferon beta)</w:t>
            </w:r>
          </w:p>
        </w:tc>
        <w:tc>
          <w:tcPr>
            <w:tcW w:w="570" w:type="pct"/>
          </w:tcPr>
          <w:p w14:paraId="051D1C6A" w14:textId="77777777" w:rsidR="00433B47" w:rsidRDefault="00433B47" w:rsidP="00433B47">
            <w:pPr>
              <w:keepNext/>
              <w:keepLines/>
              <w:rPr>
                <w:rFonts w:ascii="Arial Narrow" w:hAnsi="Arial Narrow"/>
                <w:sz w:val="16"/>
                <w:szCs w:val="16"/>
              </w:rPr>
            </w:pPr>
            <w:r>
              <w:rPr>
                <w:rFonts w:ascii="Arial Narrow" w:hAnsi="Arial Narrow"/>
                <w:sz w:val="16"/>
                <w:szCs w:val="16"/>
              </w:rPr>
              <w:t>K=1 observational study</w:t>
            </w:r>
          </w:p>
          <w:p w14:paraId="48D7C727" w14:textId="77777777" w:rsidR="00433B47" w:rsidRDefault="00433B47" w:rsidP="00433B47">
            <w:pPr>
              <w:keepNext/>
              <w:keepLines/>
              <w:rPr>
                <w:rFonts w:ascii="Arial Narrow" w:hAnsi="Arial Narrow"/>
                <w:sz w:val="16"/>
                <w:szCs w:val="16"/>
              </w:rPr>
            </w:pPr>
            <w:r>
              <w:rPr>
                <w:rFonts w:ascii="Arial Narrow" w:hAnsi="Arial Narrow"/>
                <w:sz w:val="16"/>
                <w:szCs w:val="16"/>
              </w:rPr>
              <w:t>N=95</w:t>
            </w:r>
          </w:p>
        </w:tc>
        <w:tc>
          <w:tcPr>
            <w:tcW w:w="533" w:type="pct"/>
          </w:tcPr>
          <w:p w14:paraId="1900094C" w14:textId="77777777" w:rsidR="00433B47" w:rsidRPr="00576648" w:rsidRDefault="00433B47" w:rsidP="00433B47">
            <w:pPr>
              <w:keepNext/>
              <w:keepLines/>
              <w:rPr>
                <w:rFonts w:ascii="Arial Narrow" w:hAnsi="Arial Narrow"/>
                <w:sz w:val="16"/>
                <w:szCs w:val="16"/>
              </w:rPr>
            </w:pPr>
            <w:r w:rsidRPr="00576648">
              <w:rPr>
                <w:rFonts w:ascii="Arial Narrow" w:hAnsi="Arial Narrow"/>
                <w:sz w:val="16"/>
                <w:szCs w:val="16"/>
              </w:rPr>
              <w:t>HR 0.6 (0.4, 1)</w:t>
            </w:r>
          </w:p>
          <w:p w14:paraId="31717231" w14:textId="77777777" w:rsidR="00433B47" w:rsidRPr="00EA5BA8" w:rsidRDefault="00433B47" w:rsidP="00433B47">
            <w:pPr>
              <w:keepNext/>
              <w:keepLines/>
              <w:rPr>
                <w:rFonts w:ascii="Arial Narrow" w:hAnsi="Arial Narrow"/>
                <w:sz w:val="16"/>
                <w:szCs w:val="16"/>
              </w:rPr>
            </w:pPr>
            <w:r w:rsidRPr="00576648">
              <w:rPr>
                <w:rFonts w:ascii="Arial Narrow" w:hAnsi="Arial Narrow"/>
                <w:sz w:val="16"/>
                <w:szCs w:val="16"/>
              </w:rPr>
              <w:t>p=0.034</w:t>
            </w:r>
          </w:p>
        </w:tc>
        <w:tc>
          <w:tcPr>
            <w:tcW w:w="432" w:type="pct"/>
          </w:tcPr>
          <w:p w14:paraId="68368383" w14:textId="77777777" w:rsidR="00433B47" w:rsidRPr="00EA5BA8" w:rsidRDefault="00433B47" w:rsidP="00433B47">
            <w:pPr>
              <w:keepNext/>
              <w:keepLines/>
              <w:rPr>
                <w:rFonts w:ascii="Arial Narrow" w:hAnsi="Arial Narrow"/>
                <w:sz w:val="16"/>
                <w:szCs w:val="16"/>
              </w:rPr>
            </w:pPr>
            <w:r>
              <w:rPr>
                <w:rFonts w:ascii="Arial Narrow" w:hAnsi="Arial Narrow"/>
                <w:sz w:val="16"/>
                <w:szCs w:val="16"/>
              </w:rPr>
              <w:t>NA</w:t>
            </w:r>
          </w:p>
        </w:tc>
        <w:tc>
          <w:tcPr>
            <w:tcW w:w="544" w:type="pct"/>
            <w:hideMark/>
          </w:tcPr>
          <w:p w14:paraId="0E601DE5" w14:textId="77777777" w:rsidR="00433B47" w:rsidRPr="00EA5BA8" w:rsidRDefault="00433B47" w:rsidP="00433B47">
            <w:pPr>
              <w:keepNext/>
              <w:keepLines/>
              <w:rPr>
                <w:rFonts w:ascii="Arial Narrow" w:hAnsi="Arial Narrow"/>
                <w:sz w:val="16"/>
                <w:szCs w:val="16"/>
              </w:rPr>
            </w:pPr>
            <w:r>
              <w:rPr>
                <w:rFonts w:ascii="Cambria Math" w:hAnsi="Cambria Math"/>
                <w:color w:val="00B050"/>
              </w:rPr>
              <w:t>⨁⨁</w:t>
            </w:r>
            <w:r w:rsidRPr="00D4733A">
              <w:rPr>
                <w:rFonts w:ascii="Cambria Math" w:hAnsi="Cambria Math" w:cs="Cambria Math"/>
                <w:color w:val="C00000"/>
              </w:rPr>
              <w:t>⨀⨀</w:t>
            </w:r>
            <w:r w:rsidRPr="00EA5BA8">
              <w:rPr>
                <w:rFonts w:ascii="Arial Narrow" w:hAnsi="Arial Narrow"/>
                <w:sz w:val="16"/>
                <w:szCs w:val="16"/>
              </w:rPr>
              <w:br/>
              <w:t xml:space="preserve">LOW </w:t>
            </w:r>
          </w:p>
        </w:tc>
        <w:tc>
          <w:tcPr>
            <w:tcW w:w="2350" w:type="pct"/>
          </w:tcPr>
          <w:p w14:paraId="1867A3D9" w14:textId="77777777" w:rsidR="00433B47" w:rsidRDefault="00433B47" w:rsidP="00433B47">
            <w:pPr>
              <w:keepNext/>
              <w:keepLines/>
              <w:rPr>
                <w:rFonts w:ascii="Arial Narrow" w:hAnsi="Arial Narrow"/>
                <w:sz w:val="16"/>
                <w:szCs w:val="16"/>
              </w:rPr>
            </w:pPr>
            <w:r>
              <w:rPr>
                <w:rFonts w:ascii="Arial Narrow" w:hAnsi="Arial Narrow"/>
                <w:sz w:val="16"/>
                <w:szCs w:val="16"/>
              </w:rPr>
              <w:t xml:space="preserve">The likelihood of attack was lower in NMOSD patients who received RTX compared to those who received standard MS treatment (interferon beta). There was a strong association between RTX therapy and better outcome. Due to risk of bias, there is low confidence in the effect. </w:t>
            </w:r>
          </w:p>
        </w:tc>
      </w:tr>
      <w:tr w:rsidR="00433B47" w:rsidRPr="00EA5BA8" w14:paraId="690A9FBB" w14:textId="77777777" w:rsidTr="00F23742">
        <w:trPr>
          <w:cantSplit/>
        </w:trPr>
        <w:tc>
          <w:tcPr>
            <w:tcW w:w="572" w:type="pct"/>
            <w:gridSpan w:val="2"/>
          </w:tcPr>
          <w:p w14:paraId="7DB976C5" w14:textId="77777777" w:rsidR="00433B47" w:rsidRDefault="00433B47" w:rsidP="00433B47">
            <w:pPr>
              <w:rPr>
                <w:rFonts w:ascii="Arial Narrow" w:hAnsi="Arial Narrow"/>
                <w:sz w:val="16"/>
                <w:szCs w:val="16"/>
              </w:rPr>
            </w:pPr>
            <w:r>
              <w:rPr>
                <w:rFonts w:ascii="Arial Narrow" w:hAnsi="Arial Narrow"/>
                <w:sz w:val="16"/>
                <w:szCs w:val="16"/>
              </w:rPr>
              <w:t>Likelihood of attack (AZA or interferon beta)</w:t>
            </w:r>
          </w:p>
        </w:tc>
        <w:tc>
          <w:tcPr>
            <w:tcW w:w="570" w:type="pct"/>
          </w:tcPr>
          <w:p w14:paraId="4F0E53F5" w14:textId="77777777" w:rsidR="00433B47" w:rsidRDefault="00433B47" w:rsidP="00433B47">
            <w:pPr>
              <w:rPr>
                <w:rFonts w:ascii="Arial Narrow" w:hAnsi="Arial Narrow"/>
                <w:sz w:val="16"/>
                <w:szCs w:val="16"/>
              </w:rPr>
            </w:pPr>
            <w:r>
              <w:rPr>
                <w:rFonts w:ascii="Arial Narrow" w:hAnsi="Arial Narrow"/>
                <w:sz w:val="16"/>
                <w:szCs w:val="16"/>
              </w:rPr>
              <w:t>K=1 observational study</w:t>
            </w:r>
          </w:p>
          <w:p w14:paraId="73B7C986" w14:textId="77777777" w:rsidR="00433B47" w:rsidRDefault="00433B47" w:rsidP="00433B47">
            <w:pPr>
              <w:rPr>
                <w:rFonts w:ascii="Arial Narrow" w:hAnsi="Arial Narrow"/>
                <w:sz w:val="16"/>
                <w:szCs w:val="16"/>
              </w:rPr>
            </w:pPr>
            <w:r>
              <w:rPr>
                <w:rFonts w:ascii="Arial Narrow" w:hAnsi="Arial Narrow"/>
                <w:sz w:val="16"/>
                <w:szCs w:val="16"/>
              </w:rPr>
              <w:t>N=76</w:t>
            </w:r>
          </w:p>
        </w:tc>
        <w:tc>
          <w:tcPr>
            <w:tcW w:w="533" w:type="pct"/>
          </w:tcPr>
          <w:p w14:paraId="6CBB0C9E" w14:textId="77777777" w:rsidR="00433B47" w:rsidRDefault="00433B47" w:rsidP="00433B47">
            <w:pPr>
              <w:rPr>
                <w:rFonts w:ascii="Arial Narrow" w:hAnsi="Arial Narrow"/>
                <w:sz w:val="16"/>
                <w:szCs w:val="16"/>
              </w:rPr>
            </w:pPr>
            <w:r>
              <w:rPr>
                <w:rFonts w:ascii="Arial Narrow" w:hAnsi="Arial Narrow"/>
                <w:sz w:val="16"/>
                <w:szCs w:val="16"/>
              </w:rPr>
              <w:t>HR 0.4 (</w:t>
            </w:r>
            <w:r w:rsidRPr="00EA5BA8">
              <w:rPr>
                <w:rFonts w:ascii="Arial Narrow" w:hAnsi="Arial Narrow"/>
                <w:sz w:val="16"/>
                <w:szCs w:val="16"/>
              </w:rPr>
              <w:t>0.3, 0.7)</w:t>
            </w:r>
          </w:p>
          <w:p w14:paraId="5EDFFBD0" w14:textId="77777777" w:rsidR="00433B47" w:rsidRDefault="00433B47" w:rsidP="00433B47">
            <w:pPr>
              <w:rPr>
                <w:rFonts w:ascii="Arial Narrow" w:hAnsi="Arial Narrow"/>
                <w:sz w:val="16"/>
                <w:szCs w:val="16"/>
              </w:rPr>
            </w:pPr>
            <w:r w:rsidRPr="00EA5BA8">
              <w:rPr>
                <w:rFonts w:ascii="Arial Narrow" w:hAnsi="Arial Narrow"/>
                <w:sz w:val="16"/>
                <w:szCs w:val="16"/>
              </w:rPr>
              <w:t>p=0.001</w:t>
            </w:r>
          </w:p>
        </w:tc>
        <w:tc>
          <w:tcPr>
            <w:tcW w:w="432" w:type="pct"/>
          </w:tcPr>
          <w:p w14:paraId="51CC427D" w14:textId="77777777" w:rsidR="00433B47" w:rsidRPr="00EA5BA8" w:rsidRDefault="00433B47" w:rsidP="00433B47">
            <w:pPr>
              <w:rPr>
                <w:rFonts w:ascii="Arial Narrow" w:hAnsi="Arial Narrow"/>
                <w:sz w:val="16"/>
                <w:szCs w:val="16"/>
              </w:rPr>
            </w:pPr>
            <w:r>
              <w:rPr>
                <w:rFonts w:ascii="Arial Narrow" w:hAnsi="Arial Narrow"/>
                <w:sz w:val="16"/>
                <w:szCs w:val="16"/>
              </w:rPr>
              <w:t>NA</w:t>
            </w:r>
          </w:p>
        </w:tc>
        <w:tc>
          <w:tcPr>
            <w:tcW w:w="544" w:type="pct"/>
            <w:hideMark/>
          </w:tcPr>
          <w:p w14:paraId="241F8CC7" w14:textId="77777777" w:rsidR="00433B47" w:rsidRPr="00EA5BA8" w:rsidRDefault="00433B47" w:rsidP="00433B47">
            <w:pPr>
              <w:rPr>
                <w:rFonts w:ascii="Arial Narrow" w:hAnsi="Arial Narrow"/>
                <w:sz w:val="16"/>
                <w:szCs w:val="16"/>
              </w:rPr>
            </w:pPr>
            <w:r>
              <w:rPr>
                <w:rFonts w:ascii="Cambria Math" w:hAnsi="Cambria Math"/>
                <w:color w:val="00B050"/>
              </w:rPr>
              <w:t>⨁⨁</w:t>
            </w:r>
            <w:r w:rsidRPr="00D4733A">
              <w:rPr>
                <w:rFonts w:ascii="Cambria Math" w:hAnsi="Cambria Math" w:cs="Cambria Math"/>
                <w:color w:val="C00000"/>
              </w:rPr>
              <w:t>⨀⨀</w:t>
            </w:r>
            <w:r w:rsidRPr="00EA5BA8">
              <w:rPr>
                <w:rFonts w:ascii="Arial Narrow" w:hAnsi="Arial Narrow"/>
                <w:sz w:val="16"/>
                <w:szCs w:val="16"/>
              </w:rPr>
              <w:br/>
              <w:t xml:space="preserve">LOW </w:t>
            </w:r>
          </w:p>
        </w:tc>
        <w:tc>
          <w:tcPr>
            <w:tcW w:w="2350" w:type="pct"/>
          </w:tcPr>
          <w:p w14:paraId="69688030" w14:textId="77777777" w:rsidR="00433B47" w:rsidRDefault="00433B47" w:rsidP="00433B47">
            <w:pPr>
              <w:rPr>
                <w:rFonts w:ascii="Arial Narrow" w:hAnsi="Arial Narrow"/>
                <w:sz w:val="16"/>
                <w:szCs w:val="16"/>
              </w:rPr>
            </w:pPr>
            <w:r>
              <w:rPr>
                <w:rFonts w:ascii="Arial Narrow" w:hAnsi="Arial Narrow"/>
                <w:sz w:val="16"/>
                <w:szCs w:val="16"/>
              </w:rPr>
              <w:t>The likelihood of attack was lower in NMOSD patients who received AZA compared to those who received standard MS treatment (interferon beta). There was a strong association between RTX therapy and better outcome. Due to risk of bias, there is low confidence in the effect.</w:t>
            </w:r>
          </w:p>
        </w:tc>
      </w:tr>
      <w:tr w:rsidR="00433B47" w:rsidRPr="00EA5BA8" w14:paraId="7DFF3EC4" w14:textId="77777777" w:rsidTr="00F23742">
        <w:trPr>
          <w:cantSplit/>
        </w:trPr>
        <w:tc>
          <w:tcPr>
            <w:tcW w:w="5000" w:type="pct"/>
            <w:gridSpan w:val="7"/>
          </w:tcPr>
          <w:p w14:paraId="579EB128" w14:textId="77777777" w:rsidR="00433B47" w:rsidRDefault="00433B47" w:rsidP="00433B47">
            <w:pPr>
              <w:rPr>
                <w:rFonts w:ascii="Arial Narrow" w:hAnsi="Arial Narrow"/>
                <w:sz w:val="16"/>
                <w:szCs w:val="16"/>
              </w:rPr>
            </w:pPr>
            <w:r w:rsidRPr="001E36E9">
              <w:rPr>
                <w:rFonts w:ascii="Arial Narrow" w:hAnsi="Arial Narrow"/>
                <w:b/>
                <w:color w:val="000000"/>
                <w:sz w:val="16"/>
                <w:szCs w:val="16"/>
                <w:lang w:val="en"/>
              </w:rPr>
              <w:t>Effectiveness of treatment on NMOSD patients</w:t>
            </w:r>
          </w:p>
        </w:tc>
      </w:tr>
      <w:tr w:rsidR="00433B47" w:rsidRPr="000E65B7" w14:paraId="30297ACA" w14:textId="77777777" w:rsidTr="00F23742">
        <w:trPr>
          <w:cantSplit/>
        </w:trPr>
        <w:tc>
          <w:tcPr>
            <w:tcW w:w="529" w:type="pct"/>
          </w:tcPr>
          <w:p w14:paraId="4417F358" w14:textId="77777777" w:rsidR="00433B47" w:rsidRDefault="00433B47" w:rsidP="00433B47">
            <w:pPr>
              <w:rPr>
                <w:rFonts w:ascii="Arial Narrow" w:hAnsi="Arial Narrow"/>
                <w:sz w:val="16"/>
                <w:szCs w:val="16"/>
              </w:rPr>
            </w:pPr>
            <w:r>
              <w:rPr>
                <w:rFonts w:ascii="Arial Narrow" w:hAnsi="Arial Narrow"/>
                <w:sz w:val="16"/>
                <w:szCs w:val="16"/>
              </w:rPr>
              <w:t>PLEX compared with no PLEX (change in EDSS)</w:t>
            </w:r>
          </w:p>
        </w:tc>
        <w:tc>
          <w:tcPr>
            <w:tcW w:w="613" w:type="pct"/>
            <w:gridSpan w:val="2"/>
          </w:tcPr>
          <w:p w14:paraId="65DF4079" w14:textId="77777777" w:rsidR="00433B47" w:rsidRDefault="00433B47" w:rsidP="00433B47">
            <w:pPr>
              <w:rPr>
                <w:rFonts w:ascii="Arial Narrow" w:hAnsi="Arial Narrow"/>
                <w:sz w:val="16"/>
                <w:szCs w:val="16"/>
              </w:rPr>
            </w:pPr>
            <w:r>
              <w:rPr>
                <w:rFonts w:ascii="Arial Narrow" w:hAnsi="Arial Narrow"/>
                <w:sz w:val="16"/>
                <w:szCs w:val="16"/>
              </w:rPr>
              <w:t>K=1 observational study</w:t>
            </w:r>
          </w:p>
          <w:p w14:paraId="40B94310" w14:textId="77777777" w:rsidR="00433B47" w:rsidRPr="000E65B7" w:rsidRDefault="00433B47" w:rsidP="00433B47">
            <w:pPr>
              <w:rPr>
                <w:rFonts w:ascii="Arial Narrow" w:hAnsi="Arial Narrow"/>
                <w:sz w:val="16"/>
                <w:szCs w:val="16"/>
              </w:rPr>
            </w:pPr>
            <w:r>
              <w:rPr>
                <w:rFonts w:ascii="Arial Narrow" w:hAnsi="Arial Narrow"/>
                <w:sz w:val="16"/>
                <w:szCs w:val="16"/>
              </w:rPr>
              <w:t>N=96</w:t>
            </w:r>
          </w:p>
        </w:tc>
        <w:tc>
          <w:tcPr>
            <w:tcW w:w="533" w:type="pct"/>
          </w:tcPr>
          <w:p w14:paraId="1E4EA63D" w14:textId="77777777" w:rsidR="00433B47" w:rsidRPr="000E65B7" w:rsidRDefault="00433B47" w:rsidP="00433B47">
            <w:pPr>
              <w:rPr>
                <w:rFonts w:ascii="Arial Narrow" w:hAnsi="Arial Narrow"/>
                <w:sz w:val="16"/>
                <w:szCs w:val="16"/>
              </w:rPr>
            </w:pPr>
            <w:r>
              <w:rPr>
                <w:rFonts w:ascii="Arial Narrow" w:hAnsi="Arial Narrow"/>
                <w:sz w:val="16"/>
                <w:szCs w:val="16"/>
              </w:rPr>
              <w:t>NA</w:t>
            </w:r>
          </w:p>
        </w:tc>
        <w:tc>
          <w:tcPr>
            <w:tcW w:w="432" w:type="pct"/>
          </w:tcPr>
          <w:p w14:paraId="4A4C3B71" w14:textId="77777777" w:rsidR="00433B47" w:rsidRPr="000E65B7" w:rsidRDefault="00433B47" w:rsidP="00433B47">
            <w:pPr>
              <w:rPr>
                <w:rFonts w:ascii="Arial Narrow" w:hAnsi="Arial Narrow"/>
                <w:sz w:val="16"/>
                <w:szCs w:val="16"/>
              </w:rPr>
            </w:pPr>
            <w:r>
              <w:rPr>
                <w:rFonts w:ascii="Arial Narrow" w:hAnsi="Arial Narrow"/>
                <w:sz w:val="16"/>
                <w:szCs w:val="16"/>
              </w:rPr>
              <w:t>P&lt;0.01</w:t>
            </w:r>
          </w:p>
        </w:tc>
        <w:tc>
          <w:tcPr>
            <w:tcW w:w="544" w:type="pct"/>
            <w:hideMark/>
          </w:tcPr>
          <w:p w14:paraId="69912A40" w14:textId="77777777" w:rsidR="00433B47" w:rsidRPr="000E65B7" w:rsidRDefault="00433B47" w:rsidP="00433B47">
            <w:pPr>
              <w:rPr>
                <w:rFonts w:ascii="Arial Narrow" w:hAnsi="Arial Narrow"/>
                <w:sz w:val="16"/>
                <w:szCs w:val="16"/>
              </w:rPr>
            </w:pPr>
            <w:r>
              <w:rPr>
                <w:rFonts w:ascii="Cambria Math" w:hAnsi="Cambria Math"/>
                <w:color w:val="00B050"/>
              </w:rPr>
              <w:t>⨁⨁</w:t>
            </w:r>
            <w:r w:rsidRPr="00D4733A">
              <w:rPr>
                <w:rFonts w:ascii="Cambria Math" w:hAnsi="Cambria Math" w:cs="Cambria Math"/>
                <w:color w:val="C00000"/>
              </w:rPr>
              <w:t>⨀⨀</w:t>
            </w:r>
            <w:r w:rsidRPr="000E65B7">
              <w:rPr>
                <w:rFonts w:ascii="Arial Narrow" w:hAnsi="Arial Narrow"/>
                <w:sz w:val="16"/>
                <w:szCs w:val="16"/>
              </w:rPr>
              <w:br/>
              <w:t xml:space="preserve">LOW </w:t>
            </w:r>
          </w:p>
        </w:tc>
        <w:tc>
          <w:tcPr>
            <w:tcW w:w="2350" w:type="pct"/>
          </w:tcPr>
          <w:p w14:paraId="010ECF0B" w14:textId="77777777" w:rsidR="00433B47" w:rsidRDefault="00433B47" w:rsidP="00433B47">
            <w:pPr>
              <w:rPr>
                <w:rFonts w:ascii="Arial Narrow" w:hAnsi="Arial Narrow"/>
                <w:sz w:val="16"/>
                <w:szCs w:val="16"/>
              </w:rPr>
            </w:pPr>
            <w:r>
              <w:rPr>
                <w:rFonts w:ascii="Arial Narrow" w:hAnsi="Arial Narrow"/>
                <w:sz w:val="16"/>
                <w:szCs w:val="16"/>
              </w:rPr>
              <w:t xml:space="preserve">NMOSD patients who received PLEX had less deterioration (measured by change in EDSS; 1.22±1.6) than those who received standard therapies alone (2.6±2.4). There was a strong association between PLEX therapy and better outcome. Due to risk of bias, there is low confidence in the effect. </w:t>
            </w:r>
          </w:p>
        </w:tc>
      </w:tr>
      <w:tr w:rsidR="00433B47" w:rsidRPr="000E65B7" w14:paraId="2392D369" w14:textId="77777777" w:rsidTr="00F23742">
        <w:trPr>
          <w:cantSplit/>
        </w:trPr>
        <w:tc>
          <w:tcPr>
            <w:tcW w:w="529" w:type="pct"/>
          </w:tcPr>
          <w:p w14:paraId="42586E27" w14:textId="77777777" w:rsidR="00433B47" w:rsidRDefault="00433B47" w:rsidP="00433B47">
            <w:pPr>
              <w:rPr>
                <w:rFonts w:ascii="Arial Narrow" w:hAnsi="Arial Narrow"/>
                <w:sz w:val="16"/>
                <w:szCs w:val="16"/>
              </w:rPr>
            </w:pPr>
            <w:r>
              <w:rPr>
                <w:rFonts w:ascii="Arial Narrow" w:hAnsi="Arial Narrow"/>
                <w:sz w:val="16"/>
                <w:szCs w:val="16"/>
              </w:rPr>
              <w:t>RTX compared with no RTX (weighted mean difference in EDSS)</w:t>
            </w:r>
          </w:p>
        </w:tc>
        <w:tc>
          <w:tcPr>
            <w:tcW w:w="613" w:type="pct"/>
            <w:gridSpan w:val="2"/>
          </w:tcPr>
          <w:p w14:paraId="55869A2F" w14:textId="77777777" w:rsidR="00433B47" w:rsidRDefault="00433B47" w:rsidP="00433B47">
            <w:pPr>
              <w:rPr>
                <w:rFonts w:ascii="Arial Narrow" w:hAnsi="Arial Narrow"/>
                <w:sz w:val="16"/>
                <w:szCs w:val="16"/>
              </w:rPr>
            </w:pPr>
            <w:r>
              <w:rPr>
                <w:rFonts w:ascii="Arial Narrow" w:hAnsi="Arial Narrow"/>
                <w:sz w:val="16"/>
                <w:szCs w:val="16"/>
              </w:rPr>
              <w:t>K=1 SR (22 observational studies)</w:t>
            </w:r>
          </w:p>
          <w:p w14:paraId="27D5CE4C" w14:textId="77777777" w:rsidR="00433B47" w:rsidRDefault="00433B47" w:rsidP="00433B47">
            <w:pPr>
              <w:rPr>
                <w:rFonts w:ascii="Arial Narrow" w:hAnsi="Arial Narrow"/>
                <w:sz w:val="16"/>
                <w:szCs w:val="16"/>
              </w:rPr>
            </w:pPr>
            <w:r>
              <w:rPr>
                <w:rFonts w:ascii="Arial Narrow" w:hAnsi="Arial Narrow"/>
                <w:sz w:val="16"/>
                <w:szCs w:val="16"/>
              </w:rPr>
              <w:t>N=NR</w:t>
            </w:r>
          </w:p>
        </w:tc>
        <w:tc>
          <w:tcPr>
            <w:tcW w:w="533" w:type="pct"/>
          </w:tcPr>
          <w:p w14:paraId="50580F8D" w14:textId="77777777" w:rsidR="00433B47" w:rsidRPr="000E65B7" w:rsidRDefault="00433B47" w:rsidP="00433B47">
            <w:pPr>
              <w:rPr>
                <w:rFonts w:ascii="Arial Narrow" w:hAnsi="Arial Narrow"/>
                <w:sz w:val="16"/>
                <w:szCs w:val="16"/>
              </w:rPr>
            </w:pPr>
            <w:r>
              <w:rPr>
                <w:rFonts w:ascii="Arial Narrow" w:hAnsi="Arial Narrow"/>
                <w:sz w:val="16"/>
                <w:szCs w:val="16"/>
              </w:rPr>
              <w:t>NA</w:t>
            </w:r>
          </w:p>
        </w:tc>
        <w:tc>
          <w:tcPr>
            <w:tcW w:w="432" w:type="pct"/>
          </w:tcPr>
          <w:p w14:paraId="5D597B2C" w14:textId="77777777" w:rsidR="00433B47" w:rsidRDefault="00433B47" w:rsidP="00433B47">
            <w:pPr>
              <w:rPr>
                <w:rFonts w:ascii="Arial Narrow" w:hAnsi="Arial Narrow"/>
                <w:sz w:val="16"/>
                <w:szCs w:val="16"/>
              </w:rPr>
            </w:pPr>
            <w:r>
              <w:rPr>
                <w:rFonts w:ascii="Arial Narrow" w:hAnsi="Arial Narrow"/>
                <w:sz w:val="16"/>
                <w:szCs w:val="16"/>
              </w:rPr>
              <w:t xml:space="preserve">-1.16 </w:t>
            </w:r>
            <w:r>
              <w:rPr>
                <w:rFonts w:ascii="Arial Narrow" w:hAnsi="Arial Narrow"/>
                <w:sz w:val="16"/>
                <w:szCs w:val="16"/>
              </w:rPr>
              <w:br/>
              <w:t>(</w:t>
            </w:r>
            <w:r w:rsidRPr="000E65B7">
              <w:rPr>
                <w:rFonts w:ascii="Arial Narrow" w:hAnsi="Arial Narrow"/>
                <w:sz w:val="16"/>
                <w:szCs w:val="16"/>
              </w:rPr>
              <w:t>1.36, 0.96)</w:t>
            </w:r>
          </w:p>
          <w:p w14:paraId="4CD736DA" w14:textId="77777777" w:rsidR="00433B47" w:rsidRPr="000E65B7" w:rsidRDefault="00433B47" w:rsidP="00433B47">
            <w:pPr>
              <w:rPr>
                <w:rFonts w:ascii="Arial Narrow" w:hAnsi="Arial Narrow"/>
                <w:sz w:val="16"/>
                <w:szCs w:val="16"/>
              </w:rPr>
            </w:pPr>
            <w:r w:rsidRPr="000E65B7">
              <w:rPr>
                <w:rFonts w:ascii="Arial Narrow" w:hAnsi="Arial Narrow"/>
                <w:sz w:val="16"/>
                <w:szCs w:val="16"/>
              </w:rPr>
              <w:t>p&lt;0.0001</w:t>
            </w:r>
          </w:p>
        </w:tc>
        <w:tc>
          <w:tcPr>
            <w:tcW w:w="544" w:type="pct"/>
            <w:hideMark/>
          </w:tcPr>
          <w:p w14:paraId="77602A4D" w14:textId="77777777" w:rsidR="00433B47" w:rsidRPr="000E65B7" w:rsidRDefault="00433B47" w:rsidP="00433B47">
            <w:pPr>
              <w:rPr>
                <w:rFonts w:ascii="Arial Narrow" w:hAnsi="Arial Narrow"/>
                <w:sz w:val="16"/>
                <w:szCs w:val="16"/>
              </w:rPr>
            </w:pPr>
            <w:r w:rsidRPr="00D4733A">
              <w:rPr>
                <w:rFonts w:ascii="Cambria Math" w:hAnsi="Cambria Math"/>
                <w:color w:val="00B050"/>
              </w:rPr>
              <w:t>⨁⨁⨁</w:t>
            </w:r>
            <w:r w:rsidRPr="00D4733A">
              <w:rPr>
                <w:rFonts w:ascii="Cambria Math" w:hAnsi="Cambria Math" w:cs="Cambria Math"/>
                <w:color w:val="C00000"/>
              </w:rPr>
              <w:t>⨀</w:t>
            </w:r>
            <w:r w:rsidRPr="000E65B7">
              <w:rPr>
                <w:rFonts w:ascii="Arial Narrow" w:hAnsi="Arial Narrow"/>
                <w:sz w:val="16"/>
                <w:szCs w:val="16"/>
              </w:rPr>
              <w:br/>
            </w:r>
            <w:r w:rsidRPr="000E65B7">
              <w:rPr>
                <w:rStyle w:val="quality-text"/>
                <w:rFonts w:ascii="Arial Narrow" w:hAnsi="Arial Narrow"/>
                <w:sz w:val="16"/>
                <w:szCs w:val="16"/>
              </w:rPr>
              <w:t>MODERATE</w:t>
            </w:r>
            <w:r w:rsidRPr="000E65B7">
              <w:rPr>
                <w:rFonts w:ascii="Arial Narrow" w:hAnsi="Arial Narrow"/>
                <w:sz w:val="16"/>
                <w:szCs w:val="16"/>
              </w:rPr>
              <w:t xml:space="preserve"> </w:t>
            </w:r>
          </w:p>
        </w:tc>
        <w:tc>
          <w:tcPr>
            <w:tcW w:w="2350" w:type="pct"/>
          </w:tcPr>
          <w:p w14:paraId="3F43B566" w14:textId="77777777" w:rsidR="00433B47" w:rsidRDefault="00433B47" w:rsidP="00433B47">
            <w:pPr>
              <w:rPr>
                <w:rFonts w:ascii="Arial Narrow" w:hAnsi="Arial Narrow"/>
                <w:sz w:val="16"/>
                <w:szCs w:val="16"/>
              </w:rPr>
            </w:pPr>
            <w:r>
              <w:rPr>
                <w:rFonts w:ascii="Arial Narrow" w:hAnsi="Arial Narrow"/>
                <w:sz w:val="16"/>
                <w:szCs w:val="16"/>
              </w:rPr>
              <w:t>NMOSD patients who received RTX had a better improvement (measured by weighted mean difference in EDSS) than those who received standard therapies alone. There was a strong association between RTX therapy and better outcome, and moderate confidence that this is the true effect.</w:t>
            </w:r>
          </w:p>
        </w:tc>
      </w:tr>
      <w:tr w:rsidR="00433B47" w:rsidRPr="000E65B7" w14:paraId="1BB9E533" w14:textId="77777777" w:rsidTr="00F23742">
        <w:trPr>
          <w:cantSplit/>
        </w:trPr>
        <w:tc>
          <w:tcPr>
            <w:tcW w:w="529" w:type="pct"/>
          </w:tcPr>
          <w:p w14:paraId="52C53650" w14:textId="77777777" w:rsidR="00433B47" w:rsidRDefault="00433B47" w:rsidP="00433B47">
            <w:pPr>
              <w:rPr>
                <w:rFonts w:ascii="Arial Narrow" w:hAnsi="Arial Narrow"/>
                <w:sz w:val="16"/>
                <w:szCs w:val="16"/>
              </w:rPr>
            </w:pPr>
            <w:r>
              <w:rPr>
                <w:rFonts w:ascii="Arial Narrow" w:hAnsi="Arial Narrow"/>
                <w:sz w:val="16"/>
                <w:szCs w:val="16"/>
              </w:rPr>
              <w:t>RTX compared with no RTX (weighted mean difference in ARR)</w:t>
            </w:r>
          </w:p>
        </w:tc>
        <w:tc>
          <w:tcPr>
            <w:tcW w:w="613" w:type="pct"/>
            <w:gridSpan w:val="2"/>
          </w:tcPr>
          <w:p w14:paraId="72C18CBA" w14:textId="77777777" w:rsidR="00433B47" w:rsidRDefault="00433B47" w:rsidP="00433B47">
            <w:pPr>
              <w:rPr>
                <w:rFonts w:ascii="Arial Narrow" w:hAnsi="Arial Narrow"/>
                <w:sz w:val="16"/>
                <w:szCs w:val="16"/>
              </w:rPr>
            </w:pPr>
            <w:r>
              <w:rPr>
                <w:rFonts w:ascii="Arial Narrow" w:hAnsi="Arial Narrow"/>
                <w:sz w:val="16"/>
                <w:szCs w:val="16"/>
              </w:rPr>
              <w:t>K=1 SR (18 observational studies)</w:t>
            </w:r>
          </w:p>
          <w:p w14:paraId="0640AA78" w14:textId="77777777" w:rsidR="00433B47" w:rsidRDefault="00433B47" w:rsidP="00433B47">
            <w:pPr>
              <w:rPr>
                <w:rFonts w:ascii="Arial Narrow" w:hAnsi="Arial Narrow"/>
                <w:sz w:val="16"/>
                <w:szCs w:val="16"/>
              </w:rPr>
            </w:pPr>
            <w:r>
              <w:rPr>
                <w:rFonts w:ascii="Arial Narrow" w:hAnsi="Arial Narrow"/>
                <w:sz w:val="16"/>
                <w:szCs w:val="16"/>
              </w:rPr>
              <w:t>N=NR</w:t>
            </w:r>
          </w:p>
        </w:tc>
        <w:tc>
          <w:tcPr>
            <w:tcW w:w="533" w:type="pct"/>
          </w:tcPr>
          <w:p w14:paraId="79D86A79" w14:textId="77777777" w:rsidR="00433B47" w:rsidRPr="000E65B7" w:rsidRDefault="00433B47" w:rsidP="00433B47">
            <w:pPr>
              <w:rPr>
                <w:rFonts w:ascii="Arial Narrow" w:hAnsi="Arial Narrow"/>
                <w:sz w:val="16"/>
                <w:szCs w:val="16"/>
              </w:rPr>
            </w:pPr>
            <w:r>
              <w:rPr>
                <w:rFonts w:ascii="Arial Narrow" w:hAnsi="Arial Narrow"/>
                <w:sz w:val="16"/>
                <w:szCs w:val="16"/>
              </w:rPr>
              <w:t>NA</w:t>
            </w:r>
          </w:p>
        </w:tc>
        <w:tc>
          <w:tcPr>
            <w:tcW w:w="432" w:type="pct"/>
          </w:tcPr>
          <w:p w14:paraId="7E799C97" w14:textId="77777777" w:rsidR="00433B47" w:rsidRDefault="00433B47" w:rsidP="00433B47">
            <w:pPr>
              <w:rPr>
                <w:rFonts w:ascii="Arial Narrow" w:hAnsi="Arial Narrow"/>
                <w:sz w:val="16"/>
                <w:szCs w:val="16"/>
              </w:rPr>
            </w:pPr>
            <w:r>
              <w:rPr>
                <w:rFonts w:ascii="Arial Narrow" w:hAnsi="Arial Narrow"/>
                <w:sz w:val="16"/>
                <w:szCs w:val="16"/>
              </w:rPr>
              <w:t xml:space="preserve">-1.56  </w:t>
            </w:r>
            <w:r>
              <w:rPr>
                <w:rFonts w:ascii="Arial Narrow" w:hAnsi="Arial Narrow"/>
                <w:sz w:val="16"/>
                <w:szCs w:val="16"/>
              </w:rPr>
              <w:br/>
              <w:t>(</w:t>
            </w:r>
            <w:r w:rsidRPr="000E65B7">
              <w:rPr>
                <w:rFonts w:ascii="Arial Narrow" w:hAnsi="Arial Narrow"/>
                <w:sz w:val="16"/>
                <w:szCs w:val="16"/>
              </w:rPr>
              <w:t>-1.82, -1.29)</w:t>
            </w:r>
          </w:p>
          <w:p w14:paraId="1A7937C8" w14:textId="77777777" w:rsidR="00433B47" w:rsidRPr="000E65B7" w:rsidRDefault="00433B47" w:rsidP="00433B47">
            <w:pPr>
              <w:rPr>
                <w:rFonts w:ascii="Arial Narrow" w:hAnsi="Arial Narrow"/>
                <w:sz w:val="16"/>
                <w:szCs w:val="16"/>
              </w:rPr>
            </w:pPr>
            <w:r>
              <w:rPr>
                <w:rFonts w:ascii="Arial Narrow" w:hAnsi="Arial Narrow"/>
                <w:sz w:val="16"/>
                <w:szCs w:val="16"/>
              </w:rPr>
              <w:t>P=0.000</w:t>
            </w:r>
          </w:p>
        </w:tc>
        <w:tc>
          <w:tcPr>
            <w:tcW w:w="544" w:type="pct"/>
            <w:hideMark/>
          </w:tcPr>
          <w:p w14:paraId="375DAEED" w14:textId="77777777" w:rsidR="00433B47" w:rsidRPr="000E65B7" w:rsidRDefault="00433B47" w:rsidP="00433B47">
            <w:pPr>
              <w:rPr>
                <w:rFonts w:ascii="Arial Narrow" w:hAnsi="Arial Narrow"/>
                <w:sz w:val="16"/>
                <w:szCs w:val="16"/>
              </w:rPr>
            </w:pPr>
            <w:r w:rsidRPr="00D4733A">
              <w:rPr>
                <w:rFonts w:ascii="Cambria Math" w:hAnsi="Cambria Math"/>
                <w:color w:val="00B050"/>
              </w:rPr>
              <w:t>⨁⨁⨁</w:t>
            </w:r>
            <w:r w:rsidRPr="00D4733A">
              <w:rPr>
                <w:rFonts w:ascii="Cambria Math" w:hAnsi="Cambria Math" w:cs="Cambria Math"/>
                <w:color w:val="C00000"/>
              </w:rPr>
              <w:t>⨀</w:t>
            </w:r>
            <w:r w:rsidRPr="000E65B7">
              <w:rPr>
                <w:rFonts w:ascii="Arial Narrow" w:hAnsi="Arial Narrow"/>
                <w:sz w:val="16"/>
                <w:szCs w:val="16"/>
              </w:rPr>
              <w:br/>
            </w:r>
            <w:r w:rsidRPr="000E65B7">
              <w:rPr>
                <w:rStyle w:val="quality-text"/>
                <w:rFonts w:ascii="Arial Narrow" w:hAnsi="Arial Narrow"/>
                <w:sz w:val="16"/>
                <w:szCs w:val="16"/>
              </w:rPr>
              <w:t>MODERATE</w:t>
            </w:r>
            <w:r w:rsidRPr="000E65B7">
              <w:rPr>
                <w:rFonts w:ascii="Arial Narrow" w:hAnsi="Arial Narrow"/>
                <w:sz w:val="16"/>
                <w:szCs w:val="16"/>
              </w:rPr>
              <w:t xml:space="preserve"> </w:t>
            </w:r>
          </w:p>
        </w:tc>
        <w:tc>
          <w:tcPr>
            <w:tcW w:w="2350" w:type="pct"/>
          </w:tcPr>
          <w:p w14:paraId="200C8793" w14:textId="77777777" w:rsidR="00433B47" w:rsidRDefault="00433B47" w:rsidP="00433B47">
            <w:pPr>
              <w:rPr>
                <w:rFonts w:ascii="Arial Narrow" w:hAnsi="Arial Narrow"/>
                <w:sz w:val="16"/>
                <w:szCs w:val="16"/>
              </w:rPr>
            </w:pPr>
            <w:r>
              <w:rPr>
                <w:rFonts w:ascii="Arial Narrow" w:hAnsi="Arial Narrow"/>
                <w:sz w:val="16"/>
                <w:szCs w:val="16"/>
              </w:rPr>
              <w:t>NMOSD patients who received RTX had a better improvement (measured by weighted mean difference in ARR) than those who received standard therapies alone. There was a strong association between RTX therapy and better outcome, and moderate confidence that this is the true effect.</w:t>
            </w:r>
          </w:p>
        </w:tc>
      </w:tr>
      <w:tr w:rsidR="00433B47" w:rsidRPr="000E65B7" w14:paraId="14A06A57" w14:textId="77777777" w:rsidTr="00F23742">
        <w:trPr>
          <w:cantSplit/>
          <w:trHeight w:val="798"/>
        </w:trPr>
        <w:tc>
          <w:tcPr>
            <w:tcW w:w="529" w:type="pct"/>
          </w:tcPr>
          <w:p w14:paraId="459AA45A" w14:textId="77777777" w:rsidR="00433B47" w:rsidRDefault="00433B47" w:rsidP="00433B47">
            <w:pPr>
              <w:rPr>
                <w:rFonts w:ascii="Arial Narrow" w:hAnsi="Arial Narrow"/>
                <w:sz w:val="16"/>
                <w:szCs w:val="16"/>
              </w:rPr>
            </w:pPr>
            <w:r>
              <w:rPr>
                <w:rFonts w:ascii="Arial Narrow" w:hAnsi="Arial Narrow"/>
                <w:sz w:val="16"/>
                <w:szCs w:val="16"/>
              </w:rPr>
              <w:t>ECZ compared with no ECZ (EDSS at follow-up)</w:t>
            </w:r>
          </w:p>
        </w:tc>
        <w:tc>
          <w:tcPr>
            <w:tcW w:w="613" w:type="pct"/>
            <w:gridSpan w:val="2"/>
          </w:tcPr>
          <w:p w14:paraId="589FEDD4" w14:textId="77777777" w:rsidR="00433B47" w:rsidRDefault="00433B47" w:rsidP="00433B47">
            <w:pPr>
              <w:rPr>
                <w:rFonts w:ascii="Arial Narrow" w:hAnsi="Arial Narrow"/>
                <w:sz w:val="16"/>
                <w:szCs w:val="16"/>
              </w:rPr>
            </w:pPr>
            <w:r>
              <w:rPr>
                <w:rFonts w:ascii="Arial Narrow" w:hAnsi="Arial Narrow"/>
                <w:sz w:val="16"/>
                <w:szCs w:val="16"/>
              </w:rPr>
              <w:t>K=1 randomised controlled trial</w:t>
            </w:r>
          </w:p>
          <w:p w14:paraId="0A73D5C1" w14:textId="77777777" w:rsidR="00433B47" w:rsidRPr="000E65B7" w:rsidRDefault="00433B47" w:rsidP="00433B47">
            <w:pPr>
              <w:rPr>
                <w:rFonts w:ascii="Arial Narrow" w:hAnsi="Arial Narrow"/>
                <w:sz w:val="16"/>
                <w:szCs w:val="16"/>
              </w:rPr>
            </w:pPr>
            <w:r>
              <w:rPr>
                <w:rFonts w:ascii="Arial Narrow" w:hAnsi="Arial Narrow"/>
                <w:sz w:val="16"/>
                <w:szCs w:val="16"/>
              </w:rPr>
              <w:t>N=143</w:t>
            </w:r>
          </w:p>
        </w:tc>
        <w:tc>
          <w:tcPr>
            <w:tcW w:w="533" w:type="pct"/>
          </w:tcPr>
          <w:p w14:paraId="18DC0AA2" w14:textId="77777777" w:rsidR="00433B47" w:rsidRDefault="00433B47" w:rsidP="00433B47">
            <w:pPr>
              <w:rPr>
                <w:rFonts w:ascii="Arial Narrow" w:hAnsi="Arial Narrow"/>
                <w:sz w:val="16"/>
                <w:szCs w:val="16"/>
              </w:rPr>
            </w:pPr>
            <w:r w:rsidRPr="000E65B7">
              <w:rPr>
                <w:rFonts w:ascii="Arial Narrow" w:hAnsi="Arial Narrow"/>
                <w:sz w:val="16"/>
                <w:szCs w:val="16"/>
              </w:rPr>
              <w:t xml:space="preserve">HR -0.29 </w:t>
            </w:r>
            <w:r>
              <w:rPr>
                <w:rFonts w:ascii="Arial Narrow" w:hAnsi="Arial Narrow"/>
                <w:sz w:val="16"/>
                <w:szCs w:val="16"/>
              </w:rPr>
              <w:br/>
            </w:r>
            <w:r w:rsidRPr="000E65B7">
              <w:rPr>
                <w:rFonts w:ascii="Arial Narrow" w:hAnsi="Arial Narrow"/>
                <w:sz w:val="16"/>
                <w:szCs w:val="16"/>
              </w:rPr>
              <w:t>(-0.59, 0.01)</w:t>
            </w:r>
          </w:p>
          <w:p w14:paraId="4C90A132" w14:textId="77777777" w:rsidR="00433B47" w:rsidRPr="000E65B7" w:rsidRDefault="00433B47" w:rsidP="00433B47">
            <w:pPr>
              <w:rPr>
                <w:rFonts w:ascii="Arial Narrow" w:hAnsi="Arial Narrow"/>
                <w:sz w:val="16"/>
                <w:szCs w:val="16"/>
              </w:rPr>
            </w:pPr>
            <w:r>
              <w:rPr>
                <w:rFonts w:ascii="Arial Narrow" w:hAnsi="Arial Narrow"/>
                <w:sz w:val="16"/>
                <w:szCs w:val="16"/>
              </w:rPr>
              <w:t>P not significant</w:t>
            </w:r>
          </w:p>
        </w:tc>
        <w:tc>
          <w:tcPr>
            <w:tcW w:w="432" w:type="pct"/>
          </w:tcPr>
          <w:p w14:paraId="6384EBC8" w14:textId="77777777" w:rsidR="00433B47" w:rsidRPr="000E65B7" w:rsidRDefault="00433B47" w:rsidP="00433B47">
            <w:pPr>
              <w:rPr>
                <w:rFonts w:ascii="Arial Narrow" w:hAnsi="Arial Narrow"/>
                <w:sz w:val="16"/>
                <w:szCs w:val="16"/>
              </w:rPr>
            </w:pPr>
            <w:r>
              <w:rPr>
                <w:rFonts w:ascii="Arial Narrow" w:hAnsi="Arial Narrow"/>
                <w:sz w:val="16"/>
                <w:szCs w:val="16"/>
              </w:rPr>
              <w:t>NA</w:t>
            </w:r>
          </w:p>
        </w:tc>
        <w:tc>
          <w:tcPr>
            <w:tcW w:w="544" w:type="pct"/>
            <w:hideMark/>
          </w:tcPr>
          <w:p w14:paraId="7D5631B7" w14:textId="77777777" w:rsidR="00433B47" w:rsidRPr="000E65B7" w:rsidRDefault="00433B47" w:rsidP="00433B47">
            <w:pPr>
              <w:rPr>
                <w:rFonts w:ascii="Arial Narrow" w:hAnsi="Arial Narrow"/>
                <w:sz w:val="16"/>
                <w:szCs w:val="16"/>
              </w:rPr>
            </w:pPr>
            <w:r w:rsidRPr="00D4733A">
              <w:rPr>
                <w:rFonts w:ascii="Cambria Math" w:hAnsi="Cambria Math"/>
                <w:color w:val="00B050"/>
              </w:rPr>
              <w:t>⨁⨁⨁</w:t>
            </w:r>
            <w:r w:rsidRPr="00D4733A">
              <w:rPr>
                <w:rFonts w:ascii="Cambria Math" w:hAnsi="Cambria Math" w:cs="Cambria Math"/>
                <w:color w:val="C00000"/>
              </w:rPr>
              <w:t>⨀</w:t>
            </w:r>
            <w:r w:rsidRPr="000E65B7">
              <w:rPr>
                <w:rFonts w:ascii="Arial Narrow" w:hAnsi="Arial Narrow"/>
                <w:sz w:val="16"/>
                <w:szCs w:val="16"/>
              </w:rPr>
              <w:br/>
            </w:r>
            <w:r w:rsidRPr="000E65B7">
              <w:rPr>
                <w:rStyle w:val="quality-text"/>
                <w:rFonts w:ascii="Arial Narrow" w:hAnsi="Arial Narrow"/>
                <w:sz w:val="16"/>
                <w:szCs w:val="16"/>
              </w:rPr>
              <w:t>MODERATE</w:t>
            </w:r>
          </w:p>
        </w:tc>
        <w:tc>
          <w:tcPr>
            <w:tcW w:w="2350" w:type="pct"/>
          </w:tcPr>
          <w:p w14:paraId="6EBE466B" w14:textId="77777777" w:rsidR="00433B47" w:rsidRDefault="00433B47" w:rsidP="00433B47">
            <w:pPr>
              <w:rPr>
                <w:rFonts w:ascii="Arial Narrow" w:hAnsi="Arial Narrow"/>
                <w:sz w:val="16"/>
                <w:szCs w:val="16"/>
              </w:rPr>
            </w:pPr>
            <w:r>
              <w:rPr>
                <w:rFonts w:ascii="Arial Narrow" w:hAnsi="Arial Narrow"/>
                <w:sz w:val="16"/>
                <w:szCs w:val="16"/>
              </w:rPr>
              <w:t>There was a reduction in EDSS in those randomised to both the ECZ and placebo (standard therapies alone) groups. There was no significant difference in the EDSS between groups at follow-up. This result was against the trend of other treatment effects. There was moderate confidence that this is the true effect</w:t>
            </w:r>
          </w:p>
        </w:tc>
      </w:tr>
      <w:tr w:rsidR="00433B47" w:rsidRPr="000E65B7" w14:paraId="427C3D1F" w14:textId="77777777" w:rsidTr="00F23742">
        <w:trPr>
          <w:cantSplit/>
          <w:trHeight w:val="919"/>
        </w:trPr>
        <w:tc>
          <w:tcPr>
            <w:tcW w:w="529" w:type="pct"/>
          </w:tcPr>
          <w:p w14:paraId="691C3BA2" w14:textId="77777777" w:rsidR="00433B47" w:rsidRDefault="00433B47" w:rsidP="00433B47">
            <w:pPr>
              <w:rPr>
                <w:rFonts w:ascii="Arial Narrow" w:hAnsi="Arial Narrow"/>
                <w:sz w:val="16"/>
                <w:szCs w:val="16"/>
              </w:rPr>
            </w:pPr>
            <w:r>
              <w:rPr>
                <w:rFonts w:ascii="Arial Narrow" w:hAnsi="Arial Narrow"/>
                <w:sz w:val="16"/>
                <w:szCs w:val="16"/>
              </w:rPr>
              <w:t>ECZ compared with no ECZ (ARR at follow-up)</w:t>
            </w:r>
          </w:p>
        </w:tc>
        <w:tc>
          <w:tcPr>
            <w:tcW w:w="613" w:type="pct"/>
            <w:gridSpan w:val="2"/>
          </w:tcPr>
          <w:p w14:paraId="7B28A03F" w14:textId="77777777" w:rsidR="00433B47" w:rsidRDefault="00433B47" w:rsidP="00433B47">
            <w:pPr>
              <w:rPr>
                <w:rFonts w:ascii="Arial Narrow" w:hAnsi="Arial Narrow"/>
                <w:sz w:val="16"/>
                <w:szCs w:val="16"/>
              </w:rPr>
            </w:pPr>
            <w:r>
              <w:rPr>
                <w:rFonts w:ascii="Arial Narrow" w:hAnsi="Arial Narrow"/>
                <w:sz w:val="16"/>
                <w:szCs w:val="16"/>
              </w:rPr>
              <w:t>K=1 randomised controlled trial</w:t>
            </w:r>
          </w:p>
          <w:p w14:paraId="60988E64" w14:textId="77777777" w:rsidR="00433B47" w:rsidRPr="000E65B7" w:rsidRDefault="00433B47" w:rsidP="00433B47">
            <w:pPr>
              <w:rPr>
                <w:rFonts w:ascii="Arial Narrow" w:hAnsi="Arial Narrow"/>
                <w:sz w:val="16"/>
                <w:szCs w:val="16"/>
              </w:rPr>
            </w:pPr>
            <w:r>
              <w:rPr>
                <w:rFonts w:ascii="Arial Narrow" w:hAnsi="Arial Narrow"/>
                <w:sz w:val="16"/>
                <w:szCs w:val="16"/>
              </w:rPr>
              <w:t>N=143</w:t>
            </w:r>
          </w:p>
        </w:tc>
        <w:tc>
          <w:tcPr>
            <w:tcW w:w="533" w:type="pct"/>
          </w:tcPr>
          <w:p w14:paraId="579B75C2" w14:textId="77777777" w:rsidR="00433B47" w:rsidRDefault="00433B47" w:rsidP="00433B47">
            <w:pPr>
              <w:rPr>
                <w:rFonts w:ascii="Arial Narrow" w:hAnsi="Arial Narrow"/>
                <w:sz w:val="16"/>
                <w:szCs w:val="16"/>
              </w:rPr>
            </w:pPr>
            <w:r w:rsidRPr="000E65B7">
              <w:rPr>
                <w:rFonts w:ascii="Arial Narrow" w:hAnsi="Arial Narrow"/>
                <w:sz w:val="16"/>
                <w:szCs w:val="16"/>
              </w:rPr>
              <w:t xml:space="preserve">HR 0.04 </w:t>
            </w:r>
            <w:r>
              <w:rPr>
                <w:rFonts w:ascii="Arial Narrow" w:hAnsi="Arial Narrow"/>
                <w:sz w:val="16"/>
                <w:szCs w:val="16"/>
              </w:rPr>
              <w:br/>
            </w:r>
            <w:r w:rsidRPr="000E65B7">
              <w:rPr>
                <w:rFonts w:ascii="Arial Narrow" w:hAnsi="Arial Narrow"/>
                <w:sz w:val="16"/>
                <w:szCs w:val="16"/>
              </w:rPr>
              <w:t>(0.01, 0.015)</w:t>
            </w:r>
          </w:p>
          <w:p w14:paraId="02016EBE" w14:textId="77777777" w:rsidR="00433B47" w:rsidRPr="000E65B7" w:rsidRDefault="00433B47" w:rsidP="00433B47">
            <w:pPr>
              <w:rPr>
                <w:rFonts w:ascii="Arial Narrow" w:hAnsi="Arial Narrow"/>
                <w:sz w:val="16"/>
                <w:szCs w:val="16"/>
              </w:rPr>
            </w:pPr>
            <w:r>
              <w:rPr>
                <w:rFonts w:ascii="Arial Narrow" w:hAnsi="Arial Narrow"/>
                <w:sz w:val="16"/>
                <w:szCs w:val="16"/>
              </w:rPr>
              <w:t>P&lt;0.001</w:t>
            </w:r>
          </w:p>
        </w:tc>
        <w:tc>
          <w:tcPr>
            <w:tcW w:w="432" w:type="pct"/>
          </w:tcPr>
          <w:p w14:paraId="0C022BA5" w14:textId="77777777" w:rsidR="00433B47" w:rsidRPr="000E65B7" w:rsidRDefault="00433B47" w:rsidP="00433B47">
            <w:pPr>
              <w:rPr>
                <w:rFonts w:ascii="Arial Narrow" w:hAnsi="Arial Narrow"/>
                <w:sz w:val="16"/>
                <w:szCs w:val="16"/>
              </w:rPr>
            </w:pPr>
            <w:r>
              <w:rPr>
                <w:rFonts w:ascii="Arial Narrow" w:hAnsi="Arial Narrow"/>
                <w:sz w:val="16"/>
                <w:szCs w:val="16"/>
              </w:rPr>
              <w:t>NA</w:t>
            </w:r>
          </w:p>
        </w:tc>
        <w:tc>
          <w:tcPr>
            <w:tcW w:w="544" w:type="pct"/>
            <w:hideMark/>
          </w:tcPr>
          <w:p w14:paraId="4A510A65" w14:textId="77777777" w:rsidR="00433B47" w:rsidRPr="000E65B7" w:rsidRDefault="00433B47" w:rsidP="00433B47">
            <w:pPr>
              <w:rPr>
                <w:rFonts w:ascii="Arial Narrow" w:hAnsi="Arial Narrow"/>
                <w:sz w:val="16"/>
                <w:szCs w:val="16"/>
              </w:rPr>
            </w:pPr>
            <w:r w:rsidRPr="00D4733A">
              <w:rPr>
                <w:rFonts w:ascii="Cambria Math" w:hAnsi="Cambria Math"/>
                <w:color w:val="00B050"/>
              </w:rPr>
              <w:t>⨁⨁⨁⨁</w:t>
            </w:r>
            <w:r w:rsidRPr="000E65B7">
              <w:rPr>
                <w:rFonts w:ascii="Arial Narrow" w:hAnsi="Arial Narrow"/>
                <w:sz w:val="16"/>
                <w:szCs w:val="16"/>
              </w:rPr>
              <w:br/>
            </w:r>
            <w:r w:rsidRPr="000E65B7">
              <w:rPr>
                <w:rStyle w:val="quality-text"/>
                <w:rFonts w:ascii="Arial Narrow" w:hAnsi="Arial Narrow"/>
                <w:sz w:val="16"/>
                <w:szCs w:val="16"/>
              </w:rPr>
              <w:t>HIGH</w:t>
            </w:r>
            <w:r w:rsidRPr="000E65B7">
              <w:rPr>
                <w:rFonts w:ascii="Arial Narrow" w:hAnsi="Arial Narrow"/>
                <w:sz w:val="16"/>
                <w:szCs w:val="16"/>
              </w:rPr>
              <w:t xml:space="preserve"> </w:t>
            </w:r>
          </w:p>
        </w:tc>
        <w:tc>
          <w:tcPr>
            <w:tcW w:w="2350" w:type="pct"/>
            <w:hideMark/>
          </w:tcPr>
          <w:p w14:paraId="2208B108" w14:textId="77777777" w:rsidR="00433B47" w:rsidRDefault="00433B47" w:rsidP="00433B47">
            <w:pPr>
              <w:rPr>
                <w:rFonts w:ascii="Arial Narrow" w:hAnsi="Arial Narrow"/>
                <w:sz w:val="16"/>
                <w:szCs w:val="16"/>
              </w:rPr>
            </w:pPr>
            <w:r>
              <w:rPr>
                <w:rFonts w:ascii="Arial Narrow" w:hAnsi="Arial Narrow"/>
                <w:sz w:val="16"/>
                <w:szCs w:val="16"/>
              </w:rPr>
              <w:t>NMOSD patients who were randomised to ECZ had a better outcome (measured by ARR at follow-up) than those randomised to placebo (standard therapies alone). There was a very strong association between ECZ therapy and better outcome, and high confidence that this is the true effect</w:t>
            </w:r>
          </w:p>
        </w:tc>
      </w:tr>
    </w:tbl>
    <w:p w14:paraId="3341B776" w14:textId="2CCF5336" w:rsidR="00433B47" w:rsidRPr="005801A9" w:rsidRDefault="00A461E2" w:rsidP="00433B47">
      <w:pPr>
        <w:spacing w:after="80"/>
        <w:rPr>
          <w:rFonts w:ascii="Arial Narrow" w:hAnsi="Arial Narrow"/>
          <w:sz w:val="16"/>
          <w:szCs w:val="16"/>
          <w:lang w:val="en"/>
        </w:rPr>
      </w:pPr>
      <w:r>
        <w:rPr>
          <w:rFonts w:ascii="Arial Narrow" w:hAnsi="Arial Narrow"/>
          <w:bCs/>
          <w:sz w:val="16"/>
          <w:szCs w:val="16"/>
          <w:lang w:val="en"/>
        </w:rPr>
        <w:t xml:space="preserve">ARR = absolute risk reduction; </w:t>
      </w:r>
      <w:r w:rsidR="00433B47" w:rsidRPr="00EA5BA8">
        <w:rPr>
          <w:rFonts w:ascii="Arial Narrow" w:hAnsi="Arial Narrow"/>
          <w:bCs/>
          <w:sz w:val="16"/>
          <w:szCs w:val="16"/>
          <w:lang w:val="en"/>
        </w:rPr>
        <w:t>AZA= azathioprine</w:t>
      </w:r>
      <w:r w:rsidR="00433B47">
        <w:rPr>
          <w:rFonts w:ascii="Arial Narrow" w:hAnsi="Arial Narrow"/>
          <w:b/>
          <w:bCs/>
          <w:sz w:val="16"/>
          <w:szCs w:val="16"/>
          <w:lang w:val="en"/>
        </w:rPr>
        <w:t xml:space="preserve">; </w:t>
      </w:r>
      <w:r w:rsidR="00433B47" w:rsidRPr="00035B16">
        <w:rPr>
          <w:rFonts w:ascii="Arial Narrow" w:hAnsi="Arial Narrow"/>
          <w:bCs/>
          <w:sz w:val="16"/>
          <w:szCs w:val="16"/>
          <w:lang w:val="en"/>
        </w:rPr>
        <w:t>CI:</w:t>
      </w:r>
      <w:r w:rsidR="00433B47" w:rsidRPr="005801A9">
        <w:rPr>
          <w:rFonts w:ascii="Arial Narrow" w:hAnsi="Arial Narrow"/>
          <w:sz w:val="16"/>
          <w:szCs w:val="16"/>
          <w:lang w:val="en"/>
        </w:rPr>
        <w:t xml:space="preserve"> Confidence interval</w:t>
      </w:r>
      <w:r w:rsidR="00433B47">
        <w:rPr>
          <w:rFonts w:ascii="Arial Narrow" w:hAnsi="Arial Narrow"/>
          <w:sz w:val="16"/>
          <w:szCs w:val="16"/>
          <w:lang w:val="en"/>
        </w:rPr>
        <w:t xml:space="preserve">; </w:t>
      </w:r>
      <w:r>
        <w:rPr>
          <w:rFonts w:ascii="Arial Narrow" w:hAnsi="Arial Narrow"/>
          <w:sz w:val="16"/>
          <w:szCs w:val="16"/>
          <w:lang w:val="en"/>
        </w:rPr>
        <w:t xml:space="preserve">ECZ = eculizumab; </w:t>
      </w:r>
      <w:r w:rsidR="00433B47">
        <w:rPr>
          <w:rFonts w:ascii="Arial Narrow" w:hAnsi="Arial Narrow"/>
          <w:sz w:val="16"/>
          <w:szCs w:val="16"/>
          <w:lang w:val="en"/>
        </w:rPr>
        <w:t>EDSS = exp</w:t>
      </w:r>
      <w:r>
        <w:rPr>
          <w:rFonts w:ascii="Arial Narrow" w:hAnsi="Arial Narrow"/>
          <w:sz w:val="16"/>
          <w:szCs w:val="16"/>
          <w:lang w:val="en"/>
        </w:rPr>
        <w:t>a</w:t>
      </w:r>
      <w:r w:rsidR="00433B47">
        <w:rPr>
          <w:rFonts w:ascii="Arial Narrow" w:hAnsi="Arial Narrow"/>
          <w:sz w:val="16"/>
          <w:szCs w:val="16"/>
          <w:lang w:val="en"/>
        </w:rPr>
        <w:t>nded disability severity score; HR = hazard ration; IVMP</w:t>
      </w:r>
      <w:r w:rsidR="00433B47" w:rsidRPr="00EA5BA8">
        <w:rPr>
          <w:rFonts w:ascii="Arial Narrow" w:hAnsi="Arial Narrow"/>
          <w:sz w:val="16"/>
          <w:szCs w:val="16"/>
          <w:lang w:val="en"/>
        </w:rPr>
        <w:t xml:space="preserve"> =</w:t>
      </w:r>
      <w:r w:rsidR="00433B47">
        <w:t xml:space="preserve"> </w:t>
      </w:r>
      <w:r w:rsidR="00433B47" w:rsidRPr="007B6C02">
        <w:rPr>
          <w:rFonts w:ascii="Arial Narrow" w:hAnsi="Arial Narrow"/>
          <w:sz w:val="16"/>
          <w:szCs w:val="16"/>
          <w:lang w:val="en"/>
        </w:rPr>
        <w:t>intravenous</w:t>
      </w:r>
      <w:r w:rsidR="00433B47">
        <w:t xml:space="preserve"> </w:t>
      </w:r>
      <w:r w:rsidR="00433B47" w:rsidRPr="005F034B">
        <w:rPr>
          <w:rFonts w:ascii="Arial Narrow" w:hAnsi="Arial Narrow"/>
          <w:sz w:val="16"/>
          <w:szCs w:val="16"/>
          <w:lang w:val="en"/>
        </w:rPr>
        <w:t>methylprednisolone</w:t>
      </w:r>
      <w:r w:rsidR="00433B47">
        <w:rPr>
          <w:rFonts w:ascii="Arial Narrow" w:hAnsi="Arial Narrow"/>
          <w:sz w:val="16"/>
          <w:szCs w:val="16"/>
          <w:lang w:val="en"/>
        </w:rPr>
        <w:t>;</w:t>
      </w:r>
      <w:r w:rsidR="00433B47" w:rsidRPr="005F034B">
        <w:rPr>
          <w:rFonts w:ascii="Arial Narrow" w:hAnsi="Arial Narrow"/>
          <w:sz w:val="16"/>
          <w:szCs w:val="16"/>
          <w:lang w:val="en"/>
        </w:rPr>
        <w:t xml:space="preserve"> </w:t>
      </w:r>
      <w:r w:rsidR="00433B47">
        <w:rPr>
          <w:rFonts w:ascii="Arial Narrow" w:hAnsi="Arial Narrow"/>
          <w:sz w:val="16"/>
          <w:szCs w:val="16"/>
          <w:lang w:val="en"/>
        </w:rPr>
        <w:t xml:space="preserve">NA = not available; </w:t>
      </w:r>
      <w:r w:rsidRPr="00B35E47">
        <w:rPr>
          <w:rFonts w:ascii="Arial Narrow" w:hAnsi="Arial Narrow" w:cs="Arial"/>
          <w:snapToGrid w:val="0"/>
          <w:sz w:val="18"/>
          <w:lang w:eastAsia="en-US"/>
        </w:rPr>
        <w:t xml:space="preserve">NMOSD = neuromyelitis optica spectrum disorder; </w:t>
      </w:r>
      <w:r w:rsidR="00433B47">
        <w:rPr>
          <w:rFonts w:ascii="Arial Narrow" w:hAnsi="Arial Narrow"/>
          <w:sz w:val="16"/>
          <w:szCs w:val="16"/>
          <w:lang w:val="en"/>
        </w:rPr>
        <w:t xml:space="preserve">NR = not reported; OR = odds ratio; </w:t>
      </w:r>
      <w:r w:rsidRPr="00B35E47">
        <w:rPr>
          <w:rFonts w:ascii="Arial Narrow" w:hAnsi="Arial Narrow" w:cs="Arial"/>
          <w:snapToGrid w:val="0"/>
          <w:sz w:val="18"/>
          <w:lang w:eastAsia="en-US"/>
        </w:rPr>
        <w:t>PLEX = pl</w:t>
      </w:r>
      <w:r>
        <w:rPr>
          <w:rFonts w:ascii="Arial Narrow" w:hAnsi="Arial Narrow" w:cs="Arial"/>
          <w:snapToGrid w:val="0"/>
          <w:sz w:val="18"/>
          <w:lang w:eastAsia="en-US"/>
        </w:rPr>
        <w:t>asma exchange; RTX = rituximab;</w:t>
      </w:r>
      <w:r>
        <w:rPr>
          <w:rFonts w:ascii="Arial Narrow" w:hAnsi="Arial Narrow"/>
          <w:sz w:val="16"/>
          <w:szCs w:val="16"/>
          <w:lang w:val="en"/>
        </w:rPr>
        <w:t xml:space="preserve"> </w:t>
      </w:r>
      <w:r w:rsidR="00433B47">
        <w:rPr>
          <w:rFonts w:ascii="Arial Narrow" w:hAnsi="Arial Narrow"/>
          <w:sz w:val="16"/>
          <w:szCs w:val="16"/>
          <w:lang w:val="en"/>
        </w:rPr>
        <w:t>SR = systematic review</w:t>
      </w:r>
    </w:p>
    <w:p w14:paraId="7B28049A" w14:textId="77777777" w:rsidR="00433B47" w:rsidRPr="005801A9" w:rsidRDefault="00433B47" w:rsidP="00433B47">
      <w:pPr>
        <w:spacing w:after="80"/>
        <w:rPr>
          <w:rFonts w:ascii="Arial Narrow" w:hAnsi="Arial Narrow"/>
          <w:b/>
          <w:bCs/>
          <w:sz w:val="16"/>
          <w:szCs w:val="16"/>
          <w:lang w:val="en"/>
        </w:rPr>
      </w:pPr>
      <w:r w:rsidRPr="005801A9">
        <w:rPr>
          <w:rFonts w:ascii="Arial Narrow" w:hAnsi="Arial Narrow"/>
          <w:b/>
          <w:bCs/>
          <w:sz w:val="16"/>
          <w:szCs w:val="16"/>
          <w:lang w:val="en"/>
        </w:rPr>
        <w:t>Explanations</w:t>
      </w:r>
    </w:p>
    <w:p w14:paraId="494586E0" w14:textId="77777777" w:rsidR="00433B47" w:rsidRPr="005801A9" w:rsidRDefault="00433B47" w:rsidP="00433B47">
      <w:pPr>
        <w:rPr>
          <w:rFonts w:ascii="Arial Narrow" w:hAnsi="Arial Narrow"/>
          <w:sz w:val="16"/>
          <w:szCs w:val="16"/>
          <w:lang w:val="en"/>
        </w:rPr>
      </w:pPr>
      <w:r w:rsidRPr="005801A9">
        <w:rPr>
          <w:rFonts w:ascii="Arial Narrow" w:hAnsi="Arial Narrow"/>
          <w:sz w:val="16"/>
          <w:szCs w:val="16"/>
          <w:lang w:val="en"/>
        </w:rPr>
        <w:t xml:space="preserve">a. Retrospective study design at risk of selection bias </w:t>
      </w:r>
    </w:p>
    <w:p w14:paraId="0B540DD4" w14:textId="77777777" w:rsidR="00433B47" w:rsidRDefault="00433B47" w:rsidP="00F4009F">
      <w:pPr>
        <w:pStyle w:val="Tablenotes"/>
      </w:pPr>
      <w:r w:rsidRPr="005B189A">
        <w:rPr>
          <w:b/>
        </w:rPr>
        <w:t>GRADE Working Group grades of evidence (Guyatt et al., 2013)</w:t>
      </w:r>
      <w:r w:rsidRPr="005B189A">
        <w:rPr>
          <w:b/>
        </w:rPr>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32A33850" w14:textId="77777777" w:rsidR="00433B47" w:rsidRPr="00626D43" w:rsidRDefault="00433B47" w:rsidP="00F4009F">
      <w:pPr>
        <w:pStyle w:val="Tablenotes"/>
      </w:pPr>
      <w:r>
        <w:t>Source: Table 69, pp123-25 of the DCAR</w:t>
      </w:r>
    </w:p>
    <w:p w14:paraId="3AB414AD" w14:textId="77777777" w:rsidR="00433B47" w:rsidRDefault="00433B47" w:rsidP="00433B47">
      <w:pPr>
        <w:pStyle w:val="Heading2"/>
      </w:pPr>
      <w:r>
        <w:lastRenderedPageBreak/>
        <w:t>Impact of repeat testing/monitoring</w:t>
      </w:r>
    </w:p>
    <w:p w14:paraId="31022584" w14:textId="47E0CFD4" w:rsidR="001625E9" w:rsidRPr="001625E9" w:rsidRDefault="00433B47" w:rsidP="001625E9">
      <w:r>
        <w:t>Due to only limited evidence provided by two studies containing small sample sizes, and of low evidence quality, no conclusion can be drawn regarding the association between the presence of AQP4</w:t>
      </w:r>
      <w:r w:rsidR="003C0E09">
        <w:t>-Abs and prediction of relapse.</w:t>
      </w:r>
    </w:p>
    <w:p w14:paraId="3A65F725" w14:textId="77777777" w:rsidR="001625E9" w:rsidRDefault="00C06B0B" w:rsidP="003C0E09">
      <w:pPr>
        <w:tabs>
          <w:tab w:val="left" w:pos="720"/>
          <w:tab w:val="left" w:pos="1140"/>
        </w:tabs>
        <w:spacing w:before="240"/>
        <w:rPr>
          <w:b/>
          <w:szCs w:val="24"/>
        </w:rPr>
      </w:pPr>
      <w:r>
        <w:rPr>
          <w:b/>
          <w:szCs w:val="24"/>
        </w:rPr>
        <w:t>Clinical c</w:t>
      </w:r>
      <w:r w:rsidR="00F37B9C" w:rsidRPr="00F37B9C">
        <w:rPr>
          <w:b/>
          <w:szCs w:val="24"/>
        </w:rPr>
        <w:t>laim</w:t>
      </w:r>
    </w:p>
    <w:p w14:paraId="14CF8B9C" w14:textId="1A193AD1" w:rsidR="001625E9" w:rsidRDefault="001625E9" w:rsidP="001625E9">
      <w:r w:rsidRPr="00FC0F62">
        <w:t xml:space="preserve">The Applicant </w:t>
      </w:r>
      <w:r>
        <w:t xml:space="preserve">did </w:t>
      </w:r>
      <w:r w:rsidRPr="00FC0F62">
        <w:t xml:space="preserve">not submit a clinical claim. </w:t>
      </w:r>
      <w:r>
        <w:t xml:space="preserve">The DCAR </w:t>
      </w:r>
      <w:r w:rsidRPr="00FC0F62">
        <w:t>expected that AQP4-Ab testing with/without MOG-Ab testing will have non-inferior safety and superior effectiveness to clinical diagnosis alone for the diagnosis of NMOSD</w:t>
      </w:r>
      <w:r w:rsidR="003C0E09">
        <w:t>.</w:t>
      </w:r>
    </w:p>
    <w:p w14:paraId="1842E446" w14:textId="05E259C1" w:rsidR="001625E9" w:rsidRPr="00825055" w:rsidRDefault="001625E9" w:rsidP="003C0E09">
      <w:pPr>
        <w:spacing w:before="240"/>
      </w:pPr>
      <w:r w:rsidRPr="00DA6A48">
        <w:t xml:space="preserve">On the basis of the evidence profile (summarised in </w:t>
      </w:r>
      <w:r w:rsidR="00442619" w:rsidRPr="009D6016">
        <w:rPr>
          <w:szCs w:val="24"/>
        </w:rPr>
        <w:fldChar w:fldCharType="begin"/>
      </w:r>
      <w:r w:rsidR="00442619" w:rsidRPr="009D6016">
        <w:rPr>
          <w:szCs w:val="24"/>
        </w:rPr>
        <w:instrText xml:space="preserve"> REF _Ref33002067 \h </w:instrText>
      </w:r>
      <w:r w:rsidR="009D6016" w:rsidRPr="009D6016">
        <w:rPr>
          <w:szCs w:val="24"/>
        </w:rPr>
        <w:instrText xml:space="preserve"> \* MERGEFORMAT </w:instrText>
      </w:r>
      <w:r w:rsidR="00442619" w:rsidRPr="009D6016">
        <w:rPr>
          <w:szCs w:val="24"/>
        </w:rPr>
      </w:r>
      <w:r w:rsidR="00442619" w:rsidRPr="009D6016">
        <w:rPr>
          <w:szCs w:val="24"/>
        </w:rPr>
        <w:fldChar w:fldCharType="separate"/>
      </w:r>
      <w:r w:rsidR="009D6016" w:rsidRPr="009D6016">
        <w:rPr>
          <w:szCs w:val="24"/>
        </w:rPr>
        <w:t xml:space="preserve">Table </w:t>
      </w:r>
      <w:r w:rsidR="009D6016" w:rsidRPr="009D6016">
        <w:rPr>
          <w:noProof/>
          <w:szCs w:val="24"/>
        </w:rPr>
        <w:t>7</w:t>
      </w:r>
      <w:r w:rsidR="00442619" w:rsidRPr="009D6016">
        <w:rPr>
          <w:szCs w:val="24"/>
        </w:rPr>
        <w:fldChar w:fldCharType="end"/>
      </w:r>
      <w:r>
        <w:t xml:space="preserve"> and </w:t>
      </w:r>
      <w:r w:rsidR="00442619" w:rsidRPr="009D6016">
        <w:rPr>
          <w:szCs w:val="24"/>
        </w:rPr>
        <w:fldChar w:fldCharType="begin"/>
      </w:r>
      <w:r w:rsidR="00442619" w:rsidRPr="009D6016">
        <w:rPr>
          <w:szCs w:val="24"/>
        </w:rPr>
        <w:instrText xml:space="preserve"> REF _Ref33021356 \h </w:instrText>
      </w:r>
      <w:r w:rsidR="009D6016" w:rsidRPr="009D6016">
        <w:rPr>
          <w:szCs w:val="24"/>
        </w:rPr>
        <w:instrText xml:space="preserve"> \* MERGEFORMAT </w:instrText>
      </w:r>
      <w:r w:rsidR="00442619" w:rsidRPr="009D6016">
        <w:rPr>
          <w:szCs w:val="24"/>
        </w:rPr>
      </w:r>
      <w:r w:rsidR="00442619" w:rsidRPr="009D6016">
        <w:rPr>
          <w:szCs w:val="24"/>
        </w:rPr>
        <w:fldChar w:fldCharType="separate"/>
      </w:r>
      <w:r w:rsidR="009D6016" w:rsidRPr="009D6016">
        <w:rPr>
          <w:szCs w:val="24"/>
        </w:rPr>
        <w:t xml:space="preserve">Table </w:t>
      </w:r>
      <w:r w:rsidR="009D6016" w:rsidRPr="009D6016">
        <w:rPr>
          <w:noProof/>
          <w:szCs w:val="24"/>
        </w:rPr>
        <w:t>8</w:t>
      </w:r>
      <w:r w:rsidR="00442619" w:rsidRPr="009D6016">
        <w:rPr>
          <w:szCs w:val="24"/>
        </w:rPr>
        <w:fldChar w:fldCharType="end"/>
      </w:r>
      <w:r w:rsidRPr="00DA6A48">
        <w:t>),</w:t>
      </w:r>
      <w:r w:rsidRPr="00825055">
        <w:t xml:space="preserve"> the DCAR suggested that, relative to diagnosis of NMOSD without AQP4-Ab testing, diagnosis </w:t>
      </w:r>
      <w:r w:rsidR="00825055" w:rsidRPr="00825055">
        <w:t xml:space="preserve">of NMOSD </w:t>
      </w:r>
      <w:r w:rsidRPr="00825055">
        <w:t xml:space="preserve">with </w:t>
      </w:r>
      <w:r w:rsidR="00825055" w:rsidRPr="00825055">
        <w:t xml:space="preserve">AQP4-Ab </w:t>
      </w:r>
      <w:r w:rsidRPr="00825055">
        <w:t>testing and associated treatments has non-inferior saf</w:t>
      </w:r>
      <w:r w:rsidR="003C0E09">
        <w:t>ety and superior effectiveness.</w:t>
      </w:r>
    </w:p>
    <w:p w14:paraId="6DA394D0" w14:textId="435324DA" w:rsidR="001625E9" w:rsidRPr="00825055" w:rsidRDefault="001625E9" w:rsidP="003C0E09">
      <w:pPr>
        <w:spacing w:before="240"/>
      </w:pPr>
      <w:r w:rsidRPr="00825055">
        <w:t>Due to limited evidence, the DCAR suggested that, diagnosis of NMOSD with MOG-Ab testing, relative to diagnosis of NMOSD without MOG-Ab testing, has uncertain safe</w:t>
      </w:r>
      <w:r w:rsidR="003C0E09">
        <w:t>ty and uncertain effectiveness.</w:t>
      </w:r>
    </w:p>
    <w:p w14:paraId="4E5C432C" w14:textId="56E7FD2D" w:rsidR="001625E9" w:rsidRPr="00825055" w:rsidRDefault="001625E9" w:rsidP="003C0E09">
      <w:pPr>
        <w:spacing w:before="240"/>
        <w:rPr>
          <w:lang w:eastAsia="en-US"/>
        </w:rPr>
      </w:pPr>
      <w:r w:rsidRPr="00825055">
        <w:rPr>
          <w:lang w:eastAsia="en-US"/>
        </w:rPr>
        <w:t>Due to limited evidence, the DCAR suggested that retesting or monitoring of NMOSD with AQP4-AB or MOG-Ab testing, relative to retesting or monitoring of NMOSD without AQP4-Ab or MOG-Ab testing, has uncertain safety and uncertain effectiveness</w:t>
      </w:r>
      <w:r w:rsidR="00825055">
        <w:rPr>
          <w:lang w:eastAsia="en-US"/>
        </w:rPr>
        <w:t>.</w:t>
      </w:r>
    </w:p>
    <w:p w14:paraId="4489DCFB" w14:textId="77777777" w:rsidR="001625E9" w:rsidRDefault="001625E9" w:rsidP="001625E9">
      <w:pPr>
        <w:pStyle w:val="Heading2"/>
        <w:rPr>
          <w:lang w:eastAsia="en-US"/>
        </w:rPr>
      </w:pPr>
      <w:r>
        <w:rPr>
          <w:lang w:eastAsia="en-US"/>
        </w:rPr>
        <w:t>Translation issues</w:t>
      </w:r>
    </w:p>
    <w:p w14:paraId="77EF5588" w14:textId="59FBF663" w:rsidR="001625E9" w:rsidRDefault="001625E9" w:rsidP="001625E9">
      <w:r>
        <w:t xml:space="preserve">A number of translation issues </w:t>
      </w:r>
      <w:proofErr w:type="gramStart"/>
      <w:r>
        <w:t>were identified</w:t>
      </w:r>
      <w:proofErr w:type="gramEnd"/>
      <w:r>
        <w:t xml:space="preserve"> and have been addressed by the DCAR to facilitate development of an economic model in the Australian population (</w:t>
      </w:r>
      <w:r w:rsidR="003C0E09" w:rsidRPr="009D6016">
        <w:rPr>
          <w:szCs w:val="24"/>
        </w:rPr>
        <w:fldChar w:fldCharType="begin"/>
      </w:r>
      <w:r w:rsidR="003C0E09" w:rsidRPr="009D6016">
        <w:rPr>
          <w:szCs w:val="24"/>
        </w:rPr>
        <w:instrText xml:space="preserve"> REF _Ref421019304 \h </w:instrText>
      </w:r>
      <w:r w:rsidR="009D6016" w:rsidRPr="009D6016">
        <w:rPr>
          <w:szCs w:val="24"/>
        </w:rPr>
        <w:instrText xml:space="preserve"> \* MERGEFORMAT </w:instrText>
      </w:r>
      <w:r w:rsidR="003C0E09" w:rsidRPr="009D6016">
        <w:rPr>
          <w:szCs w:val="24"/>
        </w:rPr>
      </w:r>
      <w:r w:rsidR="003C0E09" w:rsidRPr="009D6016">
        <w:rPr>
          <w:szCs w:val="24"/>
        </w:rPr>
        <w:fldChar w:fldCharType="separate"/>
      </w:r>
      <w:r w:rsidR="009D6016" w:rsidRPr="009D6016">
        <w:rPr>
          <w:szCs w:val="24"/>
        </w:rPr>
        <w:t xml:space="preserve">Table </w:t>
      </w:r>
      <w:r w:rsidR="009D6016" w:rsidRPr="009D6016">
        <w:rPr>
          <w:noProof/>
          <w:szCs w:val="24"/>
        </w:rPr>
        <w:t>9</w:t>
      </w:r>
      <w:r w:rsidR="003C0E09" w:rsidRPr="009D6016">
        <w:rPr>
          <w:szCs w:val="24"/>
        </w:rPr>
        <w:fldChar w:fldCharType="end"/>
      </w:r>
      <w:r>
        <w:t>):</w:t>
      </w:r>
    </w:p>
    <w:p w14:paraId="33B14622" w14:textId="77777777" w:rsidR="001625E9" w:rsidRDefault="001625E9" w:rsidP="001625E9">
      <w:pPr>
        <w:pStyle w:val="ListParagraph"/>
        <w:numPr>
          <w:ilvl w:val="0"/>
          <w:numId w:val="30"/>
        </w:numPr>
      </w:pPr>
      <w:r>
        <w:t>Applicability issues:</w:t>
      </w:r>
    </w:p>
    <w:p w14:paraId="32DC466B" w14:textId="71E58D04" w:rsidR="001625E9" w:rsidRDefault="001625E9" w:rsidP="001625E9">
      <w:pPr>
        <w:pStyle w:val="ListParagraph"/>
        <w:numPr>
          <w:ilvl w:val="0"/>
          <w:numId w:val="29"/>
        </w:numPr>
      </w:pPr>
      <w:r>
        <w:t>T</w:t>
      </w:r>
      <w:r w:rsidRPr="00B35E47">
        <w:t xml:space="preserve">he diagnostic measures associated with </w:t>
      </w:r>
      <w:r w:rsidR="00EE2326">
        <w:t xml:space="preserve">antibody testing for </w:t>
      </w:r>
      <w:r w:rsidRPr="00B35E47">
        <w:t>NMOSD</w:t>
      </w:r>
      <w:r>
        <w:t>. Australian laboratory data suggested that the diagnostic yields identified in published studies were not representative of the Australian population being tested</w:t>
      </w:r>
      <w:r w:rsidR="006F0F03">
        <w:t>. T</w:t>
      </w:r>
      <w:r>
        <w:t xml:space="preserve">herefore Australian data </w:t>
      </w:r>
      <w:r w:rsidR="00825055">
        <w:t>were</w:t>
      </w:r>
      <w:r>
        <w:t xml:space="preserve"> used in the economic model.</w:t>
      </w:r>
    </w:p>
    <w:p w14:paraId="478635F6" w14:textId="1CB2F2D2" w:rsidR="001625E9" w:rsidRDefault="001625E9" w:rsidP="001625E9">
      <w:pPr>
        <w:pStyle w:val="ListParagraph"/>
        <w:numPr>
          <w:ilvl w:val="0"/>
          <w:numId w:val="29"/>
        </w:numPr>
      </w:pPr>
      <w:r>
        <w:t>T</w:t>
      </w:r>
      <w:r w:rsidRPr="00B35E47">
        <w:t xml:space="preserve">he treatment patterns and outcomes associated with </w:t>
      </w:r>
      <w:r>
        <w:t xml:space="preserve">identified </w:t>
      </w:r>
      <w:r w:rsidRPr="00B35E47">
        <w:t>NMOSD therapies</w:t>
      </w:r>
      <w:r>
        <w:t xml:space="preserve">. </w:t>
      </w:r>
      <w:r w:rsidR="006F0F03">
        <w:t xml:space="preserve">The evidence suggests </w:t>
      </w:r>
      <w:r>
        <w:t xml:space="preserve">that Australian treatment patterns were consistent with those </w:t>
      </w:r>
      <w:r w:rsidR="006F0F03">
        <w:t>identified in international studies.</w:t>
      </w:r>
    </w:p>
    <w:p w14:paraId="4BB7FF7C" w14:textId="77777777" w:rsidR="006F0F03" w:rsidRDefault="001625E9" w:rsidP="001625E9">
      <w:pPr>
        <w:pStyle w:val="ListParagraph"/>
        <w:numPr>
          <w:ilvl w:val="0"/>
          <w:numId w:val="30"/>
        </w:numPr>
      </w:pPr>
      <w:r>
        <w:t>E</w:t>
      </w:r>
      <w:r w:rsidRPr="00B35E47">
        <w:t>xtrapolation issue</w:t>
      </w:r>
      <w:r>
        <w:t xml:space="preserve">: </w:t>
      </w:r>
    </w:p>
    <w:p w14:paraId="02D0F5F6" w14:textId="181A1B03" w:rsidR="001625E9" w:rsidRDefault="006F0F03" w:rsidP="00C7456B">
      <w:pPr>
        <w:pStyle w:val="ListParagraph"/>
        <w:numPr>
          <w:ilvl w:val="1"/>
          <w:numId w:val="30"/>
        </w:numPr>
        <w:ind w:left="993" w:hanging="284"/>
      </w:pPr>
      <w:r>
        <w:t>W</w:t>
      </w:r>
      <w:r w:rsidR="001625E9">
        <w:t xml:space="preserve">hat are the expected patterns of </w:t>
      </w:r>
      <w:r w:rsidR="001625E9" w:rsidRPr="00B35E47">
        <w:t>health resource use</w:t>
      </w:r>
      <w:r w:rsidR="001625E9">
        <w:t xml:space="preserve"> that would occur over the </w:t>
      </w:r>
      <w:r w:rsidR="001625E9" w:rsidRPr="00B35E47">
        <w:t>long-term</w:t>
      </w:r>
      <w:r w:rsidR="001625E9">
        <w:t xml:space="preserve">, for both </w:t>
      </w:r>
      <w:r w:rsidR="001625E9" w:rsidRPr="00B35E47">
        <w:t>maintenance</w:t>
      </w:r>
      <w:r w:rsidR="001625E9">
        <w:t xml:space="preserve"> treatment</w:t>
      </w:r>
      <w:r w:rsidR="001625E9" w:rsidRPr="00B35E47">
        <w:t xml:space="preserve"> and </w:t>
      </w:r>
      <w:r w:rsidR="001625E9">
        <w:t xml:space="preserve">for </w:t>
      </w:r>
      <w:r w:rsidR="001625E9" w:rsidRPr="00B35E47">
        <w:t>treating</w:t>
      </w:r>
      <w:r w:rsidR="001625E9">
        <w:t xml:space="preserve"> repeat acute </w:t>
      </w:r>
      <w:r w:rsidR="001625E9" w:rsidRPr="00B35E47">
        <w:t>attacks</w:t>
      </w:r>
      <w:r w:rsidR="001625E9">
        <w:t>? This was addressed by identifying published articles describing Australian NMOSD treatment.</w:t>
      </w:r>
    </w:p>
    <w:p w14:paraId="4EF817DA" w14:textId="77777777" w:rsidR="00C7456B" w:rsidRDefault="001625E9" w:rsidP="00C7456B">
      <w:pPr>
        <w:pStyle w:val="ListParagraph"/>
        <w:numPr>
          <w:ilvl w:val="0"/>
          <w:numId w:val="30"/>
        </w:numPr>
      </w:pPr>
      <w:r>
        <w:t>T</w:t>
      </w:r>
      <w:r w:rsidRPr="00B35E47">
        <w:t>ransform</w:t>
      </w:r>
      <w:r>
        <w:t xml:space="preserve">ation issue: </w:t>
      </w:r>
    </w:p>
    <w:p w14:paraId="25789ECF" w14:textId="10EC2946" w:rsidR="001625E9" w:rsidRDefault="006F0F03" w:rsidP="00C7456B">
      <w:pPr>
        <w:pStyle w:val="ListParagraph"/>
        <w:numPr>
          <w:ilvl w:val="1"/>
          <w:numId w:val="30"/>
        </w:numPr>
        <w:ind w:left="993" w:hanging="284"/>
      </w:pPr>
      <w:r>
        <w:t>T</w:t>
      </w:r>
      <w:r w:rsidR="001625E9">
        <w:t xml:space="preserve">he health outcomes identified in clinical trials needed to be translated into health states with specified utility values; </w:t>
      </w:r>
      <w:r w:rsidR="001625E9" w:rsidRPr="00B35E47">
        <w:t xml:space="preserve">i.e. EDSS scores mapped to </w:t>
      </w:r>
      <w:r w:rsidR="001625E9">
        <w:t xml:space="preserve">a </w:t>
      </w:r>
      <w:r w:rsidR="001625E9" w:rsidRPr="00B35E47">
        <w:t xml:space="preserve">health utility index to provide health state </w:t>
      </w:r>
      <w:r w:rsidR="001625E9">
        <w:t xml:space="preserve">utility </w:t>
      </w:r>
      <w:r w:rsidR="001625E9" w:rsidRPr="00B35E47">
        <w:t>values</w:t>
      </w:r>
      <w:r w:rsidR="001625E9">
        <w:t xml:space="preserve"> (HSUV</w:t>
      </w:r>
      <w:r w:rsidR="00825055">
        <w:t>s</w:t>
      </w:r>
      <w:r w:rsidR="001625E9">
        <w:t>)</w:t>
      </w:r>
      <w:r w:rsidR="001625E9" w:rsidRPr="00B35E47">
        <w:t xml:space="preserve"> in </w:t>
      </w:r>
      <w:r w:rsidR="001625E9">
        <w:t>quality-adjusted life years (</w:t>
      </w:r>
      <w:r w:rsidR="001625E9" w:rsidRPr="00B35E47">
        <w:t>QALYs</w:t>
      </w:r>
      <w:r w:rsidR="001625E9">
        <w:t xml:space="preserve">). Only one study directly calculated utility values </w:t>
      </w:r>
      <w:r w:rsidR="001625E9" w:rsidRPr="00B35E47">
        <w:t xml:space="preserve">of patients with MS or NMOSD in Thailand using </w:t>
      </w:r>
      <w:r w:rsidR="001625E9">
        <w:t xml:space="preserve">the </w:t>
      </w:r>
      <w:r w:rsidR="001625E9" w:rsidRPr="00B35E47">
        <w:t xml:space="preserve">Thai version of EuroQoL </w:t>
      </w:r>
      <w:r w:rsidR="00825055" w:rsidRPr="00B35E47">
        <w:t>five d</w:t>
      </w:r>
      <w:r w:rsidR="001625E9" w:rsidRPr="00B35E47">
        <w:t xml:space="preserve">imension with three levels (EQ-5D-3L) instrument. No significant difference was identified between MS and NMOSD in terms of health utility score. This study also reported HSUVs for MS and NMOSD mapped to </w:t>
      </w:r>
      <w:r w:rsidR="001625E9">
        <w:t>EDSS</w:t>
      </w:r>
      <w:r w:rsidR="001625E9" w:rsidRPr="00B35E47">
        <w:t xml:space="preserve"> scores</w:t>
      </w:r>
      <w:r w:rsidR="001625E9">
        <w:t>.</w:t>
      </w:r>
      <w:r w:rsidR="001625E9" w:rsidRPr="00B35E47">
        <w:t xml:space="preserve"> Several studies have reported that there is no significant difference in terms of health utility scores between MS and NMOS</w:t>
      </w:r>
      <w:r w:rsidR="001625E9">
        <w:t>D.</w:t>
      </w:r>
      <w:r w:rsidR="001625E9" w:rsidRPr="00B35E47">
        <w:t xml:space="preserve"> Therefore, HSUVs published in Australian study for MS </w:t>
      </w:r>
      <w:r w:rsidR="00825055">
        <w:t>we</w:t>
      </w:r>
      <w:r w:rsidR="001625E9" w:rsidRPr="00B35E47">
        <w:t>re used for modelled health states no/mild disability and severe disability in the base-case analysis.</w:t>
      </w:r>
    </w:p>
    <w:p w14:paraId="52E92D8E" w14:textId="1BFF7D71" w:rsidR="001625E9" w:rsidRPr="00D81991" w:rsidRDefault="003C0E09" w:rsidP="00D81991">
      <w:pPr>
        <w:keepNext/>
        <w:keepLines/>
        <w:rPr>
          <w:rFonts w:ascii="Arial Narrow" w:hAnsi="Arial Narrow"/>
          <w:b/>
          <w:sz w:val="20"/>
        </w:rPr>
      </w:pPr>
      <w:bookmarkStart w:id="24" w:name="_Ref421019304"/>
      <w:bookmarkStart w:id="25" w:name="_Toc399251137"/>
      <w:bookmarkStart w:id="26" w:name="_Toc34212162"/>
      <w:bookmarkStart w:id="27" w:name="_Toc36054851"/>
      <w:bookmarkStart w:id="28" w:name="_Toc39580854"/>
      <w:bookmarkStart w:id="29" w:name="_Toc153967310"/>
      <w:bookmarkStart w:id="30" w:name="_Toc341796370"/>
      <w:r w:rsidRPr="00D81991">
        <w:rPr>
          <w:rFonts w:ascii="Arial Narrow" w:hAnsi="Arial Narrow"/>
          <w:b/>
          <w:sz w:val="20"/>
        </w:rPr>
        <w:lastRenderedPageBreak/>
        <w:t xml:space="preserve">Table </w:t>
      </w:r>
      <w:r w:rsidRPr="00D81991">
        <w:rPr>
          <w:rFonts w:ascii="Arial Narrow" w:hAnsi="Arial Narrow"/>
          <w:b/>
          <w:sz w:val="20"/>
        </w:rPr>
        <w:fldChar w:fldCharType="begin"/>
      </w:r>
      <w:r w:rsidRPr="00D81991">
        <w:rPr>
          <w:rFonts w:ascii="Arial Narrow" w:hAnsi="Arial Narrow"/>
          <w:b/>
          <w:sz w:val="20"/>
        </w:rPr>
        <w:instrText xml:space="preserve"> SEQ Table \* ARABIC </w:instrText>
      </w:r>
      <w:r w:rsidRPr="00D81991">
        <w:rPr>
          <w:rFonts w:ascii="Arial Narrow" w:hAnsi="Arial Narrow"/>
          <w:b/>
          <w:sz w:val="20"/>
        </w:rPr>
        <w:fldChar w:fldCharType="separate"/>
      </w:r>
      <w:r w:rsidR="009D6016">
        <w:rPr>
          <w:rFonts w:ascii="Arial Narrow" w:hAnsi="Arial Narrow"/>
          <w:b/>
          <w:noProof/>
          <w:sz w:val="20"/>
        </w:rPr>
        <w:t>9</w:t>
      </w:r>
      <w:r w:rsidRPr="00D81991">
        <w:rPr>
          <w:rFonts w:ascii="Arial Narrow" w:hAnsi="Arial Narrow"/>
          <w:b/>
          <w:sz w:val="20"/>
        </w:rPr>
        <w:fldChar w:fldCharType="end"/>
      </w:r>
      <w:bookmarkEnd w:id="24"/>
      <w:r w:rsidR="001625E9" w:rsidRPr="00D81991">
        <w:rPr>
          <w:rFonts w:ascii="Arial Narrow" w:hAnsi="Arial Narrow"/>
          <w:b/>
          <w:sz w:val="20"/>
        </w:rPr>
        <w:tab/>
        <w:t>Summary of results of pre-modelling studies and their uses in the economic evaluation</w:t>
      </w:r>
      <w:bookmarkEnd w:id="25"/>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Summary of results of pre-modelling studies and their uses in the economic evaluation"/>
        <w:tblDescription w:val="The table summarises how different evidence was used to address the translation issues identified with the clinical evidence base, including by referring to how this addition evidence is used in the economic evaluation."/>
      </w:tblPr>
      <w:tblGrid>
        <w:gridCol w:w="1334"/>
        <w:gridCol w:w="2491"/>
        <w:gridCol w:w="2692"/>
        <w:gridCol w:w="2499"/>
      </w:tblGrid>
      <w:tr w:rsidR="001625E9" w:rsidRPr="00B35E47" w14:paraId="320FE42D" w14:textId="77777777" w:rsidTr="00825055">
        <w:trPr>
          <w:cantSplit/>
          <w:tblHeader/>
        </w:trPr>
        <w:tc>
          <w:tcPr>
            <w:tcW w:w="739" w:type="pct"/>
            <w:tcBorders>
              <w:bottom w:val="single" w:sz="4" w:space="0" w:color="auto"/>
            </w:tcBorders>
            <w:vAlign w:val="center"/>
          </w:tcPr>
          <w:p w14:paraId="56858032" w14:textId="77777777" w:rsidR="001625E9" w:rsidRPr="00B35E47" w:rsidRDefault="001625E9" w:rsidP="00D81991">
            <w:pPr>
              <w:keepNext/>
              <w:keepLines/>
              <w:spacing w:before="40" w:after="40"/>
              <w:rPr>
                <w:rFonts w:ascii="Arial Narrow" w:hAnsi="Arial Narrow"/>
                <w:b/>
                <w:sz w:val="20"/>
                <w:lang w:eastAsia="en-US"/>
              </w:rPr>
            </w:pPr>
            <w:r w:rsidRPr="00B35E47">
              <w:rPr>
                <w:rFonts w:ascii="Arial Narrow" w:hAnsi="Arial Narrow"/>
                <w:b/>
                <w:sz w:val="20"/>
                <w:lang w:eastAsia="en-US"/>
              </w:rPr>
              <w:t>Section</w:t>
            </w:r>
          </w:p>
        </w:tc>
        <w:tc>
          <w:tcPr>
            <w:tcW w:w="1381" w:type="pct"/>
            <w:tcBorders>
              <w:bottom w:val="single" w:sz="4" w:space="0" w:color="auto"/>
            </w:tcBorders>
            <w:vAlign w:val="center"/>
          </w:tcPr>
          <w:p w14:paraId="5A93CF4F" w14:textId="77777777" w:rsidR="001625E9" w:rsidRPr="00B35E47" w:rsidRDefault="001625E9" w:rsidP="00D81991">
            <w:pPr>
              <w:keepNext/>
              <w:keepLines/>
              <w:spacing w:before="40" w:after="40"/>
              <w:rPr>
                <w:rFonts w:ascii="Arial Narrow" w:hAnsi="Arial Narrow"/>
                <w:b/>
                <w:sz w:val="20"/>
                <w:lang w:eastAsia="en-US"/>
              </w:rPr>
            </w:pPr>
            <w:r w:rsidRPr="00B35E47">
              <w:rPr>
                <w:rFonts w:ascii="Arial Narrow" w:hAnsi="Arial Narrow"/>
                <w:b/>
                <w:sz w:val="20"/>
                <w:lang w:eastAsia="en-US"/>
              </w:rPr>
              <w:t>Pre-modelling study</w:t>
            </w:r>
          </w:p>
        </w:tc>
        <w:tc>
          <w:tcPr>
            <w:tcW w:w="1493" w:type="pct"/>
            <w:tcBorders>
              <w:bottom w:val="single" w:sz="4" w:space="0" w:color="auto"/>
            </w:tcBorders>
            <w:vAlign w:val="center"/>
          </w:tcPr>
          <w:p w14:paraId="7384FF09" w14:textId="49493F39" w:rsidR="001625E9" w:rsidRPr="00B35E47" w:rsidRDefault="001625E9" w:rsidP="00D81991">
            <w:pPr>
              <w:keepNext/>
              <w:keepLines/>
              <w:spacing w:before="40" w:after="40"/>
              <w:rPr>
                <w:rFonts w:ascii="Arial Narrow" w:hAnsi="Arial Narrow"/>
                <w:b/>
                <w:sz w:val="20"/>
                <w:lang w:eastAsia="en-US"/>
              </w:rPr>
            </w:pPr>
            <w:r w:rsidRPr="00B35E47">
              <w:rPr>
                <w:rFonts w:ascii="Arial Narrow" w:hAnsi="Arial Narrow"/>
                <w:b/>
                <w:sz w:val="20"/>
                <w:lang w:eastAsia="en-US"/>
              </w:rPr>
              <w:t xml:space="preserve">Results used in </w:t>
            </w:r>
            <w:r w:rsidR="00825055">
              <w:rPr>
                <w:rFonts w:ascii="Arial Narrow" w:hAnsi="Arial Narrow"/>
                <w:b/>
                <w:sz w:val="20"/>
                <w:lang w:eastAsia="en-US"/>
              </w:rPr>
              <w:t>base case</w:t>
            </w:r>
          </w:p>
        </w:tc>
        <w:tc>
          <w:tcPr>
            <w:tcW w:w="1386" w:type="pct"/>
            <w:tcBorders>
              <w:bottom w:val="single" w:sz="4" w:space="0" w:color="auto"/>
            </w:tcBorders>
            <w:vAlign w:val="center"/>
          </w:tcPr>
          <w:p w14:paraId="5038E757" w14:textId="0E1CDD8C" w:rsidR="001625E9" w:rsidRPr="00B35E47" w:rsidRDefault="001625E9" w:rsidP="00D81991">
            <w:pPr>
              <w:keepNext/>
              <w:keepLines/>
              <w:spacing w:before="40" w:after="40"/>
              <w:rPr>
                <w:rFonts w:ascii="Arial Narrow" w:hAnsi="Arial Narrow"/>
                <w:b/>
                <w:sz w:val="20"/>
                <w:lang w:eastAsia="en-US"/>
              </w:rPr>
            </w:pPr>
            <w:r w:rsidRPr="00B35E47">
              <w:rPr>
                <w:rFonts w:ascii="Arial Narrow" w:hAnsi="Arial Narrow"/>
                <w:b/>
                <w:sz w:val="20"/>
                <w:lang w:eastAsia="en-US"/>
              </w:rPr>
              <w:t xml:space="preserve">Results used in </w:t>
            </w:r>
            <w:r w:rsidR="00825055">
              <w:rPr>
                <w:rFonts w:ascii="Arial Narrow" w:hAnsi="Arial Narrow"/>
                <w:b/>
                <w:sz w:val="20"/>
                <w:lang w:eastAsia="en-US"/>
              </w:rPr>
              <w:t>sensitivity analysis</w:t>
            </w:r>
          </w:p>
        </w:tc>
      </w:tr>
      <w:tr w:rsidR="001625E9" w:rsidRPr="00B35E47" w14:paraId="18F35728" w14:textId="77777777" w:rsidTr="00825055">
        <w:trPr>
          <w:cantSplit/>
        </w:trPr>
        <w:tc>
          <w:tcPr>
            <w:tcW w:w="739" w:type="pct"/>
            <w:tcBorders>
              <w:right w:val="nil"/>
            </w:tcBorders>
          </w:tcPr>
          <w:p w14:paraId="26B15795" w14:textId="77777777" w:rsidR="001625E9" w:rsidRPr="00B35E47" w:rsidRDefault="001625E9" w:rsidP="00D81991">
            <w:pPr>
              <w:keepNext/>
              <w:keepLines/>
              <w:spacing w:before="40" w:after="40"/>
              <w:contextualSpacing/>
              <w:rPr>
                <w:rFonts w:ascii="Arial Narrow" w:hAnsi="Arial Narrow"/>
                <w:sz w:val="20"/>
                <w:lang w:eastAsia="en-US"/>
              </w:rPr>
            </w:pPr>
            <w:r w:rsidRPr="00B35E47">
              <w:rPr>
                <w:rFonts w:ascii="Arial Narrow" w:hAnsi="Arial Narrow"/>
                <w:sz w:val="20"/>
                <w:lang w:eastAsia="en-US"/>
              </w:rPr>
              <w:t xml:space="preserve">Applicability </w:t>
            </w:r>
          </w:p>
        </w:tc>
        <w:tc>
          <w:tcPr>
            <w:tcW w:w="1381" w:type="pct"/>
            <w:tcBorders>
              <w:left w:val="nil"/>
              <w:right w:val="nil"/>
            </w:tcBorders>
          </w:tcPr>
          <w:p w14:paraId="7C79C2AC" w14:textId="77777777" w:rsidR="001625E9" w:rsidRPr="00B35E47" w:rsidRDefault="001625E9" w:rsidP="00D81991">
            <w:pPr>
              <w:keepNext/>
              <w:keepLines/>
              <w:spacing w:before="40" w:after="40"/>
              <w:contextualSpacing/>
              <w:rPr>
                <w:rFonts w:ascii="Arial Narrow" w:hAnsi="Arial Narrow"/>
                <w:sz w:val="20"/>
                <w:lang w:eastAsia="en-US"/>
              </w:rPr>
            </w:pPr>
          </w:p>
        </w:tc>
        <w:tc>
          <w:tcPr>
            <w:tcW w:w="1493" w:type="pct"/>
            <w:tcBorders>
              <w:left w:val="nil"/>
              <w:right w:val="nil"/>
            </w:tcBorders>
          </w:tcPr>
          <w:p w14:paraId="662E2EA1" w14:textId="77777777" w:rsidR="001625E9" w:rsidRPr="00B35E47" w:rsidRDefault="001625E9" w:rsidP="00D81991">
            <w:pPr>
              <w:keepNext/>
              <w:keepLines/>
              <w:spacing w:before="40" w:after="40"/>
              <w:contextualSpacing/>
              <w:rPr>
                <w:rFonts w:ascii="Arial Narrow" w:hAnsi="Arial Narrow"/>
                <w:sz w:val="20"/>
                <w:lang w:eastAsia="en-US"/>
              </w:rPr>
            </w:pPr>
          </w:p>
        </w:tc>
        <w:tc>
          <w:tcPr>
            <w:tcW w:w="1386" w:type="pct"/>
            <w:tcBorders>
              <w:left w:val="nil"/>
            </w:tcBorders>
          </w:tcPr>
          <w:p w14:paraId="14BFB0EE" w14:textId="77777777" w:rsidR="001625E9" w:rsidRPr="00B35E47" w:rsidRDefault="001625E9" w:rsidP="00D81991">
            <w:pPr>
              <w:keepNext/>
              <w:keepLines/>
              <w:spacing w:before="40" w:after="40"/>
              <w:contextualSpacing/>
              <w:rPr>
                <w:rFonts w:ascii="Arial Narrow" w:hAnsi="Arial Narrow"/>
                <w:sz w:val="20"/>
                <w:lang w:eastAsia="en-US"/>
              </w:rPr>
            </w:pPr>
          </w:p>
        </w:tc>
      </w:tr>
      <w:tr w:rsidR="001625E9" w:rsidRPr="00B35E47" w14:paraId="50078B6A" w14:textId="77777777" w:rsidTr="00825055">
        <w:trPr>
          <w:cantSplit/>
        </w:trPr>
        <w:tc>
          <w:tcPr>
            <w:tcW w:w="739" w:type="pct"/>
          </w:tcPr>
          <w:p w14:paraId="4A6351F4" w14:textId="77777777" w:rsidR="001625E9" w:rsidRPr="00B35E47" w:rsidRDefault="001625E9" w:rsidP="00D81991">
            <w:pPr>
              <w:keepNext/>
              <w:keepLines/>
              <w:spacing w:before="40" w:after="40"/>
              <w:contextualSpacing/>
              <w:rPr>
                <w:rFonts w:ascii="Arial Narrow" w:hAnsi="Arial Narrow"/>
                <w:sz w:val="20"/>
                <w:lang w:eastAsia="en-US"/>
              </w:rPr>
            </w:pPr>
          </w:p>
        </w:tc>
        <w:tc>
          <w:tcPr>
            <w:tcW w:w="1381" w:type="pct"/>
          </w:tcPr>
          <w:p w14:paraId="5F4BCEDC" w14:textId="5071F522" w:rsidR="001625E9" w:rsidRPr="00B35E47" w:rsidRDefault="001625E9" w:rsidP="00D81991">
            <w:pPr>
              <w:keepNext/>
              <w:keepLines/>
              <w:spacing w:before="40" w:after="40"/>
              <w:contextualSpacing/>
              <w:rPr>
                <w:rFonts w:ascii="Arial Narrow" w:hAnsi="Arial Narrow"/>
                <w:sz w:val="20"/>
                <w:lang w:eastAsia="en-US"/>
              </w:rPr>
            </w:pPr>
            <w:r>
              <w:rPr>
                <w:rFonts w:ascii="Arial Narrow" w:hAnsi="Arial Narrow"/>
                <w:sz w:val="20"/>
                <w:lang w:eastAsia="en-US"/>
              </w:rPr>
              <w:t>Identifying an accurate estimate of d</w:t>
            </w:r>
            <w:r w:rsidRPr="00B35E47">
              <w:rPr>
                <w:rFonts w:ascii="Arial Narrow" w:hAnsi="Arial Narrow"/>
                <w:sz w:val="20"/>
                <w:lang w:eastAsia="en-US"/>
              </w:rPr>
              <w:t>iagnostic yield</w:t>
            </w:r>
            <w:r w:rsidR="00A461E2">
              <w:rPr>
                <w:rFonts w:ascii="Arial Narrow" w:hAnsi="Arial Narrow"/>
                <w:sz w:val="20"/>
                <w:lang w:eastAsia="en-US"/>
              </w:rPr>
              <w:t>:</w:t>
            </w:r>
          </w:p>
        </w:tc>
        <w:tc>
          <w:tcPr>
            <w:tcW w:w="1493" w:type="pct"/>
          </w:tcPr>
          <w:p w14:paraId="7A4BCA3A" w14:textId="77777777" w:rsidR="001625E9" w:rsidRPr="00B35E47" w:rsidRDefault="001625E9" w:rsidP="00D81991">
            <w:pPr>
              <w:keepNext/>
              <w:keepLines/>
              <w:spacing w:before="40" w:after="40"/>
              <w:contextualSpacing/>
              <w:rPr>
                <w:rFonts w:ascii="Arial Narrow" w:hAnsi="Arial Narrow"/>
                <w:sz w:val="20"/>
                <w:lang w:eastAsia="en-US"/>
              </w:rPr>
            </w:pPr>
            <w:r w:rsidRPr="00B35E47">
              <w:rPr>
                <w:rFonts w:ascii="Arial Narrow" w:hAnsi="Arial Narrow"/>
                <w:sz w:val="20"/>
                <w:lang w:eastAsia="en-US"/>
              </w:rPr>
              <w:t>AQP4-Ab</w:t>
            </w:r>
            <w:r>
              <w:rPr>
                <w:rFonts w:ascii="Arial Narrow" w:hAnsi="Arial Narrow"/>
                <w:sz w:val="20"/>
                <w:lang w:eastAsia="en-US"/>
              </w:rPr>
              <w:t xml:space="preserve">: </w:t>
            </w:r>
            <w:r w:rsidRPr="00B35E47">
              <w:rPr>
                <w:rFonts w:ascii="Arial Narrow" w:hAnsi="Arial Narrow"/>
                <w:sz w:val="20"/>
                <w:lang w:eastAsia="en-US"/>
              </w:rPr>
              <w:t>4.2%</w:t>
            </w:r>
          </w:p>
          <w:p w14:paraId="4899FA06" w14:textId="77777777" w:rsidR="001625E9" w:rsidRPr="00B35E47" w:rsidRDefault="001625E9" w:rsidP="00D81991">
            <w:pPr>
              <w:keepNext/>
              <w:keepLines/>
              <w:spacing w:before="40" w:after="40"/>
              <w:contextualSpacing/>
              <w:rPr>
                <w:rFonts w:ascii="Arial Narrow" w:hAnsi="Arial Narrow"/>
                <w:sz w:val="20"/>
                <w:lang w:eastAsia="en-US"/>
              </w:rPr>
            </w:pPr>
            <w:r w:rsidRPr="00B35E47">
              <w:rPr>
                <w:rFonts w:ascii="Arial Narrow" w:hAnsi="Arial Narrow"/>
                <w:sz w:val="20"/>
                <w:lang w:eastAsia="en-US"/>
              </w:rPr>
              <w:t>MOG-Ab</w:t>
            </w:r>
            <w:r>
              <w:rPr>
                <w:rFonts w:ascii="Arial Narrow" w:hAnsi="Arial Narrow"/>
                <w:sz w:val="20"/>
                <w:lang w:eastAsia="en-US"/>
              </w:rPr>
              <w:t>:</w:t>
            </w:r>
            <w:r w:rsidRPr="00B35E47">
              <w:rPr>
                <w:rFonts w:ascii="Arial Narrow" w:hAnsi="Arial Narrow"/>
                <w:sz w:val="20"/>
                <w:lang w:eastAsia="en-US"/>
              </w:rPr>
              <w:t xml:space="preserve"> 5.3%</w:t>
            </w:r>
          </w:p>
        </w:tc>
        <w:tc>
          <w:tcPr>
            <w:tcW w:w="1386" w:type="pct"/>
          </w:tcPr>
          <w:p w14:paraId="561981D5" w14:textId="77777777" w:rsidR="001625E9" w:rsidRPr="00B35E47" w:rsidRDefault="001625E9" w:rsidP="00D81991">
            <w:pPr>
              <w:keepNext/>
              <w:keepLines/>
              <w:spacing w:before="40" w:after="40"/>
              <w:contextualSpacing/>
              <w:rPr>
                <w:rFonts w:ascii="Arial Narrow" w:hAnsi="Arial Narrow"/>
                <w:sz w:val="20"/>
                <w:lang w:eastAsia="en-US"/>
              </w:rPr>
            </w:pPr>
            <w:r w:rsidRPr="00B35E47">
              <w:rPr>
                <w:rFonts w:ascii="Arial Narrow" w:hAnsi="Arial Narrow"/>
                <w:sz w:val="20"/>
                <w:lang w:eastAsia="en-US"/>
              </w:rPr>
              <w:t>2.5% – </w:t>
            </w:r>
            <w:r>
              <w:rPr>
                <w:rFonts w:ascii="Arial Narrow" w:hAnsi="Arial Narrow"/>
                <w:sz w:val="20"/>
                <w:lang w:eastAsia="en-US"/>
              </w:rPr>
              <w:t>89</w:t>
            </w:r>
            <w:r w:rsidRPr="00B35E47">
              <w:rPr>
                <w:rFonts w:ascii="Arial Narrow" w:hAnsi="Arial Narrow"/>
                <w:sz w:val="20"/>
                <w:lang w:eastAsia="en-US"/>
              </w:rPr>
              <w:t>%</w:t>
            </w:r>
          </w:p>
          <w:p w14:paraId="2B96B76D" w14:textId="77777777" w:rsidR="001625E9" w:rsidRPr="00B35E47" w:rsidRDefault="001625E9" w:rsidP="00D81991">
            <w:pPr>
              <w:keepNext/>
              <w:keepLines/>
              <w:spacing w:before="40" w:after="40"/>
              <w:contextualSpacing/>
              <w:rPr>
                <w:rFonts w:ascii="Arial Narrow" w:hAnsi="Arial Narrow"/>
                <w:sz w:val="20"/>
                <w:lang w:eastAsia="en-US"/>
              </w:rPr>
            </w:pPr>
            <w:r>
              <w:rPr>
                <w:rFonts w:ascii="Arial Narrow" w:hAnsi="Arial Narrow"/>
                <w:sz w:val="20"/>
                <w:lang w:eastAsia="en-US"/>
              </w:rPr>
              <w:t>2.0% – 29</w:t>
            </w:r>
            <w:r w:rsidRPr="00B35E47">
              <w:rPr>
                <w:rFonts w:ascii="Arial Narrow" w:hAnsi="Arial Narrow"/>
                <w:sz w:val="20"/>
                <w:lang w:eastAsia="en-US"/>
              </w:rPr>
              <w:t>%</w:t>
            </w:r>
          </w:p>
        </w:tc>
      </w:tr>
      <w:tr w:rsidR="001625E9" w:rsidRPr="00B35E47" w14:paraId="68702048" w14:textId="77777777" w:rsidTr="00825055">
        <w:trPr>
          <w:cantSplit/>
        </w:trPr>
        <w:tc>
          <w:tcPr>
            <w:tcW w:w="739" w:type="pct"/>
            <w:tcBorders>
              <w:bottom w:val="single" w:sz="4" w:space="0" w:color="auto"/>
            </w:tcBorders>
          </w:tcPr>
          <w:p w14:paraId="4C7C51E6" w14:textId="77777777" w:rsidR="001625E9" w:rsidRPr="00B35E47" w:rsidRDefault="001625E9" w:rsidP="00927513">
            <w:pPr>
              <w:spacing w:before="40" w:after="40"/>
              <w:contextualSpacing/>
              <w:rPr>
                <w:rFonts w:ascii="Arial Narrow" w:hAnsi="Arial Narrow"/>
                <w:sz w:val="20"/>
                <w:lang w:eastAsia="en-US"/>
              </w:rPr>
            </w:pPr>
          </w:p>
        </w:tc>
        <w:tc>
          <w:tcPr>
            <w:tcW w:w="1381" w:type="pct"/>
            <w:tcBorders>
              <w:bottom w:val="single" w:sz="4" w:space="0" w:color="auto"/>
            </w:tcBorders>
          </w:tcPr>
          <w:p w14:paraId="585ED013" w14:textId="57234974"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Identifying t</w:t>
            </w:r>
            <w:r w:rsidRPr="00B35E47">
              <w:rPr>
                <w:rFonts w:ascii="Arial Narrow" w:hAnsi="Arial Narrow"/>
                <w:sz w:val="20"/>
                <w:lang w:eastAsia="en-US"/>
              </w:rPr>
              <w:t>reatment patterns</w:t>
            </w:r>
            <w:r w:rsidR="00A461E2">
              <w:rPr>
                <w:rFonts w:ascii="Arial Narrow" w:hAnsi="Arial Narrow"/>
                <w:sz w:val="20"/>
                <w:lang w:eastAsia="en-US"/>
              </w:rPr>
              <w:t>:</w:t>
            </w:r>
          </w:p>
          <w:p w14:paraId="48615BD8"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Drugs used for maintenance</w:t>
            </w:r>
          </w:p>
          <w:p w14:paraId="5A0D395F"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Drugs used for treating relapse</w:t>
            </w:r>
          </w:p>
        </w:tc>
        <w:tc>
          <w:tcPr>
            <w:tcW w:w="1493" w:type="pct"/>
            <w:tcBorders>
              <w:bottom w:val="single" w:sz="4" w:space="0" w:color="auto"/>
            </w:tcBorders>
          </w:tcPr>
          <w:p w14:paraId="485ECB6D" w14:textId="77777777" w:rsidR="001625E9" w:rsidRPr="00B35E47" w:rsidRDefault="001625E9" w:rsidP="00927513">
            <w:pPr>
              <w:spacing w:before="40" w:after="40"/>
              <w:contextualSpacing/>
              <w:rPr>
                <w:rFonts w:ascii="Arial Narrow" w:hAnsi="Arial Narrow"/>
                <w:sz w:val="20"/>
                <w:lang w:eastAsia="en-US"/>
              </w:rPr>
            </w:pPr>
          </w:p>
          <w:p w14:paraId="77AEED3C"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AZA, RTX, prednisolone</w:t>
            </w:r>
          </w:p>
          <w:p w14:paraId="0CD0126F"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eastAsiaTheme="minorHAnsi" w:hAnsi="Arial Narrow"/>
                <w:sz w:val="20"/>
                <w:lang w:eastAsia="en-US"/>
              </w:rPr>
              <w:t>Corticosteroids, PLEX and IVIG</w:t>
            </w:r>
          </w:p>
        </w:tc>
        <w:tc>
          <w:tcPr>
            <w:tcW w:w="1386" w:type="pct"/>
            <w:tcBorders>
              <w:bottom w:val="single" w:sz="4" w:space="0" w:color="auto"/>
            </w:tcBorders>
          </w:tcPr>
          <w:p w14:paraId="255FD4B6" w14:textId="77777777"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w:t>
            </w:r>
          </w:p>
        </w:tc>
      </w:tr>
      <w:tr w:rsidR="001625E9" w:rsidRPr="00B35E47" w14:paraId="31885C8E" w14:textId="77777777" w:rsidTr="00825055">
        <w:trPr>
          <w:cantSplit/>
        </w:trPr>
        <w:tc>
          <w:tcPr>
            <w:tcW w:w="739" w:type="pct"/>
            <w:tcBorders>
              <w:right w:val="nil"/>
            </w:tcBorders>
          </w:tcPr>
          <w:p w14:paraId="30936604"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Extrapolation</w:t>
            </w:r>
          </w:p>
        </w:tc>
        <w:tc>
          <w:tcPr>
            <w:tcW w:w="1381" w:type="pct"/>
            <w:tcBorders>
              <w:left w:val="nil"/>
              <w:right w:val="nil"/>
            </w:tcBorders>
          </w:tcPr>
          <w:p w14:paraId="21BD6499" w14:textId="77777777" w:rsidR="001625E9" w:rsidRPr="00B35E47" w:rsidRDefault="001625E9" w:rsidP="00927513">
            <w:pPr>
              <w:spacing w:before="40" w:after="40"/>
              <w:contextualSpacing/>
              <w:rPr>
                <w:rFonts w:ascii="Arial Narrow" w:hAnsi="Arial Narrow"/>
                <w:sz w:val="20"/>
                <w:lang w:eastAsia="en-US"/>
              </w:rPr>
            </w:pPr>
          </w:p>
        </w:tc>
        <w:tc>
          <w:tcPr>
            <w:tcW w:w="1493" w:type="pct"/>
            <w:tcBorders>
              <w:left w:val="nil"/>
              <w:right w:val="nil"/>
            </w:tcBorders>
          </w:tcPr>
          <w:p w14:paraId="79C8FD72" w14:textId="77777777" w:rsidR="001625E9" w:rsidRPr="00B35E47" w:rsidRDefault="001625E9" w:rsidP="00927513">
            <w:pPr>
              <w:spacing w:before="40" w:after="40"/>
              <w:contextualSpacing/>
              <w:rPr>
                <w:rFonts w:ascii="Arial Narrow" w:hAnsi="Arial Narrow"/>
                <w:sz w:val="20"/>
                <w:lang w:eastAsia="en-US"/>
              </w:rPr>
            </w:pPr>
          </w:p>
        </w:tc>
        <w:tc>
          <w:tcPr>
            <w:tcW w:w="1386" w:type="pct"/>
            <w:tcBorders>
              <w:left w:val="nil"/>
            </w:tcBorders>
          </w:tcPr>
          <w:p w14:paraId="2EB003A3" w14:textId="77777777" w:rsidR="001625E9" w:rsidRPr="00B35E47" w:rsidRDefault="001625E9" w:rsidP="00927513">
            <w:pPr>
              <w:spacing w:before="40" w:after="40"/>
              <w:contextualSpacing/>
              <w:rPr>
                <w:rFonts w:ascii="Arial Narrow" w:hAnsi="Arial Narrow"/>
                <w:sz w:val="20"/>
                <w:lang w:eastAsia="en-US"/>
              </w:rPr>
            </w:pPr>
          </w:p>
        </w:tc>
      </w:tr>
      <w:tr w:rsidR="001625E9" w:rsidRPr="00B35E47" w14:paraId="66ECCB18" w14:textId="77777777" w:rsidTr="00825055">
        <w:trPr>
          <w:cantSplit/>
        </w:trPr>
        <w:tc>
          <w:tcPr>
            <w:tcW w:w="739" w:type="pct"/>
            <w:tcBorders>
              <w:bottom w:val="single" w:sz="4" w:space="0" w:color="auto"/>
            </w:tcBorders>
          </w:tcPr>
          <w:p w14:paraId="57539358" w14:textId="77777777" w:rsidR="001625E9" w:rsidRPr="00B35E47" w:rsidRDefault="001625E9" w:rsidP="00927513">
            <w:pPr>
              <w:spacing w:before="40" w:after="40"/>
              <w:contextualSpacing/>
              <w:rPr>
                <w:rFonts w:ascii="Arial Narrow" w:hAnsi="Arial Narrow"/>
                <w:sz w:val="20"/>
                <w:lang w:eastAsia="en-US"/>
              </w:rPr>
            </w:pPr>
          </w:p>
        </w:tc>
        <w:tc>
          <w:tcPr>
            <w:tcW w:w="1381" w:type="pct"/>
            <w:tcBorders>
              <w:bottom w:val="single" w:sz="4" w:space="0" w:color="auto"/>
            </w:tcBorders>
          </w:tcPr>
          <w:p w14:paraId="3C48760E" w14:textId="77777777"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Identifying the r</w:t>
            </w:r>
            <w:r w:rsidRPr="00B35E47">
              <w:rPr>
                <w:rFonts w:ascii="Arial Narrow" w:hAnsi="Arial Narrow"/>
                <w:sz w:val="20"/>
                <w:lang w:eastAsia="en-US"/>
              </w:rPr>
              <w:t>ecurring health resource use for maintenance therapy:</w:t>
            </w:r>
          </w:p>
        </w:tc>
        <w:tc>
          <w:tcPr>
            <w:tcW w:w="1493" w:type="pct"/>
            <w:tcBorders>
              <w:bottom w:val="single" w:sz="4" w:space="0" w:color="auto"/>
            </w:tcBorders>
          </w:tcPr>
          <w:p w14:paraId="42E5BDD2"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AZA: 59%</w:t>
            </w:r>
          </w:p>
          <w:p w14:paraId="02AFE6C0"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Prednisolone: 63% of AZA</w:t>
            </w:r>
          </w:p>
          <w:p w14:paraId="313415D7"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RTX: 41%</w:t>
            </w:r>
          </w:p>
        </w:tc>
        <w:tc>
          <w:tcPr>
            <w:tcW w:w="1386" w:type="pct"/>
            <w:tcBorders>
              <w:bottom w:val="single" w:sz="4" w:space="0" w:color="auto"/>
            </w:tcBorders>
          </w:tcPr>
          <w:p w14:paraId="36369487" w14:textId="77777777"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RTX use: 60% and 80%</w:t>
            </w:r>
          </w:p>
        </w:tc>
      </w:tr>
      <w:tr w:rsidR="001625E9" w:rsidRPr="00B35E47" w14:paraId="1E5783B1" w14:textId="77777777" w:rsidTr="00825055">
        <w:trPr>
          <w:cantSplit/>
        </w:trPr>
        <w:tc>
          <w:tcPr>
            <w:tcW w:w="739" w:type="pct"/>
            <w:tcBorders>
              <w:bottom w:val="single" w:sz="4" w:space="0" w:color="auto"/>
            </w:tcBorders>
          </w:tcPr>
          <w:p w14:paraId="25383F92" w14:textId="77777777" w:rsidR="001625E9" w:rsidRPr="00B35E47" w:rsidRDefault="001625E9" w:rsidP="00927513">
            <w:pPr>
              <w:spacing w:before="40" w:after="40"/>
              <w:contextualSpacing/>
              <w:rPr>
                <w:rFonts w:ascii="Arial Narrow" w:hAnsi="Arial Narrow"/>
                <w:sz w:val="20"/>
                <w:lang w:eastAsia="en-US"/>
              </w:rPr>
            </w:pPr>
          </w:p>
        </w:tc>
        <w:tc>
          <w:tcPr>
            <w:tcW w:w="1381" w:type="pct"/>
            <w:tcBorders>
              <w:bottom w:val="single" w:sz="4" w:space="0" w:color="auto"/>
            </w:tcBorders>
          </w:tcPr>
          <w:p w14:paraId="5DAA62B4" w14:textId="3FBC4985"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 xml:space="preserve">Identifying the health resource </w:t>
            </w:r>
            <w:r w:rsidR="00A461E2">
              <w:rPr>
                <w:rFonts w:ascii="Arial Narrow" w:hAnsi="Arial Narrow"/>
                <w:sz w:val="20"/>
                <w:lang w:eastAsia="en-US"/>
              </w:rPr>
              <w:t>use for treating future attacks:</w:t>
            </w:r>
          </w:p>
        </w:tc>
        <w:tc>
          <w:tcPr>
            <w:tcW w:w="1493" w:type="pct"/>
            <w:tcBorders>
              <w:bottom w:val="single" w:sz="4" w:space="0" w:color="auto"/>
            </w:tcBorders>
          </w:tcPr>
          <w:p w14:paraId="6C99814F" w14:textId="77777777" w:rsidR="001625E9" w:rsidRDefault="001625E9" w:rsidP="00927513">
            <w:pPr>
              <w:spacing w:before="40" w:after="40"/>
              <w:contextualSpacing/>
              <w:rPr>
                <w:rFonts w:ascii="Arial Narrow" w:hAnsi="Arial Narrow"/>
                <w:sz w:val="20"/>
                <w:lang w:eastAsia="en-US"/>
              </w:rPr>
            </w:pPr>
            <w:r>
              <w:rPr>
                <w:rFonts w:ascii="Arial Narrow" w:hAnsi="Arial Narrow"/>
                <w:sz w:val="20"/>
                <w:lang w:eastAsia="en-US"/>
              </w:rPr>
              <w:t>Maintenance therapy +</w:t>
            </w:r>
          </w:p>
          <w:p w14:paraId="58029F72" w14:textId="15203B3F" w:rsidR="001625E9" w:rsidRPr="008E36E0" w:rsidRDefault="00A461E2" w:rsidP="00927513">
            <w:pPr>
              <w:spacing w:before="40" w:after="40"/>
              <w:contextualSpacing/>
              <w:rPr>
                <w:rFonts w:ascii="Arial Narrow" w:hAnsi="Arial Narrow"/>
                <w:sz w:val="20"/>
                <w:lang w:eastAsia="en-US"/>
              </w:rPr>
            </w:pPr>
            <w:r>
              <w:rPr>
                <w:rFonts w:ascii="Arial Narrow" w:hAnsi="Arial Narrow"/>
                <w:sz w:val="20"/>
                <w:lang w:eastAsia="en-US"/>
              </w:rPr>
              <w:t xml:space="preserve">Mild attack: </w:t>
            </w:r>
            <w:r w:rsidR="001625E9">
              <w:rPr>
                <w:rFonts w:ascii="Arial Narrow" w:hAnsi="Arial Narrow"/>
                <w:sz w:val="20"/>
                <w:lang w:eastAsia="en-US"/>
              </w:rPr>
              <w:t xml:space="preserve">IVMP </w:t>
            </w:r>
            <w:r w:rsidR="001625E9" w:rsidRPr="008E36E0">
              <w:rPr>
                <w:rFonts w:ascii="Arial Narrow" w:hAnsi="Arial Narrow"/>
                <w:sz w:val="20"/>
                <w:lang w:eastAsia="en-US"/>
              </w:rPr>
              <w:t>(</w:t>
            </w:r>
            <w:r w:rsidR="001625E9">
              <w:rPr>
                <w:rFonts w:ascii="Arial Narrow" w:hAnsi="Arial Narrow"/>
                <w:sz w:val="20"/>
                <w:lang w:eastAsia="en-US"/>
              </w:rPr>
              <w:t>84</w:t>
            </w:r>
            <w:r w:rsidR="001625E9" w:rsidRPr="008E36E0">
              <w:rPr>
                <w:rFonts w:ascii="Arial Narrow" w:hAnsi="Arial Narrow"/>
                <w:sz w:val="20"/>
                <w:lang w:eastAsia="en-US"/>
              </w:rPr>
              <w:t>%)</w:t>
            </w:r>
            <w:r w:rsidR="001625E9">
              <w:rPr>
                <w:rFonts w:ascii="Arial Narrow" w:hAnsi="Arial Narrow"/>
                <w:sz w:val="20"/>
                <w:lang w:eastAsia="en-US"/>
              </w:rPr>
              <w:t>, PLEX (16%)</w:t>
            </w:r>
          </w:p>
          <w:p w14:paraId="77ABBA0B" w14:textId="17CA12F9" w:rsidR="001625E9" w:rsidRPr="008E36E0" w:rsidRDefault="00A461E2" w:rsidP="00927513">
            <w:pPr>
              <w:spacing w:before="40" w:after="40"/>
              <w:contextualSpacing/>
              <w:rPr>
                <w:rFonts w:ascii="Arial Narrow" w:hAnsi="Arial Narrow"/>
                <w:sz w:val="20"/>
                <w:lang w:eastAsia="en-US"/>
              </w:rPr>
            </w:pPr>
            <w:r>
              <w:rPr>
                <w:rFonts w:ascii="Arial Narrow" w:hAnsi="Arial Narrow"/>
                <w:sz w:val="20"/>
                <w:lang w:eastAsia="en-US"/>
              </w:rPr>
              <w:t xml:space="preserve">Severe attack: </w:t>
            </w:r>
            <w:r w:rsidR="001625E9" w:rsidRPr="008E36E0">
              <w:rPr>
                <w:rFonts w:ascii="Arial Narrow" w:hAnsi="Arial Narrow"/>
                <w:sz w:val="20"/>
                <w:lang w:eastAsia="en-US"/>
              </w:rPr>
              <w:t>PLEX</w:t>
            </w:r>
            <w:r w:rsidR="001625E9">
              <w:rPr>
                <w:rFonts w:ascii="Arial Narrow" w:hAnsi="Arial Narrow"/>
                <w:sz w:val="20"/>
                <w:lang w:eastAsia="en-US"/>
              </w:rPr>
              <w:t xml:space="preserve"> (75%)</w:t>
            </w:r>
            <w:r w:rsidR="001625E9" w:rsidRPr="008E36E0">
              <w:rPr>
                <w:rFonts w:ascii="Arial Narrow" w:hAnsi="Arial Narrow"/>
                <w:sz w:val="20"/>
                <w:lang w:eastAsia="en-US"/>
              </w:rPr>
              <w:t>, IVMP</w:t>
            </w:r>
            <w:r w:rsidR="001625E9">
              <w:rPr>
                <w:rFonts w:ascii="Arial Narrow" w:hAnsi="Arial Narrow"/>
                <w:sz w:val="20"/>
                <w:lang w:eastAsia="en-US"/>
              </w:rPr>
              <w:t xml:space="preserve"> (45%)</w:t>
            </w:r>
            <w:r w:rsidR="001625E9" w:rsidRPr="008E36E0">
              <w:rPr>
                <w:rFonts w:ascii="Arial Narrow" w:hAnsi="Arial Narrow"/>
                <w:sz w:val="20"/>
                <w:lang w:eastAsia="en-US"/>
              </w:rPr>
              <w:t>, IVIG</w:t>
            </w:r>
            <w:r w:rsidR="001625E9">
              <w:rPr>
                <w:rFonts w:ascii="Arial Narrow" w:hAnsi="Arial Narrow"/>
                <w:sz w:val="20"/>
                <w:lang w:eastAsia="en-US"/>
              </w:rPr>
              <w:t xml:space="preserve"> (10%)</w:t>
            </w:r>
          </w:p>
        </w:tc>
        <w:tc>
          <w:tcPr>
            <w:tcW w:w="1386" w:type="pct"/>
            <w:tcBorders>
              <w:bottom w:val="single" w:sz="4" w:space="0" w:color="auto"/>
            </w:tcBorders>
          </w:tcPr>
          <w:p w14:paraId="120D2BD7" w14:textId="5D43976F" w:rsidR="001625E9" w:rsidRPr="005950CA" w:rsidRDefault="001625E9" w:rsidP="00927513">
            <w:pPr>
              <w:spacing w:before="40" w:after="40"/>
              <w:contextualSpacing/>
              <w:rPr>
                <w:rFonts w:ascii="Arial Narrow" w:hAnsi="Arial Narrow"/>
                <w:sz w:val="20"/>
                <w:vertAlign w:val="superscript"/>
                <w:lang w:eastAsia="en-US"/>
              </w:rPr>
            </w:pPr>
            <w:r>
              <w:rPr>
                <w:rFonts w:ascii="Arial Narrow" w:hAnsi="Arial Narrow"/>
                <w:sz w:val="20"/>
                <w:lang w:eastAsia="en-US"/>
              </w:rPr>
              <w:t>Same treatment (1.3 treatments/attack) for severe and mild attacks: IVMP (76%), PLEX</w:t>
            </w:r>
            <w:r w:rsidR="00825055">
              <w:rPr>
                <w:rFonts w:ascii="Arial Narrow" w:hAnsi="Arial Narrow"/>
                <w:sz w:val="20"/>
                <w:lang w:eastAsia="en-US"/>
              </w:rPr>
              <w:t xml:space="preserve"> </w:t>
            </w:r>
            <w:r>
              <w:rPr>
                <w:rFonts w:ascii="Arial Narrow" w:hAnsi="Arial Narrow"/>
                <w:sz w:val="20"/>
                <w:lang w:eastAsia="en-US"/>
              </w:rPr>
              <w:t>(14%) and IVIG (10%)</w:t>
            </w:r>
            <w:r>
              <w:rPr>
                <w:rFonts w:ascii="Arial Narrow" w:hAnsi="Arial Narrow"/>
                <w:sz w:val="20"/>
                <w:vertAlign w:val="superscript"/>
                <w:lang w:eastAsia="en-US"/>
              </w:rPr>
              <w:t>a</w:t>
            </w:r>
          </w:p>
        </w:tc>
      </w:tr>
      <w:tr w:rsidR="001625E9" w:rsidRPr="00B35E47" w14:paraId="3FB2A18E" w14:textId="77777777" w:rsidTr="00825055">
        <w:trPr>
          <w:cantSplit/>
        </w:trPr>
        <w:tc>
          <w:tcPr>
            <w:tcW w:w="739" w:type="pct"/>
            <w:tcBorders>
              <w:right w:val="nil"/>
            </w:tcBorders>
          </w:tcPr>
          <w:p w14:paraId="1E63D3B3"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Transformation</w:t>
            </w:r>
          </w:p>
        </w:tc>
        <w:tc>
          <w:tcPr>
            <w:tcW w:w="1381" w:type="pct"/>
            <w:tcBorders>
              <w:left w:val="nil"/>
              <w:right w:val="nil"/>
            </w:tcBorders>
          </w:tcPr>
          <w:p w14:paraId="76BD4EEB" w14:textId="77777777" w:rsidR="001625E9" w:rsidRPr="00B35E47" w:rsidRDefault="001625E9" w:rsidP="00927513">
            <w:pPr>
              <w:spacing w:before="40" w:after="40"/>
              <w:contextualSpacing/>
              <w:rPr>
                <w:rFonts w:ascii="Arial Narrow" w:hAnsi="Arial Narrow"/>
                <w:sz w:val="20"/>
                <w:lang w:eastAsia="en-US"/>
              </w:rPr>
            </w:pPr>
          </w:p>
        </w:tc>
        <w:tc>
          <w:tcPr>
            <w:tcW w:w="1493" w:type="pct"/>
            <w:tcBorders>
              <w:left w:val="nil"/>
              <w:right w:val="nil"/>
            </w:tcBorders>
          </w:tcPr>
          <w:p w14:paraId="578985DB" w14:textId="77777777" w:rsidR="001625E9" w:rsidRPr="00B35E47" w:rsidRDefault="001625E9" w:rsidP="00927513">
            <w:pPr>
              <w:spacing w:before="40" w:after="40"/>
              <w:contextualSpacing/>
              <w:rPr>
                <w:rFonts w:ascii="Arial Narrow" w:hAnsi="Arial Narrow"/>
                <w:sz w:val="20"/>
                <w:lang w:eastAsia="en-US"/>
              </w:rPr>
            </w:pPr>
          </w:p>
        </w:tc>
        <w:tc>
          <w:tcPr>
            <w:tcW w:w="1386" w:type="pct"/>
            <w:tcBorders>
              <w:left w:val="nil"/>
            </w:tcBorders>
          </w:tcPr>
          <w:p w14:paraId="51E0FF65" w14:textId="77777777" w:rsidR="001625E9" w:rsidRPr="00B35E47" w:rsidRDefault="001625E9" w:rsidP="00927513">
            <w:pPr>
              <w:spacing w:before="40" w:after="40"/>
              <w:contextualSpacing/>
              <w:rPr>
                <w:rFonts w:ascii="Arial Narrow" w:hAnsi="Arial Narrow"/>
                <w:sz w:val="20"/>
                <w:lang w:eastAsia="en-US"/>
              </w:rPr>
            </w:pPr>
          </w:p>
        </w:tc>
      </w:tr>
      <w:tr w:rsidR="001625E9" w:rsidRPr="00B35E47" w14:paraId="6F791A17" w14:textId="77777777" w:rsidTr="00825055">
        <w:trPr>
          <w:cantSplit/>
        </w:trPr>
        <w:tc>
          <w:tcPr>
            <w:tcW w:w="739" w:type="pct"/>
          </w:tcPr>
          <w:p w14:paraId="42EC9296" w14:textId="77777777" w:rsidR="001625E9" w:rsidRPr="00B35E47" w:rsidRDefault="001625E9" w:rsidP="00927513">
            <w:pPr>
              <w:spacing w:before="40" w:after="40"/>
              <w:contextualSpacing/>
              <w:rPr>
                <w:rFonts w:ascii="Arial Narrow" w:hAnsi="Arial Narrow"/>
                <w:sz w:val="20"/>
                <w:lang w:eastAsia="en-US"/>
              </w:rPr>
            </w:pPr>
          </w:p>
        </w:tc>
        <w:tc>
          <w:tcPr>
            <w:tcW w:w="1381" w:type="pct"/>
          </w:tcPr>
          <w:p w14:paraId="08C061B5" w14:textId="6D9B2049"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Identifying appropriate h</w:t>
            </w:r>
            <w:r w:rsidRPr="00B35E47">
              <w:rPr>
                <w:rFonts w:ascii="Arial Narrow" w:hAnsi="Arial Narrow"/>
                <w:sz w:val="20"/>
                <w:lang w:eastAsia="en-US"/>
              </w:rPr>
              <w:t>ealth state utility values</w:t>
            </w:r>
            <w:r w:rsidR="00A461E2">
              <w:rPr>
                <w:rFonts w:ascii="Arial Narrow" w:hAnsi="Arial Narrow"/>
                <w:sz w:val="20"/>
                <w:lang w:eastAsia="en-US"/>
              </w:rPr>
              <w:t>:</w:t>
            </w:r>
          </w:p>
          <w:p w14:paraId="57710EBB"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Disease with no/mild disability</w:t>
            </w:r>
          </w:p>
          <w:p w14:paraId="274EFBB2"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Disease with moderate–severe disability</w:t>
            </w:r>
          </w:p>
          <w:p w14:paraId="1C1A9463"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Death</w:t>
            </w:r>
          </w:p>
        </w:tc>
        <w:tc>
          <w:tcPr>
            <w:tcW w:w="1493" w:type="pct"/>
          </w:tcPr>
          <w:p w14:paraId="42BB60B3" w14:textId="77777777" w:rsidR="001625E9" w:rsidRDefault="001625E9" w:rsidP="00927513">
            <w:pPr>
              <w:spacing w:before="40" w:after="40"/>
              <w:contextualSpacing/>
              <w:rPr>
                <w:rFonts w:ascii="Arial Narrow" w:hAnsi="Arial Narrow"/>
                <w:sz w:val="20"/>
                <w:lang w:eastAsia="en-US"/>
              </w:rPr>
            </w:pPr>
          </w:p>
          <w:p w14:paraId="2979787D" w14:textId="77777777" w:rsidR="001625E9" w:rsidRPr="00B35E47" w:rsidRDefault="001625E9" w:rsidP="00927513">
            <w:pPr>
              <w:spacing w:before="40" w:after="40"/>
              <w:contextualSpacing/>
              <w:rPr>
                <w:rFonts w:ascii="Arial Narrow" w:hAnsi="Arial Narrow"/>
                <w:sz w:val="20"/>
                <w:lang w:eastAsia="en-US"/>
              </w:rPr>
            </w:pPr>
          </w:p>
          <w:p w14:paraId="3410157F"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0.72</w:t>
            </w:r>
          </w:p>
          <w:p w14:paraId="68158AEB"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0.48</w:t>
            </w:r>
          </w:p>
          <w:p w14:paraId="1D7F34C9" w14:textId="77777777" w:rsidR="001625E9" w:rsidRPr="00B35E47" w:rsidRDefault="001625E9" w:rsidP="00927513">
            <w:pPr>
              <w:spacing w:before="40" w:after="40"/>
              <w:contextualSpacing/>
              <w:rPr>
                <w:rFonts w:ascii="Arial Narrow" w:hAnsi="Arial Narrow"/>
                <w:sz w:val="20"/>
                <w:lang w:eastAsia="en-US"/>
              </w:rPr>
            </w:pPr>
          </w:p>
          <w:p w14:paraId="3418CD93"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w:t>
            </w:r>
          </w:p>
        </w:tc>
        <w:tc>
          <w:tcPr>
            <w:tcW w:w="1386" w:type="pct"/>
          </w:tcPr>
          <w:p w14:paraId="36934FFA" w14:textId="56707D0B" w:rsidR="001625E9" w:rsidRDefault="001625E9" w:rsidP="00927513">
            <w:pPr>
              <w:spacing w:before="40" w:after="40"/>
              <w:contextualSpacing/>
              <w:rPr>
                <w:rFonts w:ascii="Arial Narrow" w:hAnsi="Arial Narrow"/>
                <w:sz w:val="20"/>
                <w:lang w:eastAsia="en-US"/>
              </w:rPr>
            </w:pPr>
          </w:p>
          <w:p w14:paraId="3479EB29" w14:textId="77777777" w:rsidR="00A461E2" w:rsidRPr="00B35E47" w:rsidRDefault="00A461E2" w:rsidP="00927513">
            <w:pPr>
              <w:spacing w:before="40" w:after="40"/>
              <w:contextualSpacing/>
              <w:rPr>
                <w:rFonts w:ascii="Arial Narrow" w:hAnsi="Arial Narrow"/>
                <w:sz w:val="20"/>
                <w:lang w:eastAsia="en-US"/>
              </w:rPr>
            </w:pPr>
          </w:p>
          <w:p w14:paraId="4C6FFFEA"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w:t>
            </w:r>
            <w:r>
              <w:rPr>
                <w:rFonts w:ascii="Arial Narrow" w:hAnsi="Arial Narrow"/>
                <w:sz w:val="20"/>
                <w:lang w:eastAsia="en-US"/>
              </w:rPr>
              <w:t>47</w:t>
            </w:r>
          </w:p>
          <w:p w14:paraId="7FB98287"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0.18</w:t>
            </w:r>
          </w:p>
          <w:p w14:paraId="0AD18309" w14:textId="77777777" w:rsidR="001625E9" w:rsidRPr="00B35E47" w:rsidRDefault="001625E9" w:rsidP="00927513">
            <w:pPr>
              <w:spacing w:before="40" w:after="40"/>
              <w:contextualSpacing/>
              <w:rPr>
                <w:rFonts w:ascii="Arial Narrow" w:hAnsi="Arial Narrow"/>
                <w:sz w:val="20"/>
                <w:lang w:eastAsia="en-US"/>
              </w:rPr>
            </w:pPr>
          </w:p>
          <w:p w14:paraId="229CABD7"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w:t>
            </w:r>
          </w:p>
        </w:tc>
      </w:tr>
      <w:tr w:rsidR="001625E9" w:rsidRPr="00B35E47" w14:paraId="591431ED" w14:textId="77777777" w:rsidTr="00825055">
        <w:trPr>
          <w:cantSplit/>
        </w:trPr>
        <w:tc>
          <w:tcPr>
            <w:tcW w:w="739" w:type="pct"/>
          </w:tcPr>
          <w:p w14:paraId="13EACD09" w14:textId="77777777" w:rsidR="001625E9" w:rsidRPr="00B35E47" w:rsidRDefault="001625E9" w:rsidP="00927513">
            <w:pPr>
              <w:spacing w:before="40" w:after="40"/>
              <w:contextualSpacing/>
              <w:rPr>
                <w:rFonts w:ascii="Arial Narrow" w:hAnsi="Arial Narrow"/>
                <w:sz w:val="20"/>
                <w:lang w:eastAsia="en-US"/>
              </w:rPr>
            </w:pPr>
          </w:p>
        </w:tc>
        <w:tc>
          <w:tcPr>
            <w:tcW w:w="1381" w:type="pct"/>
          </w:tcPr>
          <w:p w14:paraId="31C87C4E" w14:textId="11DCF2AE"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 xml:space="preserve">Identifying </w:t>
            </w:r>
            <w:r w:rsidR="00825055" w:rsidRPr="00B35E47">
              <w:rPr>
                <w:rFonts w:ascii="Arial Narrow" w:hAnsi="Arial Narrow"/>
                <w:sz w:val="20"/>
                <w:lang w:eastAsia="en-US"/>
              </w:rPr>
              <w:t>d</w:t>
            </w:r>
            <w:r w:rsidRPr="00B35E47">
              <w:rPr>
                <w:rFonts w:ascii="Arial Narrow" w:hAnsi="Arial Narrow"/>
                <w:sz w:val="20"/>
                <w:lang w:eastAsia="en-US"/>
              </w:rPr>
              <w:t>isutility</w:t>
            </w:r>
            <w:r>
              <w:rPr>
                <w:rFonts w:ascii="Arial Narrow" w:hAnsi="Arial Narrow"/>
                <w:sz w:val="20"/>
                <w:lang w:eastAsia="en-US"/>
              </w:rPr>
              <w:t xml:space="preserve"> associated with relapses:</w:t>
            </w:r>
          </w:p>
          <w:p w14:paraId="7355925A"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Mild relapse</w:t>
            </w:r>
          </w:p>
          <w:p w14:paraId="34DC749E"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Severe relapse</w:t>
            </w:r>
          </w:p>
        </w:tc>
        <w:tc>
          <w:tcPr>
            <w:tcW w:w="1493" w:type="pct"/>
          </w:tcPr>
          <w:p w14:paraId="087296DC" w14:textId="77777777" w:rsidR="001625E9" w:rsidRDefault="001625E9" w:rsidP="00927513">
            <w:pPr>
              <w:spacing w:before="40" w:after="40"/>
              <w:contextualSpacing/>
              <w:rPr>
                <w:rFonts w:ascii="Arial Narrow" w:hAnsi="Arial Narrow"/>
                <w:sz w:val="20"/>
                <w:lang w:eastAsia="en-US"/>
              </w:rPr>
            </w:pPr>
          </w:p>
          <w:p w14:paraId="2F123803" w14:textId="77777777" w:rsidR="001625E9" w:rsidRPr="00B35E47" w:rsidRDefault="001625E9" w:rsidP="00927513">
            <w:pPr>
              <w:spacing w:before="40" w:after="40"/>
              <w:contextualSpacing/>
              <w:rPr>
                <w:rFonts w:ascii="Arial Narrow" w:hAnsi="Arial Narrow"/>
                <w:sz w:val="20"/>
                <w:lang w:eastAsia="en-US"/>
              </w:rPr>
            </w:pPr>
          </w:p>
          <w:p w14:paraId="68FB8681"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0.07</w:t>
            </w:r>
          </w:p>
          <w:p w14:paraId="146404A4"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0.29</w:t>
            </w:r>
          </w:p>
        </w:tc>
        <w:tc>
          <w:tcPr>
            <w:tcW w:w="1386" w:type="pct"/>
          </w:tcPr>
          <w:p w14:paraId="5C12D221" w14:textId="77777777"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w:t>
            </w:r>
          </w:p>
        </w:tc>
      </w:tr>
    </w:tbl>
    <w:bookmarkEnd w:id="29"/>
    <w:bookmarkEnd w:id="30"/>
    <w:p w14:paraId="76CC2730" w14:textId="77777777" w:rsidR="001625E9" w:rsidRDefault="001625E9" w:rsidP="001625E9">
      <w:pPr>
        <w:widowControl w:val="0"/>
        <w:spacing w:after="120"/>
        <w:contextualSpacing/>
        <w:rPr>
          <w:rFonts w:ascii="Arial Narrow" w:hAnsi="Arial Narrow" w:cs="Arial"/>
          <w:snapToGrid w:val="0"/>
          <w:sz w:val="18"/>
          <w:lang w:eastAsia="en-US"/>
        </w:rPr>
      </w:pPr>
      <w:r>
        <w:rPr>
          <w:rFonts w:ascii="Arial Narrow" w:hAnsi="Arial Narrow" w:cs="Arial"/>
          <w:snapToGrid w:val="0"/>
          <w:sz w:val="18"/>
          <w:vertAlign w:val="superscript"/>
          <w:lang w:eastAsia="en-US"/>
        </w:rPr>
        <w:t xml:space="preserve">a </w:t>
      </w:r>
      <w:r>
        <w:rPr>
          <w:rFonts w:ascii="Arial Narrow" w:hAnsi="Arial Narrow" w:cs="Arial"/>
          <w:snapToGrid w:val="0"/>
          <w:sz w:val="18"/>
          <w:lang w:eastAsia="en-US"/>
        </w:rPr>
        <w:t xml:space="preserve">Source: </w:t>
      </w:r>
      <w:r w:rsidRPr="005950CA">
        <w:rPr>
          <w:rFonts w:ascii="Arial Narrow" w:hAnsi="Arial Narrow" w:cs="Arial"/>
          <w:snapToGrid w:val="0"/>
          <w:sz w:val="18"/>
          <w:lang w:eastAsia="en-US"/>
        </w:rPr>
        <w:t>(Kunchok et al. 2019)</w:t>
      </w:r>
    </w:p>
    <w:p w14:paraId="11085154" w14:textId="19886CDE" w:rsidR="001625E9" w:rsidRDefault="001625E9" w:rsidP="001625E9">
      <w:pPr>
        <w:widowControl w:val="0"/>
        <w:spacing w:after="120"/>
        <w:contextualSpacing/>
        <w:rPr>
          <w:rFonts w:ascii="Arial Narrow" w:hAnsi="Arial Narrow" w:cs="Arial"/>
          <w:snapToGrid w:val="0"/>
          <w:sz w:val="18"/>
          <w:lang w:eastAsia="en-US"/>
        </w:rPr>
      </w:pPr>
      <w:r w:rsidRPr="00B35E47">
        <w:rPr>
          <w:rFonts w:ascii="Arial Narrow" w:hAnsi="Arial Narrow" w:cs="Arial"/>
          <w:snapToGrid w:val="0"/>
          <w:sz w:val="18"/>
          <w:lang w:eastAsia="en-US"/>
        </w:rPr>
        <w:t xml:space="preserve">Ab = antibody; AQP4 = aquaporin 4; ARR = annualised relapse rate; AZA = </w:t>
      </w:r>
      <w:r w:rsidR="00825055" w:rsidRPr="00B35E47">
        <w:rPr>
          <w:rFonts w:ascii="Arial Narrow" w:hAnsi="Arial Narrow" w:cs="Arial"/>
          <w:snapToGrid w:val="0"/>
          <w:sz w:val="18"/>
          <w:lang w:eastAsia="en-US"/>
        </w:rPr>
        <w:t>a</w:t>
      </w:r>
      <w:r w:rsidRPr="00B35E47">
        <w:rPr>
          <w:rFonts w:ascii="Arial Narrow" w:hAnsi="Arial Narrow" w:cs="Arial"/>
          <w:snapToGrid w:val="0"/>
          <w:sz w:val="18"/>
          <w:lang w:eastAsia="en-US"/>
        </w:rPr>
        <w:t xml:space="preserve">zathioprine; EDSS = expanded disability status scale; IVMP = intravenous methylprednisolone; IVIG = intravenous </w:t>
      </w:r>
      <w:r>
        <w:rPr>
          <w:rFonts w:ascii="Arial Narrow" w:hAnsi="Arial Narrow" w:cs="Arial"/>
          <w:snapToGrid w:val="0"/>
          <w:sz w:val="18"/>
          <w:lang w:eastAsia="en-US"/>
        </w:rPr>
        <w:t>immunoglobulin</w:t>
      </w:r>
      <w:r w:rsidRPr="00B35E47">
        <w:rPr>
          <w:rFonts w:ascii="Arial Narrow" w:hAnsi="Arial Narrow" w:cs="Arial"/>
          <w:snapToGrid w:val="0"/>
          <w:sz w:val="18"/>
          <w:lang w:eastAsia="en-US"/>
        </w:rPr>
        <w:t xml:space="preserve">; MOG = </w:t>
      </w:r>
      <w:r w:rsidR="00825055" w:rsidRPr="00B35E47">
        <w:rPr>
          <w:rFonts w:ascii="Arial Narrow" w:hAnsi="Arial Narrow" w:cs="Arial"/>
          <w:snapToGrid w:val="0"/>
          <w:sz w:val="18"/>
          <w:lang w:eastAsia="en-US"/>
        </w:rPr>
        <w:t>m</w:t>
      </w:r>
      <w:r w:rsidRPr="00B35E47">
        <w:rPr>
          <w:rFonts w:ascii="Arial Narrow" w:hAnsi="Arial Narrow" w:cs="Arial"/>
          <w:snapToGrid w:val="0"/>
          <w:sz w:val="18"/>
          <w:lang w:eastAsia="en-US"/>
        </w:rPr>
        <w:t>yelin oligodendrocyte glycoprotein; NMOSD = neuromyelitis optica spectrum disorder; PLEX = pl</w:t>
      </w:r>
      <w:r>
        <w:rPr>
          <w:rFonts w:ascii="Arial Narrow" w:hAnsi="Arial Narrow" w:cs="Arial"/>
          <w:snapToGrid w:val="0"/>
          <w:sz w:val="18"/>
          <w:lang w:eastAsia="en-US"/>
        </w:rPr>
        <w:t xml:space="preserve">asma exchange; RTX = </w:t>
      </w:r>
      <w:r w:rsidR="00825055">
        <w:rPr>
          <w:rFonts w:ascii="Arial Narrow" w:hAnsi="Arial Narrow" w:cs="Arial"/>
          <w:snapToGrid w:val="0"/>
          <w:sz w:val="18"/>
          <w:lang w:eastAsia="en-US"/>
        </w:rPr>
        <w:t>r</w:t>
      </w:r>
      <w:r>
        <w:rPr>
          <w:rFonts w:ascii="Arial Narrow" w:hAnsi="Arial Narrow" w:cs="Arial"/>
          <w:snapToGrid w:val="0"/>
          <w:sz w:val="18"/>
          <w:lang w:eastAsia="en-US"/>
        </w:rPr>
        <w:t>ituximab</w:t>
      </w:r>
    </w:p>
    <w:p w14:paraId="0724C4C8" w14:textId="77777777" w:rsidR="001625E9" w:rsidRPr="001625E9" w:rsidRDefault="001625E9" w:rsidP="001625E9">
      <w:pPr>
        <w:widowControl w:val="0"/>
        <w:spacing w:after="120"/>
        <w:contextualSpacing/>
        <w:rPr>
          <w:rFonts w:ascii="Arial Narrow" w:hAnsi="Arial Narrow" w:cs="Arial"/>
          <w:snapToGrid w:val="0"/>
          <w:sz w:val="18"/>
          <w:lang w:eastAsia="en-US"/>
        </w:rPr>
      </w:pPr>
      <w:r>
        <w:rPr>
          <w:rFonts w:ascii="Arial Narrow" w:hAnsi="Arial Narrow" w:cs="Arial"/>
          <w:snapToGrid w:val="0"/>
          <w:sz w:val="18"/>
          <w:lang w:eastAsia="en-US"/>
        </w:rPr>
        <w:t>Source: Table 73, p133 of the DCAR</w:t>
      </w:r>
    </w:p>
    <w:p w14:paraId="289DE827" w14:textId="77777777" w:rsidR="00BC1364" w:rsidRPr="00F715D1" w:rsidRDefault="00BC1364" w:rsidP="00F715D1">
      <w:pPr>
        <w:pStyle w:val="Heading1"/>
      </w:pPr>
      <w:r w:rsidRPr="00F715D1">
        <w:t>Economic evaluation</w:t>
      </w:r>
    </w:p>
    <w:p w14:paraId="430EE3DF" w14:textId="5272017D" w:rsidR="001625E9" w:rsidRDefault="001625E9" w:rsidP="001625E9">
      <w:r>
        <w:t>The DCAR performed a cost-ut</w:t>
      </w:r>
      <w:r w:rsidR="003C0E09">
        <w:t>ility analysis (CUA) [</w:t>
      </w:r>
      <w:r w:rsidR="003C0E09" w:rsidRPr="009D6016">
        <w:rPr>
          <w:szCs w:val="24"/>
        </w:rPr>
        <w:fldChar w:fldCharType="begin"/>
      </w:r>
      <w:r w:rsidR="003C0E09" w:rsidRPr="009D6016">
        <w:rPr>
          <w:szCs w:val="24"/>
        </w:rPr>
        <w:instrText xml:space="preserve"> REF _Ref379483368 \h </w:instrText>
      </w:r>
      <w:r w:rsidR="009D6016" w:rsidRPr="009D6016">
        <w:rPr>
          <w:szCs w:val="24"/>
        </w:rPr>
        <w:instrText xml:space="preserve"> \* MERGEFORMAT </w:instrText>
      </w:r>
      <w:r w:rsidR="003C0E09" w:rsidRPr="009D6016">
        <w:rPr>
          <w:szCs w:val="24"/>
        </w:rPr>
      </w:r>
      <w:r w:rsidR="003C0E09" w:rsidRPr="009D6016">
        <w:rPr>
          <w:szCs w:val="24"/>
        </w:rPr>
        <w:fldChar w:fldCharType="separate"/>
      </w:r>
      <w:r w:rsidR="009D6016" w:rsidRPr="009D6016">
        <w:rPr>
          <w:szCs w:val="24"/>
        </w:rPr>
        <w:t xml:space="preserve">Table </w:t>
      </w:r>
      <w:r w:rsidR="009D6016" w:rsidRPr="009D6016">
        <w:rPr>
          <w:noProof/>
          <w:szCs w:val="24"/>
        </w:rPr>
        <w:t>10</w:t>
      </w:r>
      <w:r w:rsidR="003C0E09" w:rsidRPr="009D6016">
        <w:rPr>
          <w:szCs w:val="24"/>
        </w:rPr>
        <w:fldChar w:fldCharType="end"/>
      </w:r>
      <w:r w:rsidR="003C0E09">
        <w:t>].</w:t>
      </w:r>
    </w:p>
    <w:p w14:paraId="58DFFCF0" w14:textId="3776DCEC" w:rsidR="001625E9" w:rsidRDefault="001625E9" w:rsidP="003C0E09">
      <w:pPr>
        <w:spacing w:before="240"/>
      </w:pPr>
      <w:r>
        <w:t xml:space="preserve">The DCAR stated that based on the clinical literature, </w:t>
      </w:r>
      <w:r w:rsidRPr="00B35E47">
        <w:t>patients who test positive for AQP4</w:t>
      </w:r>
      <w:r w:rsidR="00DE70EA">
        <w:noBreakHyphen/>
      </w:r>
      <w:r w:rsidRPr="00B35E47">
        <w:t>Ab</w:t>
      </w:r>
      <w:r>
        <w:t>, or receive a correct diagnosis without testing,</w:t>
      </w:r>
      <w:r w:rsidRPr="00B35E47">
        <w:t xml:space="preserve"> </w:t>
      </w:r>
      <w:r>
        <w:t xml:space="preserve">receive appropriate </w:t>
      </w:r>
      <w:r w:rsidRPr="00B35E47">
        <w:t xml:space="preserve">immunosuppressive therapy </w:t>
      </w:r>
      <w:r>
        <w:t xml:space="preserve">promptly. Subsequently they will </w:t>
      </w:r>
      <w:r w:rsidRPr="00B35E47">
        <w:t xml:space="preserve">have </w:t>
      </w:r>
      <w:r>
        <w:t xml:space="preserve">a </w:t>
      </w:r>
      <w:r w:rsidRPr="00B35E47">
        <w:t>reduced risk of relapse and associated disability</w:t>
      </w:r>
      <w:r>
        <w:t xml:space="preserve">. The remaining </w:t>
      </w:r>
      <w:r w:rsidRPr="00B35E47">
        <w:t xml:space="preserve">patients will </w:t>
      </w:r>
      <w:r>
        <w:t xml:space="preserve">initially </w:t>
      </w:r>
      <w:r w:rsidRPr="00B35E47">
        <w:t xml:space="preserve">either receive </w:t>
      </w:r>
      <w:r>
        <w:t>MS</w:t>
      </w:r>
      <w:r w:rsidRPr="00B35E47">
        <w:t xml:space="preserve"> disease modifying treatment (</w:t>
      </w:r>
      <w:r>
        <w:t xml:space="preserve">which are harmful in NMOSD) </w:t>
      </w:r>
      <w:r w:rsidRPr="00B35E47">
        <w:t xml:space="preserve">or no treatment. </w:t>
      </w:r>
      <w:r>
        <w:t>However, it</w:t>
      </w:r>
      <w:r w:rsidRPr="00B35E47">
        <w:t xml:space="preserve"> is assumed that these patients will </w:t>
      </w:r>
      <w:r>
        <w:t xml:space="preserve">receive ongoing medical attention, and eventually on clinical grounds, </w:t>
      </w:r>
      <w:r w:rsidRPr="00B35E47">
        <w:t xml:space="preserve">the correct diagnosis </w:t>
      </w:r>
      <w:r>
        <w:t xml:space="preserve">would be reached (and then </w:t>
      </w:r>
      <w:r w:rsidRPr="00B35E47">
        <w:t>correct NMOSD treatment</w:t>
      </w:r>
      <w:r>
        <w:t xml:space="preserve"> initiated). This event (correct diagnosis and treatment initiation) is modelled to occur at </w:t>
      </w:r>
      <w:r w:rsidRPr="00B35E47">
        <w:t xml:space="preserve">the mean time to </w:t>
      </w:r>
      <w:r>
        <w:t xml:space="preserve">NMO/NMOSD </w:t>
      </w:r>
      <w:r w:rsidRPr="00B35E47">
        <w:t>diagnosis</w:t>
      </w:r>
      <w:r>
        <w:t>, based on the clinical data</w:t>
      </w:r>
      <w:r w:rsidRPr="00B35E47">
        <w:t>.</w:t>
      </w:r>
    </w:p>
    <w:p w14:paraId="23F76379" w14:textId="3B8F439B" w:rsidR="001625E9" w:rsidRPr="00F4009F" w:rsidRDefault="003C0E09" w:rsidP="00F4009F">
      <w:pPr>
        <w:keepNext/>
        <w:keepLines/>
        <w:spacing w:before="240"/>
        <w:rPr>
          <w:rFonts w:ascii="Arial Narrow" w:hAnsi="Arial Narrow"/>
          <w:b/>
          <w:sz w:val="20"/>
        </w:rPr>
      </w:pPr>
      <w:bookmarkStart w:id="31" w:name="_Ref379483368"/>
      <w:bookmarkStart w:id="32" w:name="_Ref394419656"/>
      <w:bookmarkStart w:id="33" w:name="_Toc34212099"/>
      <w:bookmarkStart w:id="34" w:name="_Toc36054786"/>
      <w:bookmarkStart w:id="35" w:name="_Toc39580787"/>
      <w:r w:rsidRPr="00F4009F">
        <w:rPr>
          <w:rFonts w:ascii="Arial Narrow" w:hAnsi="Arial Narrow"/>
          <w:b/>
          <w:sz w:val="20"/>
        </w:rPr>
        <w:lastRenderedPageBreak/>
        <w:t xml:space="preserve">Table </w:t>
      </w:r>
      <w:r w:rsidR="00F4009F" w:rsidRPr="00F4009F">
        <w:rPr>
          <w:rFonts w:ascii="Arial Narrow" w:hAnsi="Arial Narrow"/>
          <w:b/>
          <w:sz w:val="20"/>
        </w:rPr>
        <w:fldChar w:fldCharType="begin"/>
      </w:r>
      <w:r w:rsidR="00F4009F" w:rsidRPr="00F4009F">
        <w:rPr>
          <w:rFonts w:ascii="Arial Narrow" w:hAnsi="Arial Narrow"/>
          <w:b/>
          <w:sz w:val="20"/>
        </w:rPr>
        <w:instrText xml:space="preserve"> SEQ Table \* ARABIC </w:instrText>
      </w:r>
      <w:r w:rsidR="00F4009F" w:rsidRPr="00F4009F">
        <w:rPr>
          <w:rFonts w:ascii="Arial Narrow" w:hAnsi="Arial Narrow"/>
          <w:b/>
          <w:sz w:val="20"/>
        </w:rPr>
        <w:fldChar w:fldCharType="separate"/>
      </w:r>
      <w:r w:rsidR="009D6016">
        <w:rPr>
          <w:rFonts w:ascii="Arial Narrow" w:hAnsi="Arial Narrow"/>
          <w:b/>
          <w:noProof/>
          <w:sz w:val="20"/>
        </w:rPr>
        <w:t>10</w:t>
      </w:r>
      <w:r w:rsidR="00F4009F" w:rsidRPr="00F4009F">
        <w:rPr>
          <w:rFonts w:ascii="Arial Narrow" w:hAnsi="Arial Narrow"/>
          <w:b/>
          <w:sz w:val="20"/>
        </w:rPr>
        <w:fldChar w:fldCharType="end"/>
      </w:r>
      <w:bookmarkEnd w:id="31"/>
      <w:r w:rsidR="001625E9" w:rsidRPr="00F4009F">
        <w:rPr>
          <w:rFonts w:ascii="Arial Narrow" w:hAnsi="Arial Narrow"/>
          <w:b/>
          <w:sz w:val="20"/>
        </w:rPr>
        <w:tab/>
        <w:t>Summary of the economic evaluation</w:t>
      </w:r>
      <w:bookmarkEnd w:id="32"/>
      <w:bookmarkEnd w:id="33"/>
      <w:bookmarkEnd w:id="34"/>
      <w:bookmarkEnd w:id="35"/>
    </w:p>
    <w:tbl>
      <w:tblPr>
        <w:tblStyle w:val="TableGrid1"/>
        <w:tblW w:w="5000" w:type="pct"/>
        <w:tblLook w:val="01E0" w:firstRow="1" w:lastRow="1" w:firstColumn="1" w:lastColumn="1" w:noHBand="0" w:noVBand="0"/>
        <w:tblCaption w:val="Summary of the economic evaluation "/>
        <w:tblDescription w:val="This table describes the key constructs of the economic evaluation that is provided in the assessment report."/>
      </w:tblPr>
      <w:tblGrid>
        <w:gridCol w:w="3107"/>
        <w:gridCol w:w="5909"/>
      </w:tblGrid>
      <w:tr w:rsidR="001625E9" w:rsidRPr="00B35E47" w14:paraId="6717762C" w14:textId="77777777" w:rsidTr="00F4009F">
        <w:trPr>
          <w:trHeight w:val="20"/>
          <w:tblHeader/>
        </w:trPr>
        <w:tc>
          <w:tcPr>
            <w:tcW w:w="1723" w:type="pct"/>
          </w:tcPr>
          <w:p w14:paraId="64AFDC17" w14:textId="77777777" w:rsidR="001625E9" w:rsidRPr="00B35E47" w:rsidRDefault="001625E9" w:rsidP="00F4009F">
            <w:pPr>
              <w:keepNext/>
              <w:keepLines/>
              <w:spacing w:before="40" w:after="40"/>
              <w:rPr>
                <w:rFonts w:ascii="Arial Narrow" w:hAnsi="Arial Narrow"/>
                <w:b/>
                <w:sz w:val="20"/>
                <w:lang w:eastAsia="en-US"/>
              </w:rPr>
            </w:pPr>
            <w:r w:rsidRPr="00B35E47">
              <w:rPr>
                <w:rFonts w:ascii="Arial Narrow" w:hAnsi="Arial Narrow"/>
                <w:b/>
                <w:sz w:val="20"/>
                <w:lang w:eastAsia="en-US"/>
              </w:rPr>
              <w:t>Perspective</w:t>
            </w:r>
          </w:p>
        </w:tc>
        <w:tc>
          <w:tcPr>
            <w:tcW w:w="3277" w:type="pct"/>
          </w:tcPr>
          <w:p w14:paraId="499B54F7" w14:textId="77777777" w:rsidR="001625E9" w:rsidRPr="00B35E47" w:rsidRDefault="001625E9" w:rsidP="00F4009F">
            <w:pPr>
              <w:keepNext/>
              <w:keepLines/>
              <w:spacing w:before="40" w:after="40"/>
              <w:contextualSpacing/>
              <w:rPr>
                <w:rFonts w:ascii="Arial Narrow" w:hAnsi="Arial Narrow"/>
                <w:sz w:val="20"/>
                <w:lang w:eastAsia="en-US"/>
              </w:rPr>
            </w:pPr>
            <w:r w:rsidRPr="00B35E47">
              <w:rPr>
                <w:rFonts w:ascii="Arial Narrow" w:hAnsi="Arial Narrow"/>
                <w:sz w:val="20"/>
                <w:lang w:eastAsia="en-US"/>
              </w:rPr>
              <w:t>Australian healthcare</w:t>
            </w:r>
          </w:p>
        </w:tc>
      </w:tr>
      <w:tr w:rsidR="001625E9" w:rsidRPr="00B35E47" w14:paraId="6C2C5B36" w14:textId="77777777" w:rsidTr="00F4009F">
        <w:trPr>
          <w:trHeight w:val="20"/>
        </w:trPr>
        <w:tc>
          <w:tcPr>
            <w:tcW w:w="1723" w:type="pct"/>
          </w:tcPr>
          <w:p w14:paraId="0A1D6C26"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Comparator</w:t>
            </w:r>
          </w:p>
        </w:tc>
        <w:tc>
          <w:tcPr>
            <w:tcW w:w="3277" w:type="pct"/>
          </w:tcPr>
          <w:p w14:paraId="25CAB271"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No NMOSD-antibody testing</w:t>
            </w:r>
          </w:p>
        </w:tc>
      </w:tr>
      <w:tr w:rsidR="001625E9" w:rsidRPr="00B35E47" w14:paraId="7C8C59CB" w14:textId="77777777" w:rsidTr="00F4009F">
        <w:trPr>
          <w:trHeight w:val="20"/>
        </w:trPr>
        <w:tc>
          <w:tcPr>
            <w:tcW w:w="1723" w:type="pct"/>
          </w:tcPr>
          <w:p w14:paraId="7CB40F5D"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Type of economic evaluation</w:t>
            </w:r>
          </w:p>
        </w:tc>
        <w:tc>
          <w:tcPr>
            <w:tcW w:w="3277" w:type="pct"/>
          </w:tcPr>
          <w:p w14:paraId="22BE6098" w14:textId="5B89DB8C"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Co</w:t>
            </w:r>
            <w:r w:rsidR="00A461E2">
              <w:rPr>
                <w:rFonts w:ascii="Arial Narrow" w:hAnsi="Arial Narrow"/>
                <w:sz w:val="20"/>
                <w:lang w:eastAsia="en-US"/>
              </w:rPr>
              <w:t>st-effectiveness, cost-utility</w:t>
            </w:r>
          </w:p>
        </w:tc>
      </w:tr>
      <w:tr w:rsidR="001625E9" w:rsidRPr="00B35E47" w14:paraId="5CEE0E62" w14:textId="77777777" w:rsidTr="00F4009F">
        <w:trPr>
          <w:trHeight w:val="20"/>
        </w:trPr>
        <w:tc>
          <w:tcPr>
            <w:tcW w:w="1723" w:type="pct"/>
          </w:tcPr>
          <w:p w14:paraId="2F5DB1E4"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Sources of evidence</w:t>
            </w:r>
          </w:p>
        </w:tc>
        <w:tc>
          <w:tcPr>
            <w:tcW w:w="3277" w:type="pct"/>
          </w:tcPr>
          <w:p w14:paraId="387E3618" w14:textId="459AAC42"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Systematic re</w:t>
            </w:r>
            <w:r w:rsidR="00A461E2">
              <w:rPr>
                <w:rFonts w:ascii="Arial Narrow" w:hAnsi="Arial Narrow"/>
                <w:sz w:val="20"/>
                <w:lang w:eastAsia="en-US"/>
              </w:rPr>
              <w:t>view and clinical expert advice</w:t>
            </w:r>
          </w:p>
        </w:tc>
      </w:tr>
      <w:tr w:rsidR="001625E9" w:rsidRPr="00B35E47" w14:paraId="1DFB3084" w14:textId="77777777" w:rsidTr="00F4009F">
        <w:trPr>
          <w:trHeight w:val="20"/>
        </w:trPr>
        <w:tc>
          <w:tcPr>
            <w:tcW w:w="1723" w:type="pct"/>
            <w:hideMark/>
          </w:tcPr>
          <w:p w14:paraId="33AAB35F"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Time horizon</w:t>
            </w:r>
          </w:p>
        </w:tc>
        <w:tc>
          <w:tcPr>
            <w:tcW w:w="3277" w:type="pct"/>
            <w:hideMark/>
          </w:tcPr>
          <w:p w14:paraId="36B02153" w14:textId="77777777" w:rsidR="001625E9" w:rsidRPr="00D65B15" w:rsidRDefault="001625E9" w:rsidP="00927513">
            <w:pPr>
              <w:spacing w:before="40" w:after="40"/>
              <w:contextualSpacing/>
              <w:rPr>
                <w:rFonts w:ascii="Arial Narrow" w:hAnsi="Arial Narrow"/>
                <w:sz w:val="20"/>
                <w:vertAlign w:val="superscript"/>
                <w:lang w:eastAsia="en-US"/>
              </w:rPr>
            </w:pPr>
            <w:r>
              <w:rPr>
                <w:rFonts w:ascii="Arial Narrow" w:hAnsi="Arial Narrow"/>
                <w:sz w:val="20"/>
                <w:lang w:eastAsia="en-US"/>
              </w:rPr>
              <w:t xml:space="preserve">Until the correct diagnosis is reached and treatment is initiated in both patient arms; 3.5 </w:t>
            </w:r>
            <w:r w:rsidRPr="00B35E47">
              <w:rPr>
                <w:rFonts w:ascii="Arial Narrow" w:hAnsi="Arial Narrow"/>
                <w:sz w:val="20"/>
                <w:lang w:eastAsia="en-US"/>
              </w:rPr>
              <w:t>years</w:t>
            </w:r>
            <w:r>
              <w:rPr>
                <w:rFonts w:ascii="Arial Narrow" w:hAnsi="Arial Narrow"/>
                <w:sz w:val="20"/>
                <w:lang w:eastAsia="en-US"/>
              </w:rPr>
              <w:t xml:space="preserve"> (14 cycles)</w:t>
            </w:r>
            <w:r w:rsidRPr="00B35E47">
              <w:rPr>
                <w:rFonts w:ascii="Arial Narrow" w:hAnsi="Arial Narrow"/>
                <w:sz w:val="20"/>
                <w:lang w:eastAsia="en-US"/>
              </w:rPr>
              <w:t xml:space="preserve"> in the base case</w:t>
            </w:r>
            <w:r>
              <w:rPr>
                <w:rFonts w:ascii="Arial Narrow" w:hAnsi="Arial Narrow"/>
                <w:sz w:val="20"/>
                <w:vertAlign w:val="superscript"/>
                <w:lang w:eastAsia="en-US"/>
              </w:rPr>
              <w:t>1</w:t>
            </w:r>
          </w:p>
        </w:tc>
      </w:tr>
      <w:tr w:rsidR="001625E9" w:rsidRPr="00B35E47" w14:paraId="497811BB" w14:textId="77777777" w:rsidTr="00F4009F">
        <w:trPr>
          <w:trHeight w:val="20"/>
        </w:trPr>
        <w:tc>
          <w:tcPr>
            <w:tcW w:w="1723" w:type="pct"/>
            <w:hideMark/>
          </w:tcPr>
          <w:p w14:paraId="4880F6BE"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Outcomes</w:t>
            </w:r>
          </w:p>
        </w:tc>
        <w:tc>
          <w:tcPr>
            <w:tcW w:w="3277" w:type="pct"/>
          </w:tcPr>
          <w:p w14:paraId="1686B91C"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Cost per quality-adjusted life year (QALY)</w:t>
            </w:r>
          </w:p>
        </w:tc>
      </w:tr>
      <w:tr w:rsidR="001625E9" w:rsidRPr="00B35E47" w14:paraId="50B028B6" w14:textId="77777777" w:rsidTr="00F4009F">
        <w:trPr>
          <w:trHeight w:val="20"/>
        </w:trPr>
        <w:tc>
          <w:tcPr>
            <w:tcW w:w="1723" w:type="pct"/>
            <w:hideMark/>
          </w:tcPr>
          <w:p w14:paraId="1E4D135E"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Methods used to generate results</w:t>
            </w:r>
          </w:p>
        </w:tc>
        <w:tc>
          <w:tcPr>
            <w:tcW w:w="3277" w:type="pct"/>
          </w:tcPr>
          <w:p w14:paraId="0DECCE39" w14:textId="1D7DBBC2"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Decision tree</w:t>
            </w:r>
            <w:r>
              <w:rPr>
                <w:rFonts w:ascii="Arial Narrow" w:hAnsi="Arial Narrow"/>
                <w:sz w:val="20"/>
                <w:lang w:eastAsia="en-US"/>
              </w:rPr>
              <w:t xml:space="preserve"> to initial diagnosis, then </w:t>
            </w:r>
            <w:r w:rsidRPr="00B35E47">
              <w:rPr>
                <w:rFonts w:ascii="Arial Narrow" w:hAnsi="Arial Narrow"/>
                <w:sz w:val="20"/>
                <w:lang w:eastAsia="en-US"/>
              </w:rPr>
              <w:t>Markov model</w:t>
            </w:r>
            <w:r w:rsidR="00A461E2">
              <w:rPr>
                <w:rFonts w:ascii="Arial Narrow" w:hAnsi="Arial Narrow"/>
                <w:sz w:val="20"/>
                <w:lang w:eastAsia="en-US"/>
              </w:rPr>
              <w:t>s for disease pathway</w:t>
            </w:r>
          </w:p>
        </w:tc>
      </w:tr>
      <w:tr w:rsidR="001625E9" w:rsidRPr="00B35E47" w14:paraId="57CD3013" w14:textId="77777777" w:rsidTr="00F4009F">
        <w:trPr>
          <w:trHeight w:val="20"/>
        </w:trPr>
        <w:tc>
          <w:tcPr>
            <w:tcW w:w="1723" w:type="pct"/>
          </w:tcPr>
          <w:p w14:paraId="1116BD50" w14:textId="77777777" w:rsidR="001625E9" w:rsidRPr="00B35E47" w:rsidRDefault="001625E9" w:rsidP="00927513">
            <w:pPr>
              <w:keepNext/>
              <w:spacing w:before="40" w:after="40"/>
              <w:rPr>
                <w:rFonts w:ascii="Arial Narrow" w:hAnsi="Arial Narrow"/>
                <w:b/>
                <w:sz w:val="20"/>
                <w:lang w:eastAsia="en-US"/>
              </w:rPr>
            </w:pPr>
            <w:r>
              <w:rPr>
                <w:rFonts w:ascii="Arial Narrow" w:hAnsi="Arial Narrow"/>
                <w:b/>
                <w:sz w:val="20"/>
                <w:lang w:eastAsia="en-US"/>
              </w:rPr>
              <w:t>Health states</w:t>
            </w:r>
          </w:p>
        </w:tc>
        <w:tc>
          <w:tcPr>
            <w:tcW w:w="3277" w:type="pct"/>
          </w:tcPr>
          <w:p w14:paraId="30696ED2"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 xml:space="preserve">Disease with </w:t>
            </w:r>
            <w:r>
              <w:rPr>
                <w:rFonts w:ascii="Arial Narrow" w:hAnsi="Arial Narrow"/>
                <w:sz w:val="20"/>
                <w:lang w:eastAsia="en-US"/>
              </w:rPr>
              <w:t xml:space="preserve">no </w:t>
            </w:r>
            <w:r w:rsidRPr="00B35E47">
              <w:rPr>
                <w:rFonts w:ascii="Arial Narrow" w:hAnsi="Arial Narrow"/>
                <w:sz w:val="20"/>
                <w:lang w:eastAsia="en-US"/>
              </w:rPr>
              <w:t>or mil</w:t>
            </w:r>
            <w:r>
              <w:rPr>
                <w:rFonts w:ascii="Arial Narrow" w:hAnsi="Arial Narrow"/>
                <w:sz w:val="20"/>
                <w:lang w:eastAsia="en-US"/>
              </w:rPr>
              <w:t>d</w:t>
            </w:r>
            <w:r w:rsidRPr="00B35E47">
              <w:rPr>
                <w:rFonts w:ascii="Arial Narrow" w:hAnsi="Arial Narrow"/>
                <w:sz w:val="20"/>
                <w:lang w:eastAsia="en-US"/>
              </w:rPr>
              <w:t xml:space="preserve"> disability, disease with </w:t>
            </w:r>
            <w:r>
              <w:rPr>
                <w:rFonts w:ascii="Arial Narrow" w:hAnsi="Arial Narrow"/>
                <w:sz w:val="20"/>
                <w:lang w:eastAsia="en-US"/>
              </w:rPr>
              <w:t xml:space="preserve">moderate–severe </w:t>
            </w:r>
            <w:r w:rsidRPr="00B35E47">
              <w:rPr>
                <w:rFonts w:ascii="Arial Narrow" w:hAnsi="Arial Narrow"/>
                <w:sz w:val="20"/>
                <w:lang w:eastAsia="en-US"/>
              </w:rPr>
              <w:t>disability</w:t>
            </w:r>
            <w:r>
              <w:rPr>
                <w:rFonts w:ascii="Arial Narrow" w:hAnsi="Arial Narrow"/>
                <w:sz w:val="20"/>
                <w:lang w:eastAsia="en-US"/>
              </w:rPr>
              <w:t>,</w:t>
            </w:r>
            <w:r w:rsidRPr="00B35E47">
              <w:rPr>
                <w:rFonts w:ascii="Arial Narrow" w:hAnsi="Arial Narrow"/>
                <w:sz w:val="20"/>
                <w:lang w:eastAsia="en-US"/>
              </w:rPr>
              <w:t xml:space="preserve"> and death</w:t>
            </w:r>
            <w:r>
              <w:rPr>
                <w:rFonts w:ascii="Arial Narrow" w:hAnsi="Arial Narrow"/>
                <w:sz w:val="20"/>
                <w:lang w:eastAsia="en-US"/>
              </w:rPr>
              <w:t>. The model also includes two temporary health states of mild and severe relapse.</w:t>
            </w:r>
          </w:p>
        </w:tc>
      </w:tr>
      <w:tr w:rsidR="001625E9" w:rsidRPr="00B35E47" w14:paraId="4A0BDB28" w14:textId="77777777" w:rsidTr="00F4009F">
        <w:trPr>
          <w:trHeight w:val="20"/>
        </w:trPr>
        <w:tc>
          <w:tcPr>
            <w:tcW w:w="1723" w:type="pct"/>
            <w:hideMark/>
          </w:tcPr>
          <w:p w14:paraId="75BA352C"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C</w:t>
            </w:r>
            <w:r>
              <w:rPr>
                <w:rFonts w:ascii="Arial Narrow" w:hAnsi="Arial Narrow"/>
                <w:b/>
                <w:sz w:val="20"/>
                <w:lang w:eastAsia="en-US"/>
              </w:rPr>
              <w:t>ycle length</w:t>
            </w:r>
          </w:p>
        </w:tc>
        <w:tc>
          <w:tcPr>
            <w:tcW w:w="3277" w:type="pct"/>
          </w:tcPr>
          <w:p w14:paraId="0396C4E3" w14:textId="3B2A730A" w:rsidR="001625E9" w:rsidRPr="00B35E47" w:rsidRDefault="001625E9" w:rsidP="00927513">
            <w:pPr>
              <w:spacing w:before="40" w:after="40"/>
              <w:contextualSpacing/>
              <w:rPr>
                <w:rFonts w:ascii="Arial Narrow" w:hAnsi="Arial Narrow"/>
                <w:sz w:val="20"/>
                <w:lang w:eastAsia="en-US"/>
              </w:rPr>
            </w:pPr>
            <w:r>
              <w:rPr>
                <w:rFonts w:ascii="Arial Narrow" w:hAnsi="Arial Narrow"/>
                <w:sz w:val="20"/>
                <w:lang w:eastAsia="en-US"/>
              </w:rPr>
              <w:t>Three months (quarterly): based</w:t>
            </w:r>
            <w:r w:rsidR="00A461E2">
              <w:rPr>
                <w:rFonts w:ascii="Arial Narrow" w:hAnsi="Arial Narrow"/>
                <w:sz w:val="20"/>
                <w:lang w:eastAsia="en-US"/>
              </w:rPr>
              <w:t xml:space="preserve"> on average duration of relapse</w:t>
            </w:r>
          </w:p>
        </w:tc>
      </w:tr>
      <w:tr w:rsidR="001625E9" w:rsidRPr="00B35E47" w14:paraId="7999F1E2" w14:textId="77777777" w:rsidTr="00F4009F">
        <w:trPr>
          <w:trHeight w:val="20"/>
        </w:trPr>
        <w:tc>
          <w:tcPr>
            <w:tcW w:w="1723" w:type="pct"/>
            <w:hideMark/>
          </w:tcPr>
          <w:p w14:paraId="43E36B31"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Discount rate</w:t>
            </w:r>
          </w:p>
        </w:tc>
        <w:tc>
          <w:tcPr>
            <w:tcW w:w="3277" w:type="pct"/>
          </w:tcPr>
          <w:p w14:paraId="06941297"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5%</w:t>
            </w:r>
            <w:r>
              <w:rPr>
                <w:rFonts w:ascii="Arial Narrow" w:hAnsi="Arial Narrow"/>
                <w:sz w:val="20"/>
                <w:lang w:eastAsia="en-US"/>
              </w:rPr>
              <w:t xml:space="preserve"> for both costs and outcomes</w:t>
            </w:r>
          </w:p>
        </w:tc>
      </w:tr>
      <w:tr w:rsidR="001625E9" w:rsidRPr="00B35E47" w14:paraId="04C0A00F" w14:textId="77777777" w:rsidTr="00F4009F">
        <w:trPr>
          <w:trHeight w:val="20"/>
        </w:trPr>
        <w:tc>
          <w:tcPr>
            <w:tcW w:w="1723" w:type="pct"/>
            <w:hideMark/>
          </w:tcPr>
          <w:p w14:paraId="21E172CD" w14:textId="77777777" w:rsidR="001625E9" w:rsidRPr="00B35E47" w:rsidRDefault="001625E9" w:rsidP="00927513">
            <w:pPr>
              <w:keepNext/>
              <w:spacing w:before="40" w:after="40"/>
              <w:rPr>
                <w:rFonts w:ascii="Arial Narrow" w:hAnsi="Arial Narrow"/>
                <w:b/>
                <w:sz w:val="20"/>
                <w:lang w:eastAsia="en-US"/>
              </w:rPr>
            </w:pPr>
            <w:r w:rsidRPr="00B35E47">
              <w:rPr>
                <w:rFonts w:ascii="Arial Narrow" w:hAnsi="Arial Narrow"/>
                <w:b/>
                <w:sz w:val="20"/>
                <w:lang w:eastAsia="en-US"/>
              </w:rPr>
              <w:t>Software packages used</w:t>
            </w:r>
          </w:p>
        </w:tc>
        <w:tc>
          <w:tcPr>
            <w:tcW w:w="3277" w:type="pct"/>
          </w:tcPr>
          <w:p w14:paraId="60FDD426" w14:textId="77777777" w:rsidR="001625E9" w:rsidRPr="00B35E47" w:rsidRDefault="001625E9" w:rsidP="00927513">
            <w:pPr>
              <w:spacing w:before="40" w:after="40"/>
              <w:contextualSpacing/>
              <w:rPr>
                <w:rFonts w:ascii="Arial Narrow" w:hAnsi="Arial Narrow"/>
                <w:sz w:val="20"/>
                <w:lang w:eastAsia="en-US"/>
              </w:rPr>
            </w:pPr>
            <w:r w:rsidRPr="00B35E47">
              <w:rPr>
                <w:rFonts w:ascii="Arial Narrow" w:hAnsi="Arial Narrow"/>
                <w:sz w:val="20"/>
                <w:lang w:eastAsia="en-US"/>
              </w:rPr>
              <w:t>TreeAge Pro</w:t>
            </w:r>
            <w:r>
              <w:rPr>
                <w:rFonts w:ascii="Arial Narrow" w:hAnsi="Arial Narrow"/>
                <w:sz w:val="20"/>
                <w:lang w:eastAsia="en-US"/>
              </w:rPr>
              <w:t xml:space="preserve"> Healthcare 2020</w:t>
            </w:r>
            <w:r w:rsidRPr="00606C7F">
              <w:rPr>
                <w:rFonts w:ascii="Arial Narrow" w:hAnsi="Arial Narrow"/>
                <w:sz w:val="20"/>
                <w:lang w:eastAsia="en-US"/>
              </w:rPr>
              <w:t>®</w:t>
            </w:r>
          </w:p>
        </w:tc>
      </w:tr>
    </w:tbl>
    <w:p w14:paraId="6CC9024A" w14:textId="77777777" w:rsidR="001625E9" w:rsidRDefault="001625E9" w:rsidP="001625E9">
      <w:pPr>
        <w:widowControl w:val="0"/>
        <w:spacing w:after="120"/>
        <w:contextualSpacing/>
        <w:rPr>
          <w:rFonts w:ascii="Arial Narrow" w:hAnsi="Arial Narrow" w:cs="Arial"/>
          <w:snapToGrid w:val="0"/>
          <w:sz w:val="18"/>
          <w:lang w:eastAsia="en-US"/>
        </w:rPr>
      </w:pPr>
      <w:r w:rsidRPr="00D65B15">
        <w:rPr>
          <w:rFonts w:ascii="Arial Narrow" w:hAnsi="Arial Narrow" w:cs="Arial"/>
          <w:snapToGrid w:val="0"/>
          <w:sz w:val="18"/>
          <w:vertAlign w:val="superscript"/>
          <w:lang w:eastAsia="en-US"/>
        </w:rPr>
        <w:t>1</w:t>
      </w:r>
      <w:r>
        <w:rPr>
          <w:rFonts w:ascii="Arial Narrow" w:hAnsi="Arial Narrow" w:cs="Arial"/>
          <w:snapToGrid w:val="0"/>
          <w:sz w:val="18"/>
          <w:lang w:eastAsia="en-US"/>
        </w:rPr>
        <w:t xml:space="preserve"> Time horizon is equivalent to </w:t>
      </w:r>
      <w:r w:rsidRPr="007234FA">
        <w:rPr>
          <w:rFonts w:ascii="Arial Narrow" w:hAnsi="Arial Narrow" w:cs="Arial"/>
          <w:snapToGrid w:val="0"/>
          <w:sz w:val="18"/>
          <w:lang w:eastAsia="en-US"/>
        </w:rPr>
        <w:t>mean time to correct NMSOD diagnosis in the longer of the two arms (long enough to capture the effects of delayed diagnosis)</w:t>
      </w:r>
      <w:r>
        <w:rPr>
          <w:rFonts w:ascii="Arial Narrow" w:hAnsi="Arial Narrow" w:cs="Arial"/>
          <w:snapToGrid w:val="0"/>
          <w:sz w:val="18"/>
          <w:lang w:eastAsia="en-US"/>
        </w:rPr>
        <w:t>.</w:t>
      </w:r>
    </w:p>
    <w:p w14:paraId="7669BC7A" w14:textId="77777777" w:rsidR="001625E9" w:rsidRDefault="001625E9" w:rsidP="001625E9">
      <w:pPr>
        <w:widowControl w:val="0"/>
        <w:contextualSpacing/>
        <w:rPr>
          <w:rFonts w:ascii="Arial Narrow" w:hAnsi="Arial Narrow" w:cs="Arial"/>
          <w:snapToGrid w:val="0"/>
          <w:sz w:val="18"/>
          <w:lang w:eastAsia="en-US"/>
        </w:rPr>
      </w:pPr>
      <w:r w:rsidRPr="00B35E47">
        <w:rPr>
          <w:rFonts w:ascii="Arial Narrow" w:hAnsi="Arial Narrow" w:cs="Arial"/>
          <w:snapToGrid w:val="0"/>
          <w:sz w:val="18"/>
          <w:lang w:eastAsia="en-US"/>
        </w:rPr>
        <w:t>NMOSD = neuromyelitis optica spectrum disorder</w:t>
      </w:r>
    </w:p>
    <w:p w14:paraId="51708E3A" w14:textId="77777777" w:rsidR="001625E9" w:rsidRDefault="001625E9" w:rsidP="001625E9">
      <w:pPr>
        <w:pStyle w:val="Tablenotes1"/>
      </w:pPr>
      <w:r>
        <w:t>Source: Table 6, p29 of DCAR</w:t>
      </w:r>
    </w:p>
    <w:p w14:paraId="660D354A" w14:textId="77777777" w:rsidR="001625E9" w:rsidRDefault="001625E9" w:rsidP="001625E9">
      <w:r>
        <w:t>The DCAR made some additional</w:t>
      </w:r>
      <w:r w:rsidRPr="00B35E47">
        <w:t xml:space="preserve"> structural assumptions </w:t>
      </w:r>
      <w:r>
        <w:t>for the model</w:t>
      </w:r>
      <w:r w:rsidRPr="00B35E47">
        <w:t>:</w:t>
      </w:r>
    </w:p>
    <w:p w14:paraId="23C23924" w14:textId="54F43D71" w:rsidR="001625E9" w:rsidRDefault="001625E9" w:rsidP="001625E9">
      <w:pPr>
        <w:pStyle w:val="ListParagraph"/>
        <w:numPr>
          <w:ilvl w:val="0"/>
          <w:numId w:val="31"/>
        </w:numPr>
      </w:pPr>
      <w:r>
        <w:t>R</w:t>
      </w:r>
      <w:r w:rsidRPr="00B35E47">
        <w:t>elapses are classified according to the disease severity</w:t>
      </w:r>
      <w:r>
        <w:t xml:space="preserve"> (mild or severe)</w:t>
      </w:r>
      <w:r w:rsidR="00D277B2">
        <w:t>.</w:t>
      </w:r>
    </w:p>
    <w:p w14:paraId="6D16EB13" w14:textId="4E5E33A1" w:rsidR="001625E9" w:rsidRDefault="001625E9" w:rsidP="001625E9">
      <w:pPr>
        <w:pStyle w:val="ListParagraph"/>
        <w:numPr>
          <w:ilvl w:val="0"/>
          <w:numId w:val="31"/>
        </w:numPr>
      </w:pPr>
      <w:r>
        <w:t>P</w:t>
      </w:r>
      <w:r w:rsidRPr="00B35E47">
        <w:t>atient in health state ‘disease with moderate–severe disability cannot return to health state ‘disease with no/mild disability’, thus indicating a confirmation of disability progres</w:t>
      </w:r>
      <w:r>
        <w:t>sion following a severe relapse</w:t>
      </w:r>
      <w:r w:rsidR="00D277B2">
        <w:t>.</w:t>
      </w:r>
    </w:p>
    <w:p w14:paraId="23451F4E" w14:textId="0F6813FE" w:rsidR="001625E9" w:rsidRDefault="00A461E2" w:rsidP="001625E9">
      <w:pPr>
        <w:pStyle w:val="ListParagraph"/>
        <w:numPr>
          <w:ilvl w:val="0"/>
          <w:numId w:val="31"/>
        </w:numPr>
      </w:pPr>
      <w:r>
        <w:t>A</w:t>
      </w:r>
      <w:r w:rsidR="001625E9" w:rsidRPr="00B35E47">
        <w:t>fter the nominated mean time to correct diagnosis, all diagnosed patients will be receiving correct treatment with immunosuppressive therapies, which are considered to have similar treatment efficacy</w:t>
      </w:r>
      <w:r w:rsidR="001625E9">
        <w:t>,</w:t>
      </w:r>
      <w:r w:rsidR="001625E9" w:rsidRPr="00B35E47">
        <w:t xml:space="preserve"> irrespective of the time on treatment.</w:t>
      </w:r>
      <w:r w:rsidR="001625E9">
        <w:t xml:space="preserve"> Therefore, the base case modelled time horizon is </w:t>
      </w:r>
      <w:r w:rsidR="001625E9" w:rsidRPr="00731514">
        <w:t xml:space="preserve">to </w:t>
      </w:r>
      <w:r w:rsidR="001625E9">
        <w:t>the ‘</w:t>
      </w:r>
      <w:r w:rsidR="001625E9" w:rsidRPr="00731514">
        <w:t>mean time to correct NMSOD diagnosi</w:t>
      </w:r>
      <w:r w:rsidR="001625E9">
        <w:t>s’ in the longer of the two arms</w:t>
      </w:r>
      <w:r w:rsidR="00D277B2">
        <w:t>.</w:t>
      </w:r>
    </w:p>
    <w:p w14:paraId="6FB39F43" w14:textId="7FF8C8DD" w:rsidR="001625E9" w:rsidRDefault="001625E9" w:rsidP="001625E9">
      <w:pPr>
        <w:pStyle w:val="ListParagraph"/>
        <w:numPr>
          <w:ilvl w:val="0"/>
          <w:numId w:val="31"/>
        </w:numPr>
      </w:pPr>
      <w:r>
        <w:t>Patients with no/mild disability (in remission or with mild relapse) have mortality risk similar to the general population. Patients in remission with moderate–severe disability have a mortality risk associated with disease disability. Patients with severe relapse (irrespective of disease severity) and patients with moderate–severe disability and mild relapse have mortality risk associated with the disease relapse.</w:t>
      </w:r>
    </w:p>
    <w:p w14:paraId="4C5382AD" w14:textId="7BA88C9B" w:rsidR="001625E9" w:rsidRDefault="001625E9" w:rsidP="003C0E09">
      <w:pPr>
        <w:spacing w:before="240"/>
      </w:pPr>
      <w:r w:rsidRPr="000923F7">
        <w:t>The base-case analysis assumes that only AQP4-Ab testing is performed. Additional scenario analyses consider the alternative of concurre</w:t>
      </w:r>
      <w:r>
        <w:t>nt or sequential MOG-Ab</w:t>
      </w:r>
      <w:r w:rsidR="00AC6EF8">
        <w:t xml:space="preserve"> testing (see </w:t>
      </w:r>
      <w:r w:rsidR="003C0E09" w:rsidRPr="009D6016">
        <w:rPr>
          <w:szCs w:val="24"/>
        </w:rPr>
        <w:fldChar w:fldCharType="begin"/>
      </w:r>
      <w:r w:rsidR="003C0E09" w:rsidRPr="009D6016">
        <w:rPr>
          <w:szCs w:val="24"/>
        </w:rPr>
        <w:instrText xml:space="preserve"> REF _Ref50016340 \h </w:instrText>
      </w:r>
      <w:r w:rsidR="009D6016" w:rsidRPr="009D6016">
        <w:rPr>
          <w:szCs w:val="24"/>
        </w:rPr>
        <w:instrText xml:space="preserve"> \* MERGEFORMAT </w:instrText>
      </w:r>
      <w:r w:rsidR="003C0E09" w:rsidRPr="009D6016">
        <w:rPr>
          <w:szCs w:val="24"/>
        </w:rPr>
      </w:r>
      <w:r w:rsidR="003C0E09" w:rsidRPr="009D6016">
        <w:rPr>
          <w:szCs w:val="24"/>
        </w:rPr>
        <w:fldChar w:fldCharType="separate"/>
      </w:r>
      <w:r w:rsidR="009D6016" w:rsidRPr="009D6016">
        <w:rPr>
          <w:szCs w:val="24"/>
        </w:rPr>
        <w:t xml:space="preserve">Table </w:t>
      </w:r>
      <w:r w:rsidR="009D6016" w:rsidRPr="009D6016">
        <w:rPr>
          <w:noProof/>
          <w:szCs w:val="24"/>
        </w:rPr>
        <w:t>12</w:t>
      </w:r>
      <w:r w:rsidR="003C0E09" w:rsidRPr="009D6016">
        <w:rPr>
          <w:szCs w:val="24"/>
        </w:rPr>
        <w:fldChar w:fldCharType="end"/>
      </w:r>
      <w:r w:rsidR="00AC6EF8">
        <w:t>).</w:t>
      </w:r>
    </w:p>
    <w:p w14:paraId="3AC917D7" w14:textId="77777777" w:rsidR="001625E9" w:rsidRDefault="001625E9" w:rsidP="003C0E09">
      <w:pPr>
        <w:spacing w:before="240"/>
      </w:pPr>
      <w:r>
        <w:t>The economic results presented in this section are in three parts:</w:t>
      </w:r>
    </w:p>
    <w:p w14:paraId="4FA469A6" w14:textId="77777777" w:rsidR="001625E9" w:rsidRDefault="001625E9" w:rsidP="001625E9">
      <w:pPr>
        <w:pStyle w:val="ListParagraph"/>
        <w:numPr>
          <w:ilvl w:val="0"/>
          <w:numId w:val="32"/>
        </w:numPr>
      </w:pPr>
      <w:r>
        <w:t>A revised base case and scenario analyses (different to the DCAR) using 41.4% as the percentage of initial MS misdiagnosis in cases who would have tested seropositive as opposed to 64.8%.</w:t>
      </w:r>
    </w:p>
    <w:p w14:paraId="7175D746" w14:textId="77777777" w:rsidR="001625E9" w:rsidRDefault="001625E9" w:rsidP="001625E9">
      <w:pPr>
        <w:pStyle w:val="ListParagraph"/>
        <w:numPr>
          <w:ilvl w:val="0"/>
          <w:numId w:val="32"/>
        </w:numPr>
      </w:pPr>
      <w:r>
        <w:t>Sensitivity analyses varying the percentage of initial MS misdiagnosis in cases who would have tested seropositive to illustrate how this drives ICERs in the economic modelling.</w:t>
      </w:r>
    </w:p>
    <w:p w14:paraId="6BD8A37A" w14:textId="2C49E48A" w:rsidR="001625E9" w:rsidRDefault="001625E9" w:rsidP="003C0E09">
      <w:pPr>
        <w:pStyle w:val="ListParagraph"/>
        <w:numPr>
          <w:ilvl w:val="0"/>
          <w:numId w:val="32"/>
        </w:numPr>
        <w:spacing w:after="240"/>
      </w:pPr>
      <w:r>
        <w:t>Original sensitivity analyses from the DCAR of other key economic drivers using the higher 64.8% of initial MS misdiagnosis. This likely overestimates the cost-savings from the proposed intervention.</w:t>
      </w:r>
    </w:p>
    <w:p w14:paraId="53C5730D" w14:textId="22C41336" w:rsidR="001625E9" w:rsidRDefault="003C0E09" w:rsidP="001625E9">
      <w:r w:rsidRPr="009D6016">
        <w:rPr>
          <w:szCs w:val="24"/>
        </w:rPr>
        <w:lastRenderedPageBreak/>
        <w:fldChar w:fldCharType="begin"/>
      </w:r>
      <w:r w:rsidRPr="009D6016">
        <w:rPr>
          <w:szCs w:val="24"/>
        </w:rPr>
        <w:instrText xml:space="preserve"> REF _Ref38026864 \h </w:instrText>
      </w:r>
      <w:r w:rsidR="009D6016" w:rsidRPr="009D6016">
        <w:rPr>
          <w:szCs w:val="24"/>
        </w:rPr>
        <w:instrText xml:space="preserve"> \* MERGEFORMAT </w:instrText>
      </w:r>
      <w:r w:rsidRPr="009D6016">
        <w:rPr>
          <w:szCs w:val="24"/>
        </w:rPr>
      </w:r>
      <w:r w:rsidRPr="009D6016">
        <w:rPr>
          <w:szCs w:val="24"/>
        </w:rPr>
        <w:fldChar w:fldCharType="separate"/>
      </w:r>
      <w:r w:rsidR="009D6016" w:rsidRPr="009D6016">
        <w:rPr>
          <w:szCs w:val="24"/>
        </w:rPr>
        <w:t xml:space="preserve">Table </w:t>
      </w:r>
      <w:r w:rsidR="009D6016" w:rsidRPr="009D6016">
        <w:rPr>
          <w:noProof/>
          <w:szCs w:val="24"/>
        </w:rPr>
        <w:t>11</w:t>
      </w:r>
      <w:r w:rsidRPr="009D6016">
        <w:rPr>
          <w:szCs w:val="24"/>
        </w:rPr>
        <w:fldChar w:fldCharType="end"/>
      </w:r>
      <w:r>
        <w:t xml:space="preserve"> </w:t>
      </w:r>
      <w:r w:rsidR="00AC6EF8">
        <w:t>presents t</w:t>
      </w:r>
      <w:r w:rsidR="001625E9" w:rsidRPr="000923F7">
        <w:t xml:space="preserve">he overall expected costs and outcomes, and incremental costs and outcomes per patient associated with the </w:t>
      </w:r>
      <w:r w:rsidR="00311371">
        <w:t>AQP4</w:t>
      </w:r>
      <w:r w:rsidR="001625E9">
        <w:t>-Ab</w:t>
      </w:r>
      <w:r w:rsidR="001625E9" w:rsidRPr="000923F7">
        <w:t xml:space="preserve"> test </w:t>
      </w:r>
      <w:r w:rsidR="00311371">
        <w:t xml:space="preserve">for NMOSD </w:t>
      </w:r>
      <w:r w:rsidR="001625E9" w:rsidRPr="000923F7">
        <w:t xml:space="preserve">and comparator in the model, </w:t>
      </w:r>
      <w:r w:rsidR="00AC6EF8">
        <w:t xml:space="preserve">according to </w:t>
      </w:r>
      <w:r w:rsidR="001625E9" w:rsidRPr="000923F7">
        <w:t xml:space="preserve">the base case </w:t>
      </w:r>
      <w:r>
        <w:t>assumptions.</w:t>
      </w:r>
    </w:p>
    <w:p w14:paraId="58DB955C" w14:textId="1EDD280C" w:rsidR="001625E9" w:rsidRPr="00D81991" w:rsidRDefault="003C0E09" w:rsidP="00D81991">
      <w:pPr>
        <w:spacing w:before="240"/>
        <w:rPr>
          <w:rFonts w:ascii="Arial Narrow" w:hAnsi="Arial Narrow"/>
          <w:b/>
          <w:sz w:val="20"/>
        </w:rPr>
      </w:pPr>
      <w:bookmarkStart w:id="36" w:name="_Ref38026864"/>
      <w:bookmarkStart w:id="37" w:name="_Toc39580788"/>
      <w:r w:rsidRPr="00D81991">
        <w:rPr>
          <w:rFonts w:ascii="Arial Narrow" w:hAnsi="Arial Narrow"/>
          <w:b/>
          <w:sz w:val="20"/>
        </w:rPr>
        <w:t xml:space="preserve">Table </w:t>
      </w:r>
      <w:r w:rsidRPr="00D81991">
        <w:rPr>
          <w:rFonts w:ascii="Arial Narrow" w:hAnsi="Arial Narrow"/>
          <w:b/>
          <w:sz w:val="20"/>
        </w:rPr>
        <w:fldChar w:fldCharType="begin"/>
      </w:r>
      <w:r w:rsidRPr="00D81991">
        <w:rPr>
          <w:rFonts w:ascii="Arial Narrow" w:hAnsi="Arial Narrow"/>
          <w:b/>
          <w:sz w:val="20"/>
        </w:rPr>
        <w:instrText xml:space="preserve"> SEQ Table \* ARABIC </w:instrText>
      </w:r>
      <w:r w:rsidRPr="00D81991">
        <w:rPr>
          <w:rFonts w:ascii="Arial Narrow" w:hAnsi="Arial Narrow"/>
          <w:b/>
          <w:sz w:val="20"/>
        </w:rPr>
        <w:fldChar w:fldCharType="separate"/>
      </w:r>
      <w:r w:rsidR="009D6016">
        <w:rPr>
          <w:rFonts w:ascii="Arial Narrow" w:hAnsi="Arial Narrow"/>
          <w:b/>
          <w:noProof/>
          <w:sz w:val="20"/>
        </w:rPr>
        <w:t>11</w:t>
      </w:r>
      <w:r w:rsidRPr="00D81991">
        <w:rPr>
          <w:rFonts w:ascii="Arial Narrow" w:hAnsi="Arial Narrow"/>
          <w:b/>
          <w:sz w:val="20"/>
        </w:rPr>
        <w:fldChar w:fldCharType="end"/>
      </w:r>
      <w:bookmarkEnd w:id="36"/>
      <w:r w:rsidR="001625E9" w:rsidRPr="00D81991">
        <w:rPr>
          <w:rFonts w:ascii="Arial Narrow" w:hAnsi="Arial Narrow"/>
          <w:b/>
          <w:sz w:val="20"/>
        </w:rPr>
        <w:tab/>
        <w:t>Costs and effectiveness for base-case analysis, AQP4-Ab testing only</w:t>
      </w:r>
      <w:bookmarkEnd w:id="37"/>
      <w:r w:rsidR="001625E9" w:rsidRPr="00D81991">
        <w:rPr>
          <w:rFonts w:ascii="Arial Narrow" w:hAnsi="Arial Narrow"/>
          <w:b/>
          <w:sz w:val="20"/>
        </w:rPr>
        <w:footnoteReference w:id="7"/>
      </w:r>
    </w:p>
    <w:tbl>
      <w:tblPr>
        <w:tblStyle w:val="TableGrid"/>
        <w:tblW w:w="5000" w:type="pct"/>
        <w:tblLook w:val="04A0" w:firstRow="1" w:lastRow="0" w:firstColumn="1" w:lastColumn="0" w:noHBand="0" w:noVBand="1"/>
        <w:tblCaption w:val="Costs and effectiveness for base-case analysis, AQP4-Ab testing only"/>
        <w:tblDescription w:val="Costs and effectiveness for base-case analysis, AQP4-Ab testing only"/>
      </w:tblPr>
      <w:tblGrid>
        <w:gridCol w:w="3114"/>
        <w:gridCol w:w="2268"/>
        <w:gridCol w:w="1843"/>
        <w:gridCol w:w="1791"/>
      </w:tblGrid>
      <w:tr w:rsidR="001625E9" w14:paraId="74C0E0D5" w14:textId="77777777" w:rsidTr="00AC6EF8">
        <w:trPr>
          <w:tblHeader/>
        </w:trPr>
        <w:tc>
          <w:tcPr>
            <w:tcW w:w="1727" w:type="pct"/>
          </w:tcPr>
          <w:p w14:paraId="7AFDC9E1" w14:textId="77777777" w:rsidR="001625E9" w:rsidRPr="00E95F31" w:rsidRDefault="001625E9" w:rsidP="00927513">
            <w:pPr>
              <w:pStyle w:val="TableHeading"/>
            </w:pPr>
            <w:r w:rsidRPr="00E95F31">
              <w:t>Description</w:t>
            </w:r>
          </w:p>
        </w:tc>
        <w:tc>
          <w:tcPr>
            <w:tcW w:w="1258" w:type="pct"/>
          </w:tcPr>
          <w:p w14:paraId="7536A64F" w14:textId="77777777" w:rsidR="001625E9" w:rsidRPr="00E95F31" w:rsidRDefault="001625E9" w:rsidP="00AC6EF8">
            <w:pPr>
              <w:pStyle w:val="TableHeading"/>
              <w:ind w:left="0" w:firstLine="0"/>
              <w:jc w:val="center"/>
            </w:pPr>
            <w:r w:rsidRPr="00E95F31">
              <w:t>Average cost per patient</w:t>
            </w:r>
          </w:p>
        </w:tc>
        <w:tc>
          <w:tcPr>
            <w:tcW w:w="1022" w:type="pct"/>
          </w:tcPr>
          <w:p w14:paraId="4C97225B" w14:textId="77777777" w:rsidR="001625E9" w:rsidRPr="00E95F31" w:rsidRDefault="001625E9" w:rsidP="00AC6EF8">
            <w:pPr>
              <w:pStyle w:val="TableHeading"/>
              <w:jc w:val="center"/>
            </w:pPr>
            <w:r w:rsidRPr="00E95F31">
              <w:t>QALYs</w:t>
            </w:r>
          </w:p>
        </w:tc>
        <w:tc>
          <w:tcPr>
            <w:tcW w:w="993" w:type="pct"/>
          </w:tcPr>
          <w:p w14:paraId="5D0DC80F" w14:textId="77777777" w:rsidR="001625E9" w:rsidRPr="00E95F31" w:rsidRDefault="001625E9" w:rsidP="00AC6EF8">
            <w:pPr>
              <w:pStyle w:val="TableHeading"/>
              <w:jc w:val="center"/>
            </w:pPr>
            <w:r w:rsidRPr="00E95F31">
              <w:t>Relapses</w:t>
            </w:r>
          </w:p>
        </w:tc>
      </w:tr>
      <w:tr w:rsidR="001625E9" w14:paraId="3F859654" w14:textId="77777777" w:rsidTr="00AC6EF8">
        <w:tc>
          <w:tcPr>
            <w:tcW w:w="1727" w:type="pct"/>
          </w:tcPr>
          <w:p w14:paraId="267E2F1C" w14:textId="6CA5AE6C" w:rsidR="001625E9" w:rsidRDefault="001625E9" w:rsidP="00927513">
            <w:pPr>
              <w:pStyle w:val="TableText0"/>
            </w:pPr>
            <w:r>
              <w:t>-Ab testing</w:t>
            </w:r>
            <w:r w:rsidR="00311371">
              <w:t xml:space="preserve"> for NMOSD</w:t>
            </w:r>
          </w:p>
        </w:tc>
        <w:tc>
          <w:tcPr>
            <w:tcW w:w="1258" w:type="pct"/>
          </w:tcPr>
          <w:p w14:paraId="51E21605" w14:textId="77777777" w:rsidR="001625E9" w:rsidRDefault="001625E9" w:rsidP="00AC6EF8">
            <w:pPr>
              <w:pStyle w:val="TableText0"/>
              <w:jc w:val="center"/>
            </w:pPr>
            <w:r w:rsidRPr="00A4573C">
              <w:t>$1,271</w:t>
            </w:r>
          </w:p>
        </w:tc>
        <w:tc>
          <w:tcPr>
            <w:tcW w:w="1022" w:type="pct"/>
          </w:tcPr>
          <w:p w14:paraId="69739747" w14:textId="77777777" w:rsidR="001625E9" w:rsidRDefault="001625E9" w:rsidP="00AC6EF8">
            <w:pPr>
              <w:pStyle w:val="TableText0"/>
              <w:jc w:val="center"/>
            </w:pPr>
            <w:r w:rsidRPr="00DB31E4">
              <w:t>0.1093</w:t>
            </w:r>
          </w:p>
        </w:tc>
        <w:tc>
          <w:tcPr>
            <w:tcW w:w="993" w:type="pct"/>
          </w:tcPr>
          <w:p w14:paraId="127F7A5A" w14:textId="77777777" w:rsidR="001625E9" w:rsidRDefault="001625E9" w:rsidP="00AC6EF8">
            <w:pPr>
              <w:pStyle w:val="TableText0"/>
              <w:jc w:val="center"/>
            </w:pPr>
            <w:r w:rsidRPr="007C4F52">
              <w:t>0.0818</w:t>
            </w:r>
          </w:p>
        </w:tc>
      </w:tr>
      <w:tr w:rsidR="001625E9" w14:paraId="745C8DDE" w14:textId="77777777" w:rsidTr="00AC6EF8">
        <w:tc>
          <w:tcPr>
            <w:tcW w:w="1727" w:type="pct"/>
          </w:tcPr>
          <w:p w14:paraId="02E4E0DF" w14:textId="77777777" w:rsidR="001625E9" w:rsidRDefault="001625E9" w:rsidP="00927513">
            <w:pPr>
              <w:pStyle w:val="TableText0"/>
            </w:pPr>
            <w:r>
              <w:t>No Ab testing</w:t>
            </w:r>
          </w:p>
        </w:tc>
        <w:tc>
          <w:tcPr>
            <w:tcW w:w="1258" w:type="pct"/>
          </w:tcPr>
          <w:p w14:paraId="21938203" w14:textId="77777777" w:rsidR="001625E9" w:rsidRDefault="001625E9" w:rsidP="00AC6EF8">
            <w:pPr>
              <w:pStyle w:val="TableText0"/>
              <w:jc w:val="center"/>
            </w:pPr>
            <w:r w:rsidRPr="00A4573C">
              <w:t>$1,</w:t>
            </w:r>
            <w:r>
              <w:t>591</w:t>
            </w:r>
          </w:p>
        </w:tc>
        <w:tc>
          <w:tcPr>
            <w:tcW w:w="1022" w:type="pct"/>
          </w:tcPr>
          <w:p w14:paraId="32EF6D02" w14:textId="77777777" w:rsidR="001625E9" w:rsidRDefault="001625E9" w:rsidP="00AC6EF8">
            <w:pPr>
              <w:pStyle w:val="TableText0"/>
              <w:jc w:val="center"/>
            </w:pPr>
            <w:r w:rsidRPr="00DB31E4">
              <w:t>0.106</w:t>
            </w:r>
            <w:r>
              <w:t>3</w:t>
            </w:r>
          </w:p>
        </w:tc>
        <w:tc>
          <w:tcPr>
            <w:tcW w:w="993" w:type="pct"/>
          </w:tcPr>
          <w:p w14:paraId="2635ADE2" w14:textId="77777777" w:rsidR="001625E9" w:rsidRDefault="001625E9" w:rsidP="00AC6EF8">
            <w:pPr>
              <w:pStyle w:val="TableText0"/>
              <w:jc w:val="center"/>
            </w:pPr>
            <w:r w:rsidRPr="007C4F52">
              <w:t>0.</w:t>
            </w:r>
            <w:r>
              <w:t>1243</w:t>
            </w:r>
          </w:p>
        </w:tc>
      </w:tr>
      <w:tr w:rsidR="001625E9" w:rsidRPr="00D2308B" w14:paraId="3138B928" w14:textId="77777777" w:rsidTr="00AC6EF8">
        <w:tc>
          <w:tcPr>
            <w:tcW w:w="1727" w:type="pct"/>
          </w:tcPr>
          <w:p w14:paraId="1DBB6487" w14:textId="77777777" w:rsidR="001625E9" w:rsidRPr="00D2308B" w:rsidRDefault="001625E9" w:rsidP="00927513">
            <w:pPr>
              <w:pStyle w:val="TableText0"/>
            </w:pPr>
            <w:r w:rsidRPr="00D2308B">
              <w:t>Increment (Ab testing – No Ab testing)</w:t>
            </w:r>
          </w:p>
        </w:tc>
        <w:tc>
          <w:tcPr>
            <w:tcW w:w="1258" w:type="pct"/>
          </w:tcPr>
          <w:p w14:paraId="390C51A8" w14:textId="77777777" w:rsidR="001625E9" w:rsidRPr="00211C17" w:rsidRDefault="001625E9" w:rsidP="00AC6EF8">
            <w:pPr>
              <w:pStyle w:val="TableText0"/>
              <w:jc w:val="center"/>
            </w:pPr>
            <w:r w:rsidRPr="0004678C">
              <w:t>–$</w:t>
            </w:r>
            <w:r>
              <w:t>320</w:t>
            </w:r>
          </w:p>
        </w:tc>
        <w:tc>
          <w:tcPr>
            <w:tcW w:w="1022" w:type="pct"/>
          </w:tcPr>
          <w:p w14:paraId="28A55FDE" w14:textId="77777777" w:rsidR="001625E9" w:rsidRPr="00D2308B" w:rsidRDefault="001625E9" w:rsidP="00AC6EF8">
            <w:pPr>
              <w:pStyle w:val="TableText0"/>
              <w:jc w:val="center"/>
            </w:pPr>
            <w:r w:rsidRPr="0004678C">
              <w:t>0.003</w:t>
            </w:r>
            <w:r>
              <w:t>1</w:t>
            </w:r>
          </w:p>
        </w:tc>
        <w:tc>
          <w:tcPr>
            <w:tcW w:w="993" w:type="pct"/>
          </w:tcPr>
          <w:p w14:paraId="6B5B8636" w14:textId="77777777" w:rsidR="001625E9" w:rsidRPr="00D2308B" w:rsidRDefault="001625E9" w:rsidP="00AC6EF8">
            <w:pPr>
              <w:pStyle w:val="TableText0"/>
              <w:jc w:val="center"/>
            </w:pPr>
            <w:r w:rsidRPr="0004678C">
              <w:t>–0.0</w:t>
            </w:r>
            <w:r>
              <w:t>426</w:t>
            </w:r>
          </w:p>
        </w:tc>
      </w:tr>
    </w:tbl>
    <w:p w14:paraId="682410F7" w14:textId="0B269157" w:rsidR="001625E9" w:rsidDel="00EA29F6" w:rsidRDefault="001625E9" w:rsidP="00F4009F">
      <w:pPr>
        <w:pStyle w:val="Tablenotes"/>
      </w:pPr>
      <w:r w:rsidDel="00EA29F6">
        <w:t xml:space="preserve">Ab = antibody; AQP4 = aquaporin 4; NMOSD = neuromyelitis optica; QALY = </w:t>
      </w:r>
      <w:r w:rsidR="00AC6EF8" w:rsidDel="00EA29F6">
        <w:t>q</w:t>
      </w:r>
      <w:r w:rsidDel="00EA29F6">
        <w:t>uality-adjusted life year</w:t>
      </w:r>
    </w:p>
    <w:p w14:paraId="4AABC0FA" w14:textId="77777777" w:rsidR="001625E9" w:rsidDel="00EA29F6" w:rsidRDefault="001625E9" w:rsidP="00F4009F">
      <w:pPr>
        <w:pStyle w:val="Tablenotes"/>
      </w:pPr>
      <w:r w:rsidDel="00EA29F6">
        <w:t xml:space="preserve">Source: </w:t>
      </w:r>
      <w:r>
        <w:t>ESC discussion</w:t>
      </w:r>
    </w:p>
    <w:p w14:paraId="3A170A37" w14:textId="570F3496" w:rsidR="001625E9" w:rsidRDefault="001625E9" w:rsidP="001625E9">
      <w:r>
        <w:t xml:space="preserve">The DCAR model estimates that AQP4-Ab testing is </w:t>
      </w:r>
      <w:r w:rsidRPr="00726D75">
        <w:t xml:space="preserve">dominant </w:t>
      </w:r>
      <w:r>
        <w:t>(less costly and more effective</w:t>
      </w:r>
      <w:r w:rsidRPr="00726D75">
        <w:t xml:space="preserve">) compared with no </w:t>
      </w:r>
      <w:r>
        <w:t>Ab</w:t>
      </w:r>
      <w:r w:rsidRPr="00726D75">
        <w:t xml:space="preserve"> testing</w:t>
      </w:r>
      <w:r w:rsidR="00AC6EF8">
        <w:t>.</w:t>
      </w:r>
    </w:p>
    <w:p w14:paraId="20EFC031" w14:textId="77777777" w:rsidR="001625E9" w:rsidRDefault="001625E9" w:rsidP="001625E9">
      <w:pPr>
        <w:pStyle w:val="Heading2"/>
      </w:pPr>
      <w:r w:rsidRPr="008674B8">
        <w:t>Scenario analyses</w:t>
      </w:r>
    </w:p>
    <w:p w14:paraId="094CA577" w14:textId="122FF44D" w:rsidR="001625E9" w:rsidRPr="008674B8" w:rsidRDefault="003C0E09" w:rsidP="001625E9">
      <w:r w:rsidRPr="009D6016">
        <w:rPr>
          <w:szCs w:val="24"/>
        </w:rPr>
        <w:fldChar w:fldCharType="begin"/>
      </w:r>
      <w:r w:rsidRPr="009D6016">
        <w:rPr>
          <w:szCs w:val="24"/>
        </w:rPr>
        <w:instrText xml:space="preserve"> REF _Ref50016340 \h </w:instrText>
      </w:r>
      <w:r w:rsidR="009D6016" w:rsidRPr="009D6016">
        <w:rPr>
          <w:szCs w:val="24"/>
        </w:rPr>
        <w:instrText xml:space="preserve"> \* MERGEFORMAT </w:instrText>
      </w:r>
      <w:r w:rsidRPr="009D6016">
        <w:rPr>
          <w:szCs w:val="24"/>
        </w:rPr>
      </w:r>
      <w:r w:rsidRPr="009D6016">
        <w:rPr>
          <w:szCs w:val="24"/>
        </w:rPr>
        <w:fldChar w:fldCharType="separate"/>
      </w:r>
      <w:r w:rsidR="009D6016" w:rsidRPr="009D6016">
        <w:rPr>
          <w:szCs w:val="24"/>
        </w:rPr>
        <w:t xml:space="preserve">Table </w:t>
      </w:r>
      <w:r w:rsidR="009D6016" w:rsidRPr="009D6016">
        <w:rPr>
          <w:noProof/>
          <w:szCs w:val="24"/>
        </w:rPr>
        <w:t>12</w:t>
      </w:r>
      <w:r w:rsidRPr="009D6016">
        <w:rPr>
          <w:szCs w:val="24"/>
        </w:rPr>
        <w:fldChar w:fldCharType="end"/>
      </w:r>
      <w:r>
        <w:t xml:space="preserve"> </w:t>
      </w:r>
      <w:r w:rsidR="001625E9">
        <w:t xml:space="preserve">summarises the result of scenario analyses performed for AQP4-Ab testing along with either concurrent or </w:t>
      </w:r>
      <w:r w:rsidR="00F76612">
        <w:t>sequential MOG-Ab testing. In the</w:t>
      </w:r>
      <w:r w:rsidR="001625E9">
        <w:t xml:space="preserve"> pre-ESC response</w:t>
      </w:r>
      <w:r w:rsidR="00F76612">
        <w:t>, the applicant</w:t>
      </w:r>
      <w:r w:rsidR="001625E9">
        <w:t xml:space="preserve"> highlighted that concurrent testing is supported by this analysis, and used this basis to seek a higher proposed MBS </w:t>
      </w:r>
      <w:r>
        <w:t>fee of $50 (compared with $43).</w:t>
      </w:r>
    </w:p>
    <w:p w14:paraId="5C748DEF" w14:textId="2C8CB4F8" w:rsidR="001625E9" w:rsidRPr="00D81991" w:rsidRDefault="003C0E09" w:rsidP="00D81991">
      <w:pPr>
        <w:spacing w:before="240"/>
        <w:rPr>
          <w:rFonts w:ascii="Arial Narrow" w:hAnsi="Arial Narrow"/>
          <w:b/>
          <w:sz w:val="20"/>
        </w:rPr>
      </w:pPr>
      <w:bookmarkStart w:id="38" w:name="_Ref50016340"/>
      <w:r w:rsidRPr="00D81991">
        <w:rPr>
          <w:rFonts w:ascii="Arial Narrow" w:hAnsi="Arial Narrow"/>
          <w:b/>
          <w:sz w:val="20"/>
        </w:rPr>
        <w:t xml:space="preserve">Table </w:t>
      </w:r>
      <w:r w:rsidRPr="00D81991">
        <w:rPr>
          <w:rFonts w:ascii="Arial Narrow" w:hAnsi="Arial Narrow"/>
          <w:b/>
          <w:sz w:val="20"/>
        </w:rPr>
        <w:fldChar w:fldCharType="begin"/>
      </w:r>
      <w:r w:rsidRPr="00D81991">
        <w:rPr>
          <w:rFonts w:ascii="Arial Narrow" w:hAnsi="Arial Narrow"/>
          <w:b/>
          <w:sz w:val="20"/>
        </w:rPr>
        <w:instrText xml:space="preserve"> SEQ Table \* ARABIC </w:instrText>
      </w:r>
      <w:r w:rsidRPr="00D81991">
        <w:rPr>
          <w:rFonts w:ascii="Arial Narrow" w:hAnsi="Arial Narrow"/>
          <w:b/>
          <w:sz w:val="20"/>
        </w:rPr>
        <w:fldChar w:fldCharType="separate"/>
      </w:r>
      <w:r w:rsidR="009D6016">
        <w:rPr>
          <w:rFonts w:ascii="Arial Narrow" w:hAnsi="Arial Narrow"/>
          <w:b/>
          <w:noProof/>
          <w:sz w:val="20"/>
        </w:rPr>
        <w:t>12</w:t>
      </w:r>
      <w:r w:rsidRPr="00D81991">
        <w:rPr>
          <w:rFonts w:ascii="Arial Narrow" w:hAnsi="Arial Narrow"/>
          <w:b/>
          <w:sz w:val="20"/>
        </w:rPr>
        <w:fldChar w:fldCharType="end"/>
      </w:r>
      <w:bookmarkEnd w:id="38"/>
      <w:r w:rsidR="001625E9" w:rsidRPr="00D81991">
        <w:rPr>
          <w:rFonts w:ascii="Arial Narrow" w:hAnsi="Arial Narrow"/>
          <w:b/>
          <w:sz w:val="20"/>
        </w:rPr>
        <w:tab/>
        <w:t>Costs and effectiveness for scenario 1 (AQP4-Ab and concurrent MOG-Ab testing) and scenario 2 (AQP4-Ab and sequential MOG-Ab testing)</w:t>
      </w:r>
    </w:p>
    <w:tbl>
      <w:tblPr>
        <w:tblStyle w:val="TableGrid"/>
        <w:tblW w:w="5000" w:type="pct"/>
        <w:tblLook w:val="04A0" w:firstRow="1" w:lastRow="0" w:firstColumn="1" w:lastColumn="0" w:noHBand="0" w:noVBand="1"/>
        <w:tblCaption w:val="Table 83 Costs and effcetiveness for scenario 1 (AQP4-Ab and concurrent MOG-Ab testing) and scenario 2 (AQP4-Ab and sequential MOG-Ab testing)"/>
      </w:tblPr>
      <w:tblGrid>
        <w:gridCol w:w="3114"/>
        <w:gridCol w:w="992"/>
        <w:gridCol w:w="142"/>
        <w:gridCol w:w="1134"/>
        <w:gridCol w:w="1843"/>
        <w:gridCol w:w="1791"/>
      </w:tblGrid>
      <w:tr w:rsidR="001625E9" w14:paraId="76B88833" w14:textId="77777777" w:rsidTr="00AC6EF8">
        <w:trPr>
          <w:tblHeader/>
        </w:trPr>
        <w:tc>
          <w:tcPr>
            <w:tcW w:w="1727" w:type="pct"/>
            <w:tcBorders>
              <w:bottom w:val="single" w:sz="4" w:space="0" w:color="auto"/>
            </w:tcBorders>
          </w:tcPr>
          <w:p w14:paraId="7E760381" w14:textId="77777777" w:rsidR="001625E9" w:rsidRPr="0012103F" w:rsidRDefault="001625E9" w:rsidP="00927513">
            <w:pPr>
              <w:pStyle w:val="TableText0"/>
              <w:rPr>
                <w:b/>
              </w:rPr>
            </w:pPr>
            <w:r w:rsidRPr="0012103F">
              <w:rPr>
                <w:b/>
              </w:rPr>
              <w:t>Description</w:t>
            </w:r>
          </w:p>
        </w:tc>
        <w:tc>
          <w:tcPr>
            <w:tcW w:w="1258" w:type="pct"/>
            <w:gridSpan w:val="3"/>
            <w:tcBorders>
              <w:bottom w:val="single" w:sz="4" w:space="0" w:color="auto"/>
            </w:tcBorders>
          </w:tcPr>
          <w:p w14:paraId="10716B78" w14:textId="77777777" w:rsidR="001625E9" w:rsidRPr="0012103F" w:rsidRDefault="001625E9" w:rsidP="00AC6EF8">
            <w:pPr>
              <w:pStyle w:val="TableText0"/>
              <w:jc w:val="center"/>
              <w:rPr>
                <w:b/>
              </w:rPr>
            </w:pPr>
            <w:r w:rsidRPr="0012103F">
              <w:rPr>
                <w:b/>
              </w:rPr>
              <w:t>Average cost per patient</w:t>
            </w:r>
          </w:p>
        </w:tc>
        <w:tc>
          <w:tcPr>
            <w:tcW w:w="1022" w:type="pct"/>
            <w:tcBorders>
              <w:bottom w:val="single" w:sz="4" w:space="0" w:color="auto"/>
            </w:tcBorders>
          </w:tcPr>
          <w:p w14:paraId="6A349AF4" w14:textId="77777777" w:rsidR="001625E9" w:rsidRPr="0012103F" w:rsidRDefault="001625E9" w:rsidP="00AC6EF8">
            <w:pPr>
              <w:pStyle w:val="TableText0"/>
              <w:jc w:val="center"/>
              <w:rPr>
                <w:b/>
              </w:rPr>
            </w:pPr>
            <w:r w:rsidRPr="0012103F">
              <w:rPr>
                <w:b/>
              </w:rPr>
              <w:t>QALYs</w:t>
            </w:r>
          </w:p>
        </w:tc>
        <w:tc>
          <w:tcPr>
            <w:tcW w:w="993" w:type="pct"/>
            <w:tcBorders>
              <w:bottom w:val="single" w:sz="4" w:space="0" w:color="auto"/>
            </w:tcBorders>
          </w:tcPr>
          <w:p w14:paraId="7F2983F7" w14:textId="77777777" w:rsidR="001625E9" w:rsidRPr="0012103F" w:rsidRDefault="001625E9" w:rsidP="00AC6EF8">
            <w:pPr>
              <w:pStyle w:val="TableText0"/>
              <w:jc w:val="center"/>
              <w:rPr>
                <w:b/>
              </w:rPr>
            </w:pPr>
            <w:r w:rsidRPr="0012103F">
              <w:rPr>
                <w:b/>
              </w:rPr>
              <w:t>Relapses</w:t>
            </w:r>
          </w:p>
        </w:tc>
      </w:tr>
      <w:tr w:rsidR="001625E9" w14:paraId="2B8CB94E" w14:textId="77777777" w:rsidTr="00927513">
        <w:tc>
          <w:tcPr>
            <w:tcW w:w="2277" w:type="pct"/>
            <w:gridSpan w:val="2"/>
            <w:tcBorders>
              <w:right w:val="nil"/>
            </w:tcBorders>
          </w:tcPr>
          <w:p w14:paraId="204DF4E8" w14:textId="77777777" w:rsidR="001625E9" w:rsidRPr="003D1442" w:rsidRDefault="001625E9" w:rsidP="00927513">
            <w:pPr>
              <w:pStyle w:val="TableText0"/>
            </w:pPr>
            <w:r w:rsidRPr="003D1442">
              <w:t>Scenario 1 (AQP4-Ab + concurrent MOG-Ab testing)</w:t>
            </w:r>
          </w:p>
        </w:tc>
        <w:tc>
          <w:tcPr>
            <w:tcW w:w="708" w:type="pct"/>
            <w:gridSpan w:val="2"/>
            <w:tcBorders>
              <w:left w:val="nil"/>
              <w:right w:val="nil"/>
            </w:tcBorders>
          </w:tcPr>
          <w:p w14:paraId="69B91CCE" w14:textId="77777777" w:rsidR="001625E9" w:rsidRPr="004C7F27" w:rsidRDefault="001625E9" w:rsidP="00927513">
            <w:pPr>
              <w:pStyle w:val="TableText0"/>
            </w:pPr>
          </w:p>
        </w:tc>
        <w:tc>
          <w:tcPr>
            <w:tcW w:w="1022" w:type="pct"/>
            <w:tcBorders>
              <w:left w:val="nil"/>
              <w:right w:val="nil"/>
            </w:tcBorders>
          </w:tcPr>
          <w:p w14:paraId="7D92F156" w14:textId="77777777" w:rsidR="001625E9" w:rsidRPr="007B009C" w:rsidRDefault="001625E9" w:rsidP="00927513">
            <w:pPr>
              <w:pStyle w:val="TableText0"/>
            </w:pPr>
          </w:p>
        </w:tc>
        <w:tc>
          <w:tcPr>
            <w:tcW w:w="993" w:type="pct"/>
            <w:tcBorders>
              <w:left w:val="nil"/>
            </w:tcBorders>
          </w:tcPr>
          <w:p w14:paraId="09415CAB" w14:textId="77777777" w:rsidR="001625E9" w:rsidRPr="000B68D6" w:rsidRDefault="001625E9" w:rsidP="00927513">
            <w:pPr>
              <w:pStyle w:val="TableText0"/>
            </w:pPr>
          </w:p>
        </w:tc>
      </w:tr>
      <w:tr w:rsidR="001625E9" w14:paraId="5CCDBD82" w14:textId="77777777" w:rsidTr="00AC6EF8">
        <w:tc>
          <w:tcPr>
            <w:tcW w:w="1727" w:type="pct"/>
          </w:tcPr>
          <w:p w14:paraId="50ADAD1E" w14:textId="1BCABB0A" w:rsidR="001625E9" w:rsidRDefault="00311371" w:rsidP="00927513">
            <w:pPr>
              <w:pStyle w:val="TableText0"/>
            </w:pPr>
            <w:r>
              <w:t xml:space="preserve">Concurrent </w:t>
            </w:r>
            <w:r w:rsidR="001625E9">
              <w:t>Ab testing</w:t>
            </w:r>
            <w:r>
              <w:t xml:space="preserve"> for NMOSD</w:t>
            </w:r>
          </w:p>
        </w:tc>
        <w:tc>
          <w:tcPr>
            <w:tcW w:w="1258" w:type="pct"/>
            <w:gridSpan w:val="3"/>
          </w:tcPr>
          <w:p w14:paraId="31D73230" w14:textId="77777777" w:rsidR="001625E9" w:rsidRDefault="001625E9" w:rsidP="00AC6EF8">
            <w:pPr>
              <w:pStyle w:val="TableText0"/>
              <w:jc w:val="center"/>
            </w:pPr>
            <w:r w:rsidRPr="00ED0F14">
              <w:t>$2,880</w:t>
            </w:r>
          </w:p>
        </w:tc>
        <w:tc>
          <w:tcPr>
            <w:tcW w:w="1022" w:type="pct"/>
          </w:tcPr>
          <w:p w14:paraId="27AD308F" w14:textId="77777777" w:rsidR="001625E9" w:rsidRDefault="001625E9" w:rsidP="00AC6EF8">
            <w:pPr>
              <w:pStyle w:val="TableText0"/>
              <w:jc w:val="center"/>
            </w:pPr>
            <w:r w:rsidRPr="00265FB7">
              <w:t>0.2525</w:t>
            </w:r>
          </w:p>
        </w:tc>
        <w:tc>
          <w:tcPr>
            <w:tcW w:w="993" w:type="pct"/>
          </w:tcPr>
          <w:p w14:paraId="3A2C9E9D" w14:textId="77777777" w:rsidR="001625E9" w:rsidRDefault="001625E9" w:rsidP="00AC6EF8">
            <w:pPr>
              <w:pStyle w:val="TableText0"/>
              <w:jc w:val="center"/>
            </w:pPr>
            <w:r w:rsidRPr="00F56F4E">
              <w:t>0.1888</w:t>
            </w:r>
          </w:p>
        </w:tc>
      </w:tr>
      <w:tr w:rsidR="001625E9" w14:paraId="183AE714" w14:textId="77777777" w:rsidTr="00AC6EF8">
        <w:tc>
          <w:tcPr>
            <w:tcW w:w="1727" w:type="pct"/>
          </w:tcPr>
          <w:p w14:paraId="5BEC0136" w14:textId="77777777" w:rsidR="001625E9" w:rsidRDefault="001625E9" w:rsidP="00927513">
            <w:pPr>
              <w:pStyle w:val="TableText0"/>
            </w:pPr>
            <w:r>
              <w:t>No Ab testing</w:t>
            </w:r>
          </w:p>
        </w:tc>
        <w:tc>
          <w:tcPr>
            <w:tcW w:w="1258" w:type="pct"/>
            <w:gridSpan w:val="3"/>
          </w:tcPr>
          <w:p w14:paraId="07F75E6B" w14:textId="77777777" w:rsidR="001625E9" w:rsidRDefault="001625E9" w:rsidP="00AC6EF8">
            <w:pPr>
              <w:pStyle w:val="TableText0"/>
              <w:jc w:val="center"/>
            </w:pPr>
            <w:r w:rsidRPr="00ED0F14">
              <w:t>$</w:t>
            </w:r>
            <w:r>
              <w:t>3,675</w:t>
            </w:r>
          </w:p>
        </w:tc>
        <w:tc>
          <w:tcPr>
            <w:tcW w:w="1022" w:type="pct"/>
          </w:tcPr>
          <w:p w14:paraId="37EDF4A1" w14:textId="77777777" w:rsidR="001625E9" w:rsidRDefault="001625E9" w:rsidP="00AC6EF8">
            <w:pPr>
              <w:pStyle w:val="TableText0"/>
              <w:jc w:val="center"/>
            </w:pPr>
            <w:r w:rsidRPr="00265FB7">
              <w:t>0.24</w:t>
            </w:r>
            <w:r>
              <w:t>54</w:t>
            </w:r>
          </w:p>
        </w:tc>
        <w:tc>
          <w:tcPr>
            <w:tcW w:w="993" w:type="pct"/>
          </w:tcPr>
          <w:p w14:paraId="3ECEA273" w14:textId="77777777" w:rsidR="001625E9" w:rsidRDefault="001625E9" w:rsidP="00AC6EF8">
            <w:pPr>
              <w:pStyle w:val="TableText0"/>
              <w:jc w:val="center"/>
            </w:pPr>
            <w:r w:rsidRPr="00F56F4E">
              <w:t>0.</w:t>
            </w:r>
            <w:r>
              <w:t>2871</w:t>
            </w:r>
          </w:p>
        </w:tc>
      </w:tr>
      <w:tr w:rsidR="001625E9" w:rsidRPr="006E23C5" w14:paraId="51BE06F1" w14:textId="77777777" w:rsidTr="00AC6EF8">
        <w:tc>
          <w:tcPr>
            <w:tcW w:w="1727" w:type="pct"/>
            <w:tcBorders>
              <w:bottom w:val="single" w:sz="4" w:space="0" w:color="auto"/>
            </w:tcBorders>
          </w:tcPr>
          <w:p w14:paraId="26BFA0D1" w14:textId="77777777" w:rsidR="001625E9" w:rsidRPr="006E23C5" w:rsidRDefault="001625E9" w:rsidP="00927513">
            <w:pPr>
              <w:pStyle w:val="TableText0"/>
            </w:pPr>
            <w:r w:rsidRPr="006E23C5">
              <w:t>Increment (Ab testing – No Ab testing)</w:t>
            </w:r>
          </w:p>
        </w:tc>
        <w:tc>
          <w:tcPr>
            <w:tcW w:w="1258" w:type="pct"/>
            <w:gridSpan w:val="3"/>
            <w:tcBorders>
              <w:bottom w:val="single" w:sz="4" w:space="0" w:color="auto"/>
            </w:tcBorders>
          </w:tcPr>
          <w:p w14:paraId="20892E65" w14:textId="77777777" w:rsidR="001625E9" w:rsidRPr="0004678C" w:rsidRDefault="001625E9" w:rsidP="00AC6EF8">
            <w:pPr>
              <w:pStyle w:val="TableText0"/>
              <w:jc w:val="center"/>
            </w:pPr>
            <w:r w:rsidRPr="0004678C">
              <w:t>–$</w:t>
            </w:r>
            <w:r>
              <w:t>795</w:t>
            </w:r>
          </w:p>
        </w:tc>
        <w:tc>
          <w:tcPr>
            <w:tcW w:w="1022" w:type="pct"/>
            <w:tcBorders>
              <w:bottom w:val="single" w:sz="4" w:space="0" w:color="auto"/>
            </w:tcBorders>
          </w:tcPr>
          <w:p w14:paraId="49C5A292" w14:textId="77777777" w:rsidR="001625E9" w:rsidRPr="0004678C" w:rsidRDefault="001625E9" w:rsidP="00AC6EF8">
            <w:pPr>
              <w:pStyle w:val="TableText0"/>
              <w:jc w:val="center"/>
            </w:pPr>
            <w:r w:rsidRPr="0004678C">
              <w:t>0.007</w:t>
            </w:r>
            <w:r>
              <w:t>1</w:t>
            </w:r>
          </w:p>
        </w:tc>
        <w:tc>
          <w:tcPr>
            <w:tcW w:w="993" w:type="pct"/>
            <w:tcBorders>
              <w:bottom w:val="single" w:sz="4" w:space="0" w:color="auto"/>
            </w:tcBorders>
          </w:tcPr>
          <w:p w14:paraId="3DFA98A0" w14:textId="77777777" w:rsidR="001625E9" w:rsidRPr="0004678C" w:rsidRDefault="001625E9" w:rsidP="00AC6EF8">
            <w:pPr>
              <w:pStyle w:val="TableText0"/>
              <w:jc w:val="center"/>
            </w:pPr>
            <w:r w:rsidRPr="0004678C">
              <w:t>–0.</w:t>
            </w:r>
            <w:r>
              <w:t>0983</w:t>
            </w:r>
          </w:p>
        </w:tc>
      </w:tr>
      <w:tr w:rsidR="001625E9" w:rsidRPr="00D2308B" w14:paraId="04A76251" w14:textId="77777777" w:rsidTr="00927513">
        <w:tc>
          <w:tcPr>
            <w:tcW w:w="2356" w:type="pct"/>
            <w:gridSpan w:val="3"/>
            <w:tcBorders>
              <w:right w:val="nil"/>
            </w:tcBorders>
          </w:tcPr>
          <w:p w14:paraId="021D3D12" w14:textId="77777777" w:rsidR="001625E9" w:rsidRPr="003D1442" w:rsidRDefault="001625E9" w:rsidP="00927513">
            <w:pPr>
              <w:pStyle w:val="TableText0"/>
              <w:jc w:val="right"/>
              <w:rPr>
                <w:b/>
                <w:vertAlign w:val="superscript"/>
              </w:rPr>
            </w:pPr>
            <w:r w:rsidRPr="003D1442">
              <w:t>S</w:t>
            </w:r>
            <w:r>
              <w:t>cenario 2</w:t>
            </w:r>
            <w:r w:rsidRPr="003D1442">
              <w:t xml:space="preserve"> (AQP4-Ab + </w:t>
            </w:r>
            <w:r>
              <w:t xml:space="preserve">sequential </w:t>
            </w:r>
            <w:r w:rsidRPr="003D1442">
              <w:t>MOG-Ab testing)</w:t>
            </w:r>
            <w:r>
              <w:t xml:space="preserve"> </w:t>
            </w:r>
            <w:r>
              <w:rPr>
                <w:vertAlign w:val="superscript"/>
              </w:rPr>
              <w:t>a</w:t>
            </w:r>
          </w:p>
        </w:tc>
        <w:tc>
          <w:tcPr>
            <w:tcW w:w="629" w:type="pct"/>
            <w:tcBorders>
              <w:left w:val="nil"/>
              <w:right w:val="nil"/>
            </w:tcBorders>
          </w:tcPr>
          <w:p w14:paraId="36BC9622" w14:textId="77777777" w:rsidR="001625E9" w:rsidRPr="00D2308B" w:rsidRDefault="001625E9" w:rsidP="00927513">
            <w:pPr>
              <w:pStyle w:val="TableText0"/>
              <w:jc w:val="right"/>
            </w:pPr>
          </w:p>
        </w:tc>
        <w:tc>
          <w:tcPr>
            <w:tcW w:w="1022" w:type="pct"/>
            <w:tcBorders>
              <w:left w:val="nil"/>
              <w:right w:val="nil"/>
            </w:tcBorders>
          </w:tcPr>
          <w:p w14:paraId="7BD871D7" w14:textId="77777777" w:rsidR="001625E9" w:rsidRPr="00D2308B" w:rsidRDefault="001625E9" w:rsidP="00927513">
            <w:pPr>
              <w:pStyle w:val="TableText0"/>
              <w:jc w:val="right"/>
            </w:pPr>
          </w:p>
        </w:tc>
        <w:tc>
          <w:tcPr>
            <w:tcW w:w="993" w:type="pct"/>
            <w:tcBorders>
              <w:left w:val="nil"/>
            </w:tcBorders>
          </w:tcPr>
          <w:p w14:paraId="39942DA2" w14:textId="77777777" w:rsidR="001625E9" w:rsidRPr="00D2308B" w:rsidRDefault="001625E9" w:rsidP="00927513">
            <w:pPr>
              <w:pStyle w:val="TableText0"/>
              <w:jc w:val="right"/>
            </w:pPr>
          </w:p>
        </w:tc>
      </w:tr>
      <w:tr w:rsidR="001625E9" w14:paraId="14720F10" w14:textId="77777777" w:rsidTr="00AC6EF8">
        <w:tc>
          <w:tcPr>
            <w:tcW w:w="1727" w:type="pct"/>
          </w:tcPr>
          <w:p w14:paraId="24737553" w14:textId="34218821" w:rsidR="001625E9" w:rsidRDefault="00311371" w:rsidP="00927513">
            <w:pPr>
              <w:pStyle w:val="TableText0"/>
            </w:pPr>
            <w:r>
              <w:t xml:space="preserve">Sequential </w:t>
            </w:r>
            <w:r w:rsidR="001625E9">
              <w:t>Ab testing</w:t>
            </w:r>
            <w:r>
              <w:t xml:space="preserve"> for NMOSD</w:t>
            </w:r>
          </w:p>
        </w:tc>
        <w:tc>
          <w:tcPr>
            <w:tcW w:w="1258" w:type="pct"/>
            <w:gridSpan w:val="3"/>
          </w:tcPr>
          <w:p w14:paraId="7C68B7F5" w14:textId="77777777" w:rsidR="001625E9" w:rsidRDefault="001625E9" w:rsidP="00AC6EF8">
            <w:pPr>
              <w:pStyle w:val="TableText0"/>
              <w:jc w:val="center"/>
            </w:pPr>
            <w:r w:rsidRPr="00E26FC2">
              <w:t>$2,923</w:t>
            </w:r>
          </w:p>
        </w:tc>
        <w:tc>
          <w:tcPr>
            <w:tcW w:w="1022" w:type="pct"/>
          </w:tcPr>
          <w:p w14:paraId="586624CB" w14:textId="77777777" w:rsidR="001625E9" w:rsidRDefault="001625E9" w:rsidP="00AC6EF8">
            <w:pPr>
              <w:pStyle w:val="TableText0"/>
              <w:jc w:val="center"/>
            </w:pPr>
            <w:r w:rsidRPr="005219C8">
              <w:t>0.2525</w:t>
            </w:r>
          </w:p>
        </w:tc>
        <w:tc>
          <w:tcPr>
            <w:tcW w:w="993" w:type="pct"/>
          </w:tcPr>
          <w:p w14:paraId="619E6413" w14:textId="77777777" w:rsidR="001625E9" w:rsidRDefault="001625E9" w:rsidP="00AC6EF8">
            <w:pPr>
              <w:pStyle w:val="TableText0"/>
              <w:jc w:val="center"/>
            </w:pPr>
            <w:r w:rsidRPr="00BF21C5">
              <w:t>0.1888</w:t>
            </w:r>
          </w:p>
        </w:tc>
      </w:tr>
      <w:tr w:rsidR="001625E9" w14:paraId="3F5ABD85" w14:textId="77777777" w:rsidTr="00AC6EF8">
        <w:tc>
          <w:tcPr>
            <w:tcW w:w="1727" w:type="pct"/>
          </w:tcPr>
          <w:p w14:paraId="76B88A56" w14:textId="77777777" w:rsidR="001625E9" w:rsidRDefault="001625E9" w:rsidP="00927513">
            <w:pPr>
              <w:pStyle w:val="TableText0"/>
            </w:pPr>
            <w:r>
              <w:t>No Ab testing</w:t>
            </w:r>
          </w:p>
        </w:tc>
        <w:tc>
          <w:tcPr>
            <w:tcW w:w="1258" w:type="pct"/>
            <w:gridSpan w:val="3"/>
          </w:tcPr>
          <w:p w14:paraId="20A007EB" w14:textId="77777777" w:rsidR="001625E9" w:rsidRDefault="001625E9" w:rsidP="00AC6EF8">
            <w:pPr>
              <w:pStyle w:val="TableText0"/>
              <w:jc w:val="center"/>
            </w:pPr>
            <w:r w:rsidRPr="00E26FC2">
              <w:t>$</w:t>
            </w:r>
            <w:r>
              <w:t>3,675</w:t>
            </w:r>
          </w:p>
        </w:tc>
        <w:tc>
          <w:tcPr>
            <w:tcW w:w="1022" w:type="pct"/>
          </w:tcPr>
          <w:p w14:paraId="365C93D2" w14:textId="77777777" w:rsidR="001625E9" w:rsidRDefault="001625E9" w:rsidP="00AC6EF8">
            <w:pPr>
              <w:pStyle w:val="TableText0"/>
              <w:jc w:val="center"/>
            </w:pPr>
            <w:r w:rsidRPr="005219C8">
              <w:t>0.24</w:t>
            </w:r>
            <w:r>
              <w:t>54</w:t>
            </w:r>
          </w:p>
        </w:tc>
        <w:tc>
          <w:tcPr>
            <w:tcW w:w="993" w:type="pct"/>
          </w:tcPr>
          <w:p w14:paraId="189FA3C7" w14:textId="77777777" w:rsidR="001625E9" w:rsidRDefault="001625E9" w:rsidP="00AC6EF8">
            <w:pPr>
              <w:pStyle w:val="TableText0"/>
              <w:jc w:val="center"/>
            </w:pPr>
            <w:r w:rsidRPr="00BF21C5">
              <w:t>0.</w:t>
            </w:r>
            <w:r>
              <w:t>2871</w:t>
            </w:r>
          </w:p>
        </w:tc>
      </w:tr>
      <w:tr w:rsidR="001625E9" w:rsidRPr="006E23C5" w14:paraId="4DE20073" w14:textId="77777777" w:rsidTr="00AC6EF8">
        <w:tc>
          <w:tcPr>
            <w:tcW w:w="1727" w:type="pct"/>
          </w:tcPr>
          <w:p w14:paraId="172561F3" w14:textId="77777777" w:rsidR="001625E9" w:rsidRPr="006E23C5" w:rsidRDefault="001625E9" w:rsidP="00927513">
            <w:pPr>
              <w:pStyle w:val="TableText0"/>
            </w:pPr>
            <w:r w:rsidRPr="006E23C5">
              <w:t>Increment (Ab testing – No Ab testing)</w:t>
            </w:r>
          </w:p>
        </w:tc>
        <w:tc>
          <w:tcPr>
            <w:tcW w:w="1258" w:type="pct"/>
            <w:gridSpan w:val="3"/>
          </w:tcPr>
          <w:p w14:paraId="102B5776" w14:textId="77777777" w:rsidR="001625E9" w:rsidRPr="0004678C" w:rsidRDefault="001625E9" w:rsidP="00AC6EF8">
            <w:pPr>
              <w:pStyle w:val="TableText0"/>
              <w:jc w:val="center"/>
            </w:pPr>
            <w:r w:rsidRPr="0004678C">
              <w:t>–$</w:t>
            </w:r>
            <w:r>
              <w:t>753</w:t>
            </w:r>
          </w:p>
        </w:tc>
        <w:tc>
          <w:tcPr>
            <w:tcW w:w="1022" w:type="pct"/>
          </w:tcPr>
          <w:p w14:paraId="69C6F579" w14:textId="77777777" w:rsidR="001625E9" w:rsidRPr="0004678C" w:rsidRDefault="001625E9" w:rsidP="00AC6EF8">
            <w:pPr>
              <w:pStyle w:val="TableText0"/>
              <w:jc w:val="center"/>
            </w:pPr>
            <w:r w:rsidRPr="0004678C">
              <w:t>0.007</w:t>
            </w:r>
            <w:r>
              <w:t>1</w:t>
            </w:r>
          </w:p>
        </w:tc>
        <w:tc>
          <w:tcPr>
            <w:tcW w:w="993" w:type="pct"/>
          </w:tcPr>
          <w:p w14:paraId="10C41839" w14:textId="77777777" w:rsidR="001625E9" w:rsidRPr="0004678C" w:rsidRDefault="001625E9" w:rsidP="00AC6EF8">
            <w:pPr>
              <w:pStyle w:val="TableText0"/>
              <w:jc w:val="center"/>
            </w:pPr>
            <w:r w:rsidRPr="0004678C">
              <w:t>–0.</w:t>
            </w:r>
            <w:r>
              <w:t>0983</w:t>
            </w:r>
          </w:p>
        </w:tc>
      </w:tr>
    </w:tbl>
    <w:p w14:paraId="72380907" w14:textId="77777777" w:rsidR="001625E9" w:rsidRDefault="001625E9" w:rsidP="00F4009F">
      <w:pPr>
        <w:pStyle w:val="Tablenotes"/>
      </w:pPr>
      <w:r>
        <w:rPr>
          <w:vertAlign w:val="superscript"/>
        </w:rPr>
        <w:t xml:space="preserve">a </w:t>
      </w:r>
      <w:r>
        <w:t>Assuming all AQP4-Ab negative patients will undergo sequential MOG-Ab testing.</w:t>
      </w:r>
    </w:p>
    <w:p w14:paraId="6ABF35CB" w14:textId="6B389E93" w:rsidR="001625E9" w:rsidRDefault="001625E9" w:rsidP="00F4009F">
      <w:pPr>
        <w:pStyle w:val="Tablenotes"/>
      </w:pPr>
      <w:r>
        <w:t>Ab = antibody; AQP4 = aquaporin 4; MOG =</w:t>
      </w:r>
      <w:r w:rsidRPr="001635F6">
        <w:t xml:space="preserve"> </w:t>
      </w:r>
      <w:r>
        <w:t>m</w:t>
      </w:r>
      <w:r w:rsidRPr="001635F6">
        <w:t>yelin oligodendrocyte glycoprotein</w:t>
      </w:r>
      <w:r>
        <w:t xml:space="preserve">; NMOSD = neuromyelitis optica; QALY = </w:t>
      </w:r>
      <w:r w:rsidR="00AC6EF8">
        <w:t>q</w:t>
      </w:r>
      <w:r>
        <w:t>uality-adjusted life year</w:t>
      </w:r>
    </w:p>
    <w:p w14:paraId="447FAE72" w14:textId="77777777" w:rsidR="001625E9" w:rsidRDefault="001625E9" w:rsidP="00F4009F">
      <w:pPr>
        <w:pStyle w:val="Tablenotes"/>
      </w:pPr>
      <w:r>
        <w:t>Source: ESC discussion</w:t>
      </w:r>
    </w:p>
    <w:p w14:paraId="7154355C" w14:textId="77777777" w:rsidR="001625E9" w:rsidRPr="00D14E3E" w:rsidRDefault="001625E9" w:rsidP="001625E9">
      <w:pPr>
        <w:rPr>
          <w:i/>
        </w:rPr>
      </w:pPr>
      <w:r w:rsidRPr="00D14E3E">
        <w:rPr>
          <w:i/>
        </w:rPr>
        <w:t xml:space="preserve">Sensitivity analysis of </w:t>
      </w:r>
      <w:r>
        <w:rPr>
          <w:i/>
        </w:rPr>
        <w:t xml:space="preserve">initial </w:t>
      </w:r>
      <w:r w:rsidRPr="00811E77">
        <w:rPr>
          <w:i/>
        </w:rPr>
        <w:t>MS misdiagnosis</w:t>
      </w:r>
    </w:p>
    <w:p w14:paraId="1E08B87B" w14:textId="4800EC89" w:rsidR="001625E9" w:rsidRDefault="001625E9" w:rsidP="001625E9">
      <w:r>
        <w:t>The proportion of MS misdiagnoses in seropositive or would have tested seropositive NMOSD cases is a key cost driver in the modelling as treatment costs are substantially higher compared to NMOSD treatment for cases in</w:t>
      </w:r>
      <w:r w:rsidR="003C0E09">
        <w:t xml:space="preserve">itially diagnosed correctly. </w:t>
      </w:r>
    </w:p>
    <w:p w14:paraId="239546DE" w14:textId="65BBCD55" w:rsidR="00C7456B" w:rsidRPr="003C0E09" w:rsidRDefault="003C0E09" w:rsidP="003C0E09">
      <w:pPr>
        <w:spacing w:before="240"/>
      </w:pPr>
      <w:r w:rsidRPr="009D6016">
        <w:rPr>
          <w:szCs w:val="24"/>
        </w:rPr>
        <w:fldChar w:fldCharType="begin"/>
      </w:r>
      <w:r w:rsidRPr="009D6016">
        <w:rPr>
          <w:szCs w:val="24"/>
        </w:rPr>
        <w:instrText xml:space="preserve"> REF _Ref50016392 \h </w:instrText>
      </w:r>
      <w:r w:rsidR="009D6016" w:rsidRPr="009D6016">
        <w:rPr>
          <w:szCs w:val="24"/>
        </w:rPr>
        <w:instrText xml:space="preserve"> \* MERGEFORMAT </w:instrText>
      </w:r>
      <w:r w:rsidRPr="009D6016">
        <w:rPr>
          <w:szCs w:val="24"/>
        </w:rPr>
      </w:r>
      <w:r w:rsidRPr="009D6016">
        <w:rPr>
          <w:szCs w:val="24"/>
        </w:rPr>
        <w:fldChar w:fldCharType="separate"/>
      </w:r>
      <w:r w:rsidR="009D6016" w:rsidRPr="009D6016">
        <w:rPr>
          <w:szCs w:val="24"/>
        </w:rPr>
        <w:t xml:space="preserve">Table </w:t>
      </w:r>
      <w:r w:rsidR="009D6016" w:rsidRPr="009D6016">
        <w:rPr>
          <w:noProof/>
          <w:szCs w:val="24"/>
        </w:rPr>
        <w:t>13</w:t>
      </w:r>
      <w:r w:rsidRPr="009D6016">
        <w:rPr>
          <w:szCs w:val="24"/>
        </w:rPr>
        <w:fldChar w:fldCharType="end"/>
      </w:r>
      <w:r>
        <w:t xml:space="preserve"> </w:t>
      </w:r>
      <w:r w:rsidR="00AC6EF8">
        <w:t xml:space="preserve">presents </w:t>
      </w:r>
      <w:r w:rsidR="001625E9">
        <w:t>sensitivity analys</w:t>
      </w:r>
      <w:r w:rsidR="00AC6EF8">
        <w:t>e</w:t>
      </w:r>
      <w:r w:rsidR="001625E9">
        <w:t>s varying the percentage of MS misdiagnosis in seropositive ca</w:t>
      </w:r>
      <w:r>
        <w:t>ses for the base case scenario.</w:t>
      </w:r>
      <w:r w:rsidR="00C7456B">
        <w:rPr>
          <w:rFonts w:ascii="Arial Narrow" w:hAnsi="Arial Narrow"/>
          <w:b/>
          <w:sz w:val="20"/>
        </w:rPr>
        <w:br w:type="page"/>
      </w:r>
    </w:p>
    <w:p w14:paraId="37FAAF45" w14:textId="4A7154D0" w:rsidR="001625E9" w:rsidRPr="00D81991" w:rsidRDefault="003C0E09" w:rsidP="00D81991">
      <w:pPr>
        <w:rPr>
          <w:rFonts w:ascii="Arial Narrow" w:hAnsi="Arial Narrow"/>
          <w:b/>
          <w:sz w:val="20"/>
        </w:rPr>
      </w:pPr>
      <w:bookmarkStart w:id="39" w:name="_Ref50016392"/>
      <w:r w:rsidRPr="00D81991">
        <w:rPr>
          <w:rFonts w:ascii="Arial Narrow" w:hAnsi="Arial Narrow"/>
          <w:b/>
          <w:sz w:val="20"/>
        </w:rPr>
        <w:lastRenderedPageBreak/>
        <w:t xml:space="preserve">Table </w:t>
      </w:r>
      <w:r w:rsidRPr="00D81991">
        <w:rPr>
          <w:rFonts w:ascii="Arial Narrow" w:hAnsi="Arial Narrow"/>
          <w:b/>
          <w:sz w:val="20"/>
        </w:rPr>
        <w:fldChar w:fldCharType="begin"/>
      </w:r>
      <w:r w:rsidRPr="00D81991">
        <w:rPr>
          <w:rFonts w:ascii="Arial Narrow" w:hAnsi="Arial Narrow"/>
          <w:b/>
          <w:sz w:val="20"/>
        </w:rPr>
        <w:instrText xml:space="preserve"> SEQ Table \* ARABIC </w:instrText>
      </w:r>
      <w:r w:rsidRPr="00D81991">
        <w:rPr>
          <w:rFonts w:ascii="Arial Narrow" w:hAnsi="Arial Narrow"/>
          <w:b/>
          <w:sz w:val="20"/>
        </w:rPr>
        <w:fldChar w:fldCharType="separate"/>
      </w:r>
      <w:r w:rsidR="009D6016">
        <w:rPr>
          <w:rFonts w:ascii="Arial Narrow" w:hAnsi="Arial Narrow"/>
          <w:b/>
          <w:noProof/>
          <w:sz w:val="20"/>
        </w:rPr>
        <w:t>13</w:t>
      </w:r>
      <w:r w:rsidRPr="00D81991">
        <w:rPr>
          <w:rFonts w:ascii="Arial Narrow" w:hAnsi="Arial Narrow"/>
          <w:b/>
          <w:sz w:val="20"/>
        </w:rPr>
        <w:fldChar w:fldCharType="end"/>
      </w:r>
      <w:bookmarkEnd w:id="39"/>
      <w:r w:rsidR="00B63FFD" w:rsidRPr="00D81991">
        <w:rPr>
          <w:rFonts w:ascii="Arial Narrow" w:hAnsi="Arial Narrow"/>
          <w:b/>
          <w:sz w:val="20"/>
        </w:rPr>
        <w:tab/>
      </w:r>
      <w:r w:rsidR="001625E9" w:rsidRPr="00D81991">
        <w:rPr>
          <w:rFonts w:ascii="Arial Narrow" w:hAnsi="Arial Narrow"/>
          <w:b/>
          <w:sz w:val="20"/>
        </w:rPr>
        <w:t xml:space="preserve">Sensitivity analysis varying rate of MS misdiagnosis for </w:t>
      </w:r>
      <w:r w:rsidR="00AC6EF8" w:rsidRPr="00D81991">
        <w:rPr>
          <w:rFonts w:ascii="Arial Narrow" w:hAnsi="Arial Narrow"/>
          <w:b/>
          <w:sz w:val="20"/>
        </w:rPr>
        <w:t xml:space="preserve">the </w:t>
      </w:r>
      <w:r w:rsidR="001625E9" w:rsidRPr="00D81991">
        <w:rPr>
          <w:rFonts w:ascii="Arial Narrow" w:hAnsi="Arial Narrow"/>
          <w:b/>
          <w:sz w:val="20"/>
        </w:rPr>
        <w:t xml:space="preserve">base case </w:t>
      </w:r>
      <w:r w:rsidR="00AC6EF8" w:rsidRPr="00D81991">
        <w:rPr>
          <w:rFonts w:ascii="Arial Narrow" w:hAnsi="Arial Narrow"/>
          <w:b/>
          <w:sz w:val="20"/>
        </w:rPr>
        <w:t>scenario</w:t>
      </w:r>
    </w:p>
    <w:tbl>
      <w:tblPr>
        <w:tblStyle w:val="TableGrid1"/>
        <w:tblW w:w="9006" w:type="dxa"/>
        <w:tblLayout w:type="fixed"/>
        <w:tblLook w:val="04A0" w:firstRow="1" w:lastRow="0" w:firstColumn="1" w:lastColumn="0" w:noHBand="0" w:noVBand="1"/>
        <w:tblDescription w:val="Sensitivity analysis varying rate of MS misdiagnosis for the base case scenario"/>
      </w:tblPr>
      <w:tblGrid>
        <w:gridCol w:w="3392"/>
        <w:gridCol w:w="1276"/>
        <w:gridCol w:w="1276"/>
        <w:gridCol w:w="1276"/>
        <w:gridCol w:w="1786"/>
      </w:tblGrid>
      <w:tr w:rsidR="002B4279" w14:paraId="3A801A32" w14:textId="77777777" w:rsidTr="00F4009F">
        <w:trPr>
          <w:trHeight w:val="255"/>
          <w:tblHeader/>
        </w:trPr>
        <w:tc>
          <w:tcPr>
            <w:tcW w:w="3392" w:type="dxa"/>
            <w:hideMark/>
          </w:tcPr>
          <w:p w14:paraId="2722B42C" w14:textId="77777777" w:rsidR="001625E9" w:rsidRPr="00D14E3E" w:rsidRDefault="001625E9" w:rsidP="00FB6389">
            <w:pPr>
              <w:pStyle w:val="NormalWeb"/>
              <w:keepNext/>
              <w:rPr>
                <w:rFonts w:ascii="Arial Narrow" w:hAnsi="Arial Narrow" w:cs="Calibri"/>
                <w:b/>
                <w:sz w:val="20"/>
                <w:szCs w:val="20"/>
              </w:rPr>
            </w:pPr>
            <w:r w:rsidRPr="00D14E3E">
              <w:rPr>
                <w:rFonts w:ascii="Arial Narrow" w:hAnsi="Arial Narrow" w:cs="Segoe UI"/>
                <w:b/>
                <w:color w:val="201F1E"/>
                <w:sz w:val="20"/>
                <w:szCs w:val="20"/>
              </w:rPr>
              <w:t xml:space="preserve"> % correct diagnosis, MS misdiagnosis, symptomatic treatment</w:t>
            </w:r>
          </w:p>
        </w:tc>
        <w:tc>
          <w:tcPr>
            <w:tcW w:w="1276" w:type="dxa"/>
            <w:hideMark/>
          </w:tcPr>
          <w:p w14:paraId="7966C81C" w14:textId="77777777" w:rsidR="001625E9" w:rsidRPr="00D14E3E" w:rsidRDefault="001625E9" w:rsidP="00AC6EF8">
            <w:pPr>
              <w:pStyle w:val="NormalWeb"/>
              <w:keepNext/>
              <w:jc w:val="center"/>
              <w:rPr>
                <w:rFonts w:ascii="Arial Narrow" w:hAnsi="Arial Narrow" w:cs="Calibri"/>
                <w:b/>
                <w:sz w:val="20"/>
                <w:szCs w:val="20"/>
              </w:rPr>
            </w:pPr>
            <w:r w:rsidRPr="00D14E3E">
              <w:rPr>
                <w:rFonts w:ascii="Arial Narrow" w:hAnsi="Arial Narrow" w:cs="Segoe UI"/>
                <w:b/>
                <w:color w:val="201F1E"/>
                <w:sz w:val="20"/>
                <w:szCs w:val="20"/>
              </w:rPr>
              <w:t>Cost</w:t>
            </w:r>
          </w:p>
        </w:tc>
        <w:tc>
          <w:tcPr>
            <w:tcW w:w="1276" w:type="dxa"/>
            <w:hideMark/>
          </w:tcPr>
          <w:p w14:paraId="7717C8FD" w14:textId="77777777" w:rsidR="001625E9" w:rsidRPr="00D14E3E" w:rsidRDefault="001625E9" w:rsidP="00AC6EF8">
            <w:pPr>
              <w:pStyle w:val="NormalWeb"/>
              <w:keepNext/>
              <w:jc w:val="center"/>
              <w:rPr>
                <w:rFonts w:ascii="Arial Narrow" w:hAnsi="Arial Narrow" w:cs="Calibri"/>
                <w:b/>
                <w:sz w:val="20"/>
                <w:szCs w:val="20"/>
              </w:rPr>
            </w:pPr>
            <w:r w:rsidRPr="00D14E3E">
              <w:rPr>
                <w:rFonts w:ascii="Arial Narrow" w:hAnsi="Arial Narrow" w:cs="Segoe UI"/>
                <w:b/>
                <w:color w:val="201F1E"/>
                <w:sz w:val="20"/>
                <w:szCs w:val="20"/>
              </w:rPr>
              <w:t>QALYs</w:t>
            </w:r>
          </w:p>
        </w:tc>
        <w:tc>
          <w:tcPr>
            <w:tcW w:w="1276" w:type="dxa"/>
            <w:hideMark/>
          </w:tcPr>
          <w:p w14:paraId="668684A0" w14:textId="77777777" w:rsidR="001625E9" w:rsidRPr="00D14E3E" w:rsidRDefault="001625E9" w:rsidP="00AC6EF8">
            <w:pPr>
              <w:pStyle w:val="NormalWeb"/>
              <w:keepNext/>
              <w:jc w:val="center"/>
              <w:rPr>
                <w:rFonts w:ascii="Arial Narrow" w:hAnsi="Arial Narrow" w:cs="Calibri"/>
                <w:b/>
                <w:sz w:val="20"/>
                <w:szCs w:val="20"/>
              </w:rPr>
            </w:pPr>
            <w:r w:rsidRPr="00D14E3E">
              <w:rPr>
                <w:rFonts w:ascii="Arial Narrow" w:hAnsi="Arial Narrow" w:cs="Segoe UI"/>
                <w:b/>
                <w:color w:val="201F1E"/>
                <w:sz w:val="20"/>
                <w:szCs w:val="20"/>
              </w:rPr>
              <w:t>Relapse</w:t>
            </w:r>
          </w:p>
        </w:tc>
        <w:tc>
          <w:tcPr>
            <w:tcW w:w="1786" w:type="dxa"/>
            <w:hideMark/>
          </w:tcPr>
          <w:p w14:paraId="519ACB8F" w14:textId="77777777" w:rsidR="001625E9" w:rsidRPr="00D14E3E" w:rsidRDefault="001625E9" w:rsidP="00AC6EF8">
            <w:pPr>
              <w:pStyle w:val="NormalWeb"/>
              <w:keepNext/>
              <w:jc w:val="center"/>
              <w:rPr>
                <w:rFonts w:ascii="Arial Narrow" w:hAnsi="Arial Narrow" w:cs="Calibri"/>
                <w:b/>
                <w:sz w:val="20"/>
                <w:szCs w:val="20"/>
              </w:rPr>
            </w:pPr>
            <w:r w:rsidRPr="00D14E3E">
              <w:rPr>
                <w:rFonts w:ascii="Arial Narrow" w:hAnsi="Arial Narrow" w:cs="Segoe UI"/>
                <w:b/>
                <w:color w:val="201F1E"/>
                <w:sz w:val="20"/>
                <w:szCs w:val="20"/>
              </w:rPr>
              <w:t>ICER/QALY</w:t>
            </w:r>
          </w:p>
        </w:tc>
      </w:tr>
      <w:tr w:rsidR="001625E9" w14:paraId="6CC839F9" w14:textId="77777777" w:rsidTr="00F4009F">
        <w:trPr>
          <w:trHeight w:val="255"/>
        </w:trPr>
        <w:tc>
          <w:tcPr>
            <w:tcW w:w="3392" w:type="dxa"/>
            <w:hideMark/>
          </w:tcPr>
          <w:p w14:paraId="5F79C38F" w14:textId="77777777" w:rsidR="001625E9" w:rsidRPr="00D14E3E" w:rsidRDefault="001625E9" w:rsidP="00927513">
            <w:pPr>
              <w:pStyle w:val="NormalWeb"/>
              <w:rPr>
                <w:rFonts w:ascii="Arial Narrow" w:hAnsi="Arial Narrow" w:cs="Calibri"/>
                <w:i/>
                <w:sz w:val="20"/>
                <w:szCs w:val="20"/>
              </w:rPr>
            </w:pPr>
            <w:r w:rsidRPr="00D14E3E">
              <w:rPr>
                <w:rFonts w:ascii="Arial Narrow" w:hAnsi="Arial Narrow" w:cs="Segoe UI"/>
                <w:i/>
                <w:color w:val="201F1E"/>
                <w:sz w:val="20"/>
                <w:szCs w:val="20"/>
              </w:rPr>
              <w:t xml:space="preserve">5.4%, </w:t>
            </w:r>
            <w:r w:rsidRPr="00D14E3E">
              <w:rPr>
                <w:rFonts w:ascii="Arial Narrow" w:hAnsi="Arial Narrow" w:cs="Segoe UI"/>
                <w:b/>
                <w:i/>
                <w:color w:val="201F1E"/>
                <w:sz w:val="20"/>
                <w:szCs w:val="20"/>
              </w:rPr>
              <w:t>80%</w:t>
            </w:r>
            <w:r w:rsidRPr="00D14E3E">
              <w:rPr>
                <w:rFonts w:ascii="Arial Narrow" w:hAnsi="Arial Narrow" w:cs="Segoe UI"/>
                <w:i/>
                <w:color w:val="201F1E"/>
                <w:sz w:val="20"/>
                <w:szCs w:val="20"/>
              </w:rPr>
              <w:t>, 14.6%</w:t>
            </w:r>
          </w:p>
        </w:tc>
        <w:tc>
          <w:tcPr>
            <w:tcW w:w="1276" w:type="dxa"/>
            <w:hideMark/>
          </w:tcPr>
          <w:p w14:paraId="5D502528" w14:textId="5E91A7F4" w:rsidR="001625E9" w:rsidRPr="00D14E3E" w:rsidRDefault="001625E9" w:rsidP="00AC6EF8">
            <w:pPr>
              <w:pStyle w:val="NormalWeb"/>
              <w:jc w:val="center"/>
              <w:rPr>
                <w:rFonts w:ascii="Arial Narrow" w:hAnsi="Arial Narrow" w:cs="Calibri"/>
                <w:sz w:val="20"/>
                <w:szCs w:val="20"/>
              </w:rPr>
            </w:pPr>
          </w:p>
        </w:tc>
        <w:tc>
          <w:tcPr>
            <w:tcW w:w="1276" w:type="dxa"/>
            <w:hideMark/>
          </w:tcPr>
          <w:p w14:paraId="66AE520F" w14:textId="14E528F7" w:rsidR="001625E9" w:rsidRPr="00D14E3E" w:rsidRDefault="001625E9" w:rsidP="00AC6EF8">
            <w:pPr>
              <w:pStyle w:val="NormalWeb"/>
              <w:jc w:val="center"/>
              <w:rPr>
                <w:rFonts w:ascii="Arial Narrow" w:hAnsi="Arial Narrow" w:cs="Calibri"/>
                <w:sz w:val="20"/>
                <w:szCs w:val="20"/>
              </w:rPr>
            </w:pPr>
          </w:p>
        </w:tc>
        <w:tc>
          <w:tcPr>
            <w:tcW w:w="1276" w:type="dxa"/>
            <w:hideMark/>
          </w:tcPr>
          <w:p w14:paraId="488F042E" w14:textId="366156BC" w:rsidR="001625E9" w:rsidRPr="00D14E3E" w:rsidRDefault="001625E9" w:rsidP="00AC6EF8">
            <w:pPr>
              <w:pStyle w:val="NormalWeb"/>
              <w:jc w:val="center"/>
              <w:rPr>
                <w:rFonts w:ascii="Arial Narrow" w:hAnsi="Arial Narrow" w:cs="Calibri"/>
                <w:sz w:val="20"/>
                <w:szCs w:val="20"/>
              </w:rPr>
            </w:pPr>
          </w:p>
        </w:tc>
        <w:tc>
          <w:tcPr>
            <w:tcW w:w="1786" w:type="dxa"/>
            <w:hideMark/>
          </w:tcPr>
          <w:p w14:paraId="31A046C8" w14:textId="4F493D51" w:rsidR="001625E9" w:rsidRPr="00D14E3E" w:rsidRDefault="001625E9" w:rsidP="00AC6EF8">
            <w:pPr>
              <w:pStyle w:val="NormalWeb"/>
              <w:jc w:val="center"/>
              <w:rPr>
                <w:rFonts w:ascii="Arial Narrow" w:hAnsi="Arial Narrow" w:cs="Calibri"/>
                <w:sz w:val="20"/>
                <w:szCs w:val="20"/>
              </w:rPr>
            </w:pPr>
          </w:p>
        </w:tc>
      </w:tr>
      <w:tr w:rsidR="001625E9" w14:paraId="68570E94" w14:textId="77777777" w:rsidTr="00F4009F">
        <w:trPr>
          <w:trHeight w:val="255"/>
        </w:trPr>
        <w:tc>
          <w:tcPr>
            <w:tcW w:w="3392" w:type="dxa"/>
            <w:hideMark/>
          </w:tcPr>
          <w:p w14:paraId="5865050F"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Antibody testing not available</w:t>
            </w:r>
          </w:p>
        </w:tc>
        <w:tc>
          <w:tcPr>
            <w:tcW w:w="1276" w:type="dxa"/>
            <w:hideMark/>
          </w:tcPr>
          <w:p w14:paraId="367FF72D"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$2,229</w:t>
            </w:r>
          </w:p>
        </w:tc>
        <w:tc>
          <w:tcPr>
            <w:tcW w:w="1276" w:type="dxa"/>
            <w:hideMark/>
          </w:tcPr>
          <w:p w14:paraId="663A544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0.1058</w:t>
            </w:r>
          </w:p>
        </w:tc>
        <w:tc>
          <w:tcPr>
            <w:tcW w:w="1276" w:type="dxa"/>
            <w:hideMark/>
          </w:tcPr>
          <w:p w14:paraId="66C1482B"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0.1363368</w:t>
            </w:r>
          </w:p>
        </w:tc>
        <w:tc>
          <w:tcPr>
            <w:tcW w:w="1786" w:type="dxa"/>
            <w:hideMark/>
          </w:tcPr>
          <w:p w14:paraId="1FFA81EC" w14:textId="47C23028" w:rsidR="001625E9" w:rsidRPr="00D14E3E" w:rsidRDefault="001625E9" w:rsidP="00AC6EF8">
            <w:pPr>
              <w:pStyle w:val="NormalWeb"/>
              <w:jc w:val="center"/>
              <w:rPr>
                <w:rFonts w:ascii="Arial Narrow" w:hAnsi="Arial Narrow" w:cs="Calibri"/>
                <w:sz w:val="20"/>
                <w:szCs w:val="20"/>
              </w:rPr>
            </w:pPr>
          </w:p>
        </w:tc>
      </w:tr>
      <w:tr w:rsidR="001625E9" w14:paraId="7E3ABE72" w14:textId="77777777" w:rsidTr="00F4009F">
        <w:trPr>
          <w:trHeight w:val="255"/>
        </w:trPr>
        <w:tc>
          <w:tcPr>
            <w:tcW w:w="3392" w:type="dxa"/>
            <w:hideMark/>
          </w:tcPr>
          <w:p w14:paraId="6ED7276B"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NMOSD antibody testing available</w:t>
            </w:r>
          </w:p>
        </w:tc>
        <w:tc>
          <w:tcPr>
            <w:tcW w:w="1276" w:type="dxa"/>
            <w:hideMark/>
          </w:tcPr>
          <w:p w14:paraId="4F10240A"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$1,271</w:t>
            </w:r>
          </w:p>
        </w:tc>
        <w:tc>
          <w:tcPr>
            <w:tcW w:w="1276" w:type="dxa"/>
            <w:hideMark/>
          </w:tcPr>
          <w:p w14:paraId="39436A53"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0.1093</w:t>
            </w:r>
          </w:p>
        </w:tc>
        <w:tc>
          <w:tcPr>
            <w:tcW w:w="1276" w:type="dxa"/>
            <w:hideMark/>
          </w:tcPr>
          <w:p w14:paraId="6A52D20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0.0817687</w:t>
            </w:r>
          </w:p>
        </w:tc>
        <w:tc>
          <w:tcPr>
            <w:tcW w:w="1786" w:type="dxa"/>
            <w:hideMark/>
          </w:tcPr>
          <w:p w14:paraId="06517679" w14:textId="7FBE3F4D" w:rsidR="001625E9" w:rsidRPr="00D14E3E" w:rsidRDefault="001625E9" w:rsidP="00AC6EF8">
            <w:pPr>
              <w:pStyle w:val="NormalWeb"/>
              <w:jc w:val="center"/>
              <w:rPr>
                <w:rFonts w:ascii="Arial Narrow" w:hAnsi="Arial Narrow" w:cs="Calibri"/>
                <w:sz w:val="20"/>
                <w:szCs w:val="20"/>
              </w:rPr>
            </w:pPr>
          </w:p>
        </w:tc>
      </w:tr>
      <w:tr w:rsidR="001625E9" w14:paraId="118EEC2A" w14:textId="77777777" w:rsidTr="00F4009F">
        <w:trPr>
          <w:trHeight w:val="255"/>
        </w:trPr>
        <w:tc>
          <w:tcPr>
            <w:tcW w:w="3392" w:type="dxa"/>
            <w:hideMark/>
          </w:tcPr>
          <w:p w14:paraId="2EA907FD"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Increment</w:t>
            </w:r>
          </w:p>
        </w:tc>
        <w:tc>
          <w:tcPr>
            <w:tcW w:w="1276" w:type="dxa"/>
            <w:hideMark/>
          </w:tcPr>
          <w:p w14:paraId="25A43008"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-$958</w:t>
            </w:r>
          </w:p>
        </w:tc>
        <w:tc>
          <w:tcPr>
            <w:tcW w:w="1276" w:type="dxa"/>
            <w:hideMark/>
          </w:tcPr>
          <w:p w14:paraId="26D36273"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0.0036</w:t>
            </w:r>
          </w:p>
        </w:tc>
        <w:tc>
          <w:tcPr>
            <w:tcW w:w="1276" w:type="dxa"/>
            <w:hideMark/>
          </w:tcPr>
          <w:p w14:paraId="16748A74"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-0.0546</w:t>
            </w:r>
          </w:p>
        </w:tc>
        <w:tc>
          <w:tcPr>
            <w:tcW w:w="1786" w:type="dxa"/>
            <w:hideMark/>
          </w:tcPr>
          <w:p w14:paraId="0FF05238" w14:textId="47422B3E" w:rsidR="001625E9" w:rsidRPr="00D14E3E" w:rsidRDefault="002B4279" w:rsidP="00AC6EF8">
            <w:pPr>
              <w:pStyle w:val="NormalWeb"/>
              <w:jc w:val="center"/>
              <w:rPr>
                <w:rFonts w:ascii="Arial Narrow" w:hAnsi="Arial Narrow" w:cs="Calibri"/>
                <w:sz w:val="20"/>
                <w:szCs w:val="20"/>
              </w:rPr>
            </w:pPr>
            <w:r>
              <w:rPr>
                <w:rFonts w:ascii="Arial Narrow" w:hAnsi="Arial Narrow" w:cs="Segoe UI"/>
                <w:color w:val="201F1E"/>
                <w:sz w:val="20"/>
                <w:szCs w:val="20"/>
              </w:rPr>
              <w:t>Ab testing Dominant</w:t>
            </w:r>
          </w:p>
        </w:tc>
      </w:tr>
      <w:tr w:rsidR="001625E9" w14:paraId="7D8B4B11" w14:textId="77777777" w:rsidTr="00F4009F">
        <w:trPr>
          <w:trHeight w:val="255"/>
        </w:trPr>
        <w:tc>
          <w:tcPr>
            <w:tcW w:w="3392" w:type="dxa"/>
            <w:hideMark/>
          </w:tcPr>
          <w:p w14:paraId="3306B51D" w14:textId="77777777" w:rsidR="001625E9" w:rsidRPr="00D14E3E" w:rsidRDefault="001625E9" w:rsidP="00927513">
            <w:pPr>
              <w:pStyle w:val="NormalWeb"/>
              <w:rPr>
                <w:rFonts w:ascii="Arial Narrow" w:hAnsi="Arial Narrow" w:cs="Calibri"/>
                <w:i/>
                <w:sz w:val="20"/>
                <w:szCs w:val="20"/>
              </w:rPr>
            </w:pPr>
            <w:r w:rsidRPr="00D14E3E">
              <w:rPr>
                <w:rFonts w:ascii="Arial Narrow" w:hAnsi="Arial Narrow" w:cs="Segoe UI"/>
                <w:i/>
                <w:color w:val="201F1E"/>
                <w:sz w:val="20"/>
                <w:szCs w:val="20"/>
              </w:rPr>
              <w:t xml:space="preserve">5.4%, </w:t>
            </w:r>
            <w:r w:rsidRPr="00D14E3E">
              <w:rPr>
                <w:rFonts w:ascii="Arial Narrow" w:hAnsi="Arial Narrow" w:cs="Segoe UI"/>
                <w:b/>
                <w:i/>
                <w:color w:val="201F1E"/>
                <w:sz w:val="20"/>
                <w:szCs w:val="20"/>
              </w:rPr>
              <w:t>40%</w:t>
            </w:r>
            <w:r w:rsidRPr="00D14E3E">
              <w:rPr>
                <w:rFonts w:ascii="Arial Narrow" w:hAnsi="Arial Narrow" w:cs="Segoe UI"/>
                <w:i/>
                <w:color w:val="201F1E"/>
                <w:sz w:val="20"/>
                <w:szCs w:val="20"/>
              </w:rPr>
              <w:t>, 54.6%</w:t>
            </w:r>
          </w:p>
        </w:tc>
        <w:tc>
          <w:tcPr>
            <w:tcW w:w="1276" w:type="dxa"/>
            <w:hideMark/>
          </w:tcPr>
          <w:p w14:paraId="235EF9AC" w14:textId="584275C4" w:rsidR="001625E9" w:rsidRPr="00D14E3E" w:rsidRDefault="001625E9" w:rsidP="00AC6EF8">
            <w:pPr>
              <w:pStyle w:val="NormalWeb"/>
              <w:jc w:val="center"/>
              <w:rPr>
                <w:rFonts w:ascii="Arial Narrow" w:hAnsi="Arial Narrow" w:cs="Calibri"/>
                <w:sz w:val="20"/>
                <w:szCs w:val="20"/>
              </w:rPr>
            </w:pPr>
          </w:p>
        </w:tc>
        <w:tc>
          <w:tcPr>
            <w:tcW w:w="1276" w:type="dxa"/>
            <w:hideMark/>
          </w:tcPr>
          <w:p w14:paraId="0D9CF0B0" w14:textId="08ACD4CC" w:rsidR="001625E9" w:rsidRPr="00D14E3E" w:rsidRDefault="001625E9" w:rsidP="00AC6EF8">
            <w:pPr>
              <w:pStyle w:val="NormalWeb"/>
              <w:jc w:val="center"/>
              <w:rPr>
                <w:rFonts w:ascii="Arial Narrow" w:hAnsi="Arial Narrow" w:cs="Calibri"/>
                <w:sz w:val="20"/>
                <w:szCs w:val="20"/>
              </w:rPr>
            </w:pPr>
          </w:p>
        </w:tc>
        <w:tc>
          <w:tcPr>
            <w:tcW w:w="1276" w:type="dxa"/>
            <w:hideMark/>
          </w:tcPr>
          <w:p w14:paraId="58CA4210" w14:textId="696C3B7F" w:rsidR="001625E9" w:rsidRPr="00D14E3E" w:rsidRDefault="001625E9" w:rsidP="00AC6EF8">
            <w:pPr>
              <w:pStyle w:val="NormalWeb"/>
              <w:jc w:val="center"/>
              <w:rPr>
                <w:rFonts w:ascii="Arial Narrow" w:hAnsi="Arial Narrow" w:cs="Calibri"/>
                <w:sz w:val="20"/>
                <w:szCs w:val="20"/>
              </w:rPr>
            </w:pPr>
          </w:p>
        </w:tc>
        <w:tc>
          <w:tcPr>
            <w:tcW w:w="1786" w:type="dxa"/>
            <w:hideMark/>
          </w:tcPr>
          <w:p w14:paraId="62554D81" w14:textId="78336979" w:rsidR="001625E9" w:rsidRPr="00D14E3E" w:rsidRDefault="001625E9" w:rsidP="00AC6EF8">
            <w:pPr>
              <w:pStyle w:val="NormalWeb"/>
              <w:jc w:val="center"/>
              <w:rPr>
                <w:rFonts w:ascii="Arial Narrow" w:hAnsi="Arial Narrow" w:cs="Calibri"/>
                <w:sz w:val="20"/>
                <w:szCs w:val="20"/>
              </w:rPr>
            </w:pPr>
          </w:p>
        </w:tc>
      </w:tr>
      <w:tr w:rsidR="001625E9" w14:paraId="0AB42078" w14:textId="77777777" w:rsidTr="00F4009F">
        <w:trPr>
          <w:trHeight w:val="255"/>
        </w:trPr>
        <w:tc>
          <w:tcPr>
            <w:tcW w:w="3392" w:type="dxa"/>
            <w:hideMark/>
          </w:tcPr>
          <w:p w14:paraId="63CBB905"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Antibody testing not available</w:t>
            </w:r>
          </w:p>
        </w:tc>
        <w:tc>
          <w:tcPr>
            <w:tcW w:w="1276" w:type="dxa"/>
            <w:hideMark/>
          </w:tcPr>
          <w:p w14:paraId="1985D9B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$1,568</w:t>
            </w:r>
          </w:p>
        </w:tc>
        <w:tc>
          <w:tcPr>
            <w:tcW w:w="1276" w:type="dxa"/>
            <w:hideMark/>
          </w:tcPr>
          <w:p w14:paraId="3EFF4190"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0.1063</w:t>
            </w:r>
          </w:p>
        </w:tc>
        <w:tc>
          <w:tcPr>
            <w:tcW w:w="1276" w:type="dxa"/>
            <w:hideMark/>
          </w:tcPr>
          <w:p w14:paraId="61830E99"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0.1238841</w:t>
            </w:r>
          </w:p>
        </w:tc>
        <w:tc>
          <w:tcPr>
            <w:tcW w:w="1786" w:type="dxa"/>
            <w:hideMark/>
          </w:tcPr>
          <w:p w14:paraId="7BD3E2E3" w14:textId="67624E33" w:rsidR="001625E9" w:rsidRPr="00D14E3E" w:rsidRDefault="001625E9" w:rsidP="00AC6EF8">
            <w:pPr>
              <w:pStyle w:val="NormalWeb"/>
              <w:jc w:val="center"/>
              <w:rPr>
                <w:rFonts w:ascii="Arial Narrow" w:hAnsi="Arial Narrow" w:cs="Calibri"/>
                <w:sz w:val="20"/>
                <w:szCs w:val="20"/>
              </w:rPr>
            </w:pPr>
          </w:p>
        </w:tc>
      </w:tr>
      <w:tr w:rsidR="001625E9" w14:paraId="15843D90" w14:textId="77777777" w:rsidTr="00F4009F">
        <w:trPr>
          <w:trHeight w:val="255"/>
        </w:trPr>
        <w:tc>
          <w:tcPr>
            <w:tcW w:w="3392" w:type="dxa"/>
            <w:hideMark/>
          </w:tcPr>
          <w:p w14:paraId="3B4E54C4"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NMOSD antibody testing available</w:t>
            </w:r>
          </w:p>
        </w:tc>
        <w:tc>
          <w:tcPr>
            <w:tcW w:w="1276" w:type="dxa"/>
            <w:hideMark/>
          </w:tcPr>
          <w:p w14:paraId="4716AD62"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$1,271</w:t>
            </w:r>
          </w:p>
        </w:tc>
        <w:tc>
          <w:tcPr>
            <w:tcW w:w="1276" w:type="dxa"/>
            <w:hideMark/>
          </w:tcPr>
          <w:p w14:paraId="4C065BB2"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0.1093</w:t>
            </w:r>
          </w:p>
        </w:tc>
        <w:tc>
          <w:tcPr>
            <w:tcW w:w="1276" w:type="dxa"/>
            <w:hideMark/>
          </w:tcPr>
          <w:p w14:paraId="2AF8A65D"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0.0817687</w:t>
            </w:r>
          </w:p>
        </w:tc>
        <w:tc>
          <w:tcPr>
            <w:tcW w:w="1786" w:type="dxa"/>
            <w:hideMark/>
          </w:tcPr>
          <w:p w14:paraId="20130A70" w14:textId="415EF57C" w:rsidR="001625E9" w:rsidRPr="00D14E3E" w:rsidRDefault="001625E9" w:rsidP="00AC6EF8">
            <w:pPr>
              <w:pStyle w:val="NormalWeb"/>
              <w:jc w:val="center"/>
              <w:rPr>
                <w:rFonts w:ascii="Arial Narrow" w:hAnsi="Arial Narrow" w:cs="Calibri"/>
                <w:sz w:val="20"/>
                <w:szCs w:val="20"/>
              </w:rPr>
            </w:pPr>
          </w:p>
        </w:tc>
      </w:tr>
      <w:tr w:rsidR="001625E9" w14:paraId="35049B24" w14:textId="77777777" w:rsidTr="00F4009F">
        <w:trPr>
          <w:trHeight w:val="255"/>
        </w:trPr>
        <w:tc>
          <w:tcPr>
            <w:tcW w:w="3392" w:type="dxa"/>
            <w:hideMark/>
          </w:tcPr>
          <w:p w14:paraId="0D3A6CBF"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Increment</w:t>
            </w:r>
          </w:p>
        </w:tc>
        <w:tc>
          <w:tcPr>
            <w:tcW w:w="1276" w:type="dxa"/>
            <w:hideMark/>
          </w:tcPr>
          <w:p w14:paraId="156A8E0B"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-$297</w:t>
            </w:r>
          </w:p>
        </w:tc>
        <w:tc>
          <w:tcPr>
            <w:tcW w:w="1276" w:type="dxa"/>
            <w:hideMark/>
          </w:tcPr>
          <w:p w14:paraId="33D7E761"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0.0030</w:t>
            </w:r>
          </w:p>
        </w:tc>
        <w:tc>
          <w:tcPr>
            <w:tcW w:w="1276" w:type="dxa"/>
            <w:hideMark/>
          </w:tcPr>
          <w:p w14:paraId="7CD45498"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-0.0421</w:t>
            </w:r>
          </w:p>
        </w:tc>
        <w:tc>
          <w:tcPr>
            <w:tcW w:w="1786" w:type="dxa"/>
            <w:hideMark/>
          </w:tcPr>
          <w:p w14:paraId="78BE3BAF" w14:textId="7E971C70" w:rsidR="001625E9" w:rsidRPr="00D14E3E" w:rsidRDefault="002B4279" w:rsidP="00AC6EF8">
            <w:pPr>
              <w:pStyle w:val="NormalWeb"/>
              <w:jc w:val="center"/>
              <w:rPr>
                <w:rFonts w:ascii="Arial Narrow" w:hAnsi="Arial Narrow" w:cs="Calibri"/>
                <w:sz w:val="20"/>
                <w:szCs w:val="20"/>
              </w:rPr>
            </w:pPr>
            <w:r>
              <w:rPr>
                <w:rFonts w:ascii="Arial Narrow" w:hAnsi="Arial Narrow" w:cs="Segoe UI"/>
                <w:color w:val="201F1E"/>
                <w:sz w:val="20"/>
                <w:szCs w:val="20"/>
              </w:rPr>
              <w:t>Ab testing Dominant</w:t>
            </w:r>
          </w:p>
        </w:tc>
      </w:tr>
      <w:tr w:rsidR="001625E9" w14:paraId="2D71DA7A" w14:textId="77777777" w:rsidTr="00F4009F">
        <w:trPr>
          <w:trHeight w:val="255"/>
        </w:trPr>
        <w:tc>
          <w:tcPr>
            <w:tcW w:w="3392" w:type="dxa"/>
            <w:hideMark/>
          </w:tcPr>
          <w:p w14:paraId="0CC08395" w14:textId="77777777" w:rsidR="001625E9" w:rsidRPr="00D14E3E" w:rsidRDefault="001625E9" w:rsidP="00927513">
            <w:pPr>
              <w:pStyle w:val="NormalWeb"/>
              <w:rPr>
                <w:rFonts w:ascii="Arial Narrow" w:hAnsi="Arial Narrow" w:cs="Calibri"/>
                <w:i/>
                <w:sz w:val="20"/>
                <w:szCs w:val="20"/>
              </w:rPr>
            </w:pPr>
            <w:r w:rsidRPr="00D14E3E">
              <w:rPr>
                <w:rFonts w:ascii="Arial Narrow" w:hAnsi="Arial Narrow" w:cs="Segoe UI"/>
                <w:i/>
                <w:color w:val="201F1E"/>
                <w:sz w:val="20"/>
                <w:szCs w:val="20"/>
              </w:rPr>
              <w:t xml:space="preserve">5.4%, </w:t>
            </w:r>
            <w:r w:rsidRPr="00D14E3E">
              <w:rPr>
                <w:rFonts w:ascii="Arial Narrow" w:hAnsi="Arial Narrow" w:cs="Segoe UI"/>
                <w:b/>
                <w:i/>
                <w:color w:val="201F1E"/>
                <w:sz w:val="20"/>
                <w:szCs w:val="20"/>
              </w:rPr>
              <w:t>30%</w:t>
            </w:r>
            <w:r w:rsidRPr="00D14E3E">
              <w:rPr>
                <w:rFonts w:ascii="Arial Narrow" w:hAnsi="Arial Narrow" w:cs="Segoe UI"/>
                <w:i/>
                <w:color w:val="201F1E"/>
                <w:sz w:val="20"/>
                <w:szCs w:val="20"/>
              </w:rPr>
              <w:t>, 64.6%</w:t>
            </w:r>
          </w:p>
        </w:tc>
        <w:tc>
          <w:tcPr>
            <w:tcW w:w="1276" w:type="dxa"/>
            <w:hideMark/>
          </w:tcPr>
          <w:p w14:paraId="508493E4" w14:textId="72FC72A8" w:rsidR="001625E9" w:rsidRPr="00D14E3E" w:rsidRDefault="001625E9" w:rsidP="00AC6EF8">
            <w:pPr>
              <w:pStyle w:val="NormalWeb"/>
              <w:jc w:val="center"/>
              <w:rPr>
                <w:rFonts w:ascii="Arial Narrow" w:hAnsi="Arial Narrow" w:cs="Calibri"/>
                <w:sz w:val="20"/>
                <w:szCs w:val="20"/>
              </w:rPr>
            </w:pPr>
          </w:p>
        </w:tc>
        <w:tc>
          <w:tcPr>
            <w:tcW w:w="1276" w:type="dxa"/>
            <w:hideMark/>
          </w:tcPr>
          <w:p w14:paraId="092A647A" w14:textId="59C7845A" w:rsidR="001625E9" w:rsidRPr="00D14E3E" w:rsidRDefault="001625E9" w:rsidP="00AC6EF8">
            <w:pPr>
              <w:pStyle w:val="NormalWeb"/>
              <w:jc w:val="center"/>
              <w:rPr>
                <w:rFonts w:ascii="Arial Narrow" w:hAnsi="Arial Narrow" w:cs="Calibri"/>
                <w:sz w:val="20"/>
                <w:szCs w:val="20"/>
              </w:rPr>
            </w:pPr>
          </w:p>
        </w:tc>
        <w:tc>
          <w:tcPr>
            <w:tcW w:w="1276" w:type="dxa"/>
            <w:hideMark/>
          </w:tcPr>
          <w:p w14:paraId="3A5D5D35" w14:textId="562D4B22" w:rsidR="001625E9" w:rsidRPr="00D14E3E" w:rsidRDefault="001625E9" w:rsidP="00AC6EF8">
            <w:pPr>
              <w:pStyle w:val="NormalWeb"/>
              <w:jc w:val="center"/>
              <w:rPr>
                <w:rFonts w:ascii="Arial Narrow" w:hAnsi="Arial Narrow" w:cs="Calibri"/>
                <w:sz w:val="20"/>
                <w:szCs w:val="20"/>
              </w:rPr>
            </w:pPr>
          </w:p>
        </w:tc>
        <w:tc>
          <w:tcPr>
            <w:tcW w:w="1786" w:type="dxa"/>
            <w:hideMark/>
          </w:tcPr>
          <w:p w14:paraId="2ACD9FA2" w14:textId="22A83A69" w:rsidR="001625E9" w:rsidRPr="00D14E3E" w:rsidRDefault="001625E9" w:rsidP="00AC6EF8">
            <w:pPr>
              <w:pStyle w:val="NormalWeb"/>
              <w:jc w:val="center"/>
              <w:rPr>
                <w:rFonts w:ascii="Arial Narrow" w:hAnsi="Arial Narrow" w:cs="Calibri"/>
                <w:sz w:val="20"/>
                <w:szCs w:val="20"/>
              </w:rPr>
            </w:pPr>
          </w:p>
        </w:tc>
      </w:tr>
      <w:tr w:rsidR="001625E9" w14:paraId="47352B6C" w14:textId="77777777" w:rsidTr="00F4009F">
        <w:trPr>
          <w:trHeight w:val="255"/>
        </w:trPr>
        <w:tc>
          <w:tcPr>
            <w:tcW w:w="3392" w:type="dxa"/>
            <w:hideMark/>
          </w:tcPr>
          <w:p w14:paraId="03D73EE2"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Antibody testing not available</w:t>
            </w:r>
          </w:p>
        </w:tc>
        <w:tc>
          <w:tcPr>
            <w:tcW w:w="1276" w:type="dxa"/>
            <w:hideMark/>
          </w:tcPr>
          <w:p w14:paraId="73941F4B"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$1,403</w:t>
            </w:r>
          </w:p>
        </w:tc>
        <w:tc>
          <w:tcPr>
            <w:tcW w:w="1276" w:type="dxa"/>
            <w:hideMark/>
          </w:tcPr>
          <w:p w14:paraId="14816D1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0.1064</w:t>
            </w:r>
          </w:p>
        </w:tc>
        <w:tc>
          <w:tcPr>
            <w:tcW w:w="1276" w:type="dxa"/>
            <w:hideMark/>
          </w:tcPr>
          <w:p w14:paraId="4443EEE4"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0.1207709</w:t>
            </w:r>
          </w:p>
        </w:tc>
        <w:tc>
          <w:tcPr>
            <w:tcW w:w="1786" w:type="dxa"/>
            <w:hideMark/>
          </w:tcPr>
          <w:p w14:paraId="7D30763E" w14:textId="2AD58691" w:rsidR="001625E9" w:rsidRPr="00D14E3E" w:rsidRDefault="001625E9" w:rsidP="00AC6EF8">
            <w:pPr>
              <w:pStyle w:val="NormalWeb"/>
              <w:jc w:val="center"/>
              <w:rPr>
                <w:rFonts w:ascii="Arial Narrow" w:hAnsi="Arial Narrow" w:cs="Calibri"/>
                <w:sz w:val="20"/>
                <w:szCs w:val="20"/>
              </w:rPr>
            </w:pPr>
          </w:p>
        </w:tc>
      </w:tr>
      <w:tr w:rsidR="001625E9" w14:paraId="490E6AF4" w14:textId="77777777" w:rsidTr="00F4009F">
        <w:trPr>
          <w:trHeight w:val="255"/>
        </w:trPr>
        <w:tc>
          <w:tcPr>
            <w:tcW w:w="3392" w:type="dxa"/>
            <w:hideMark/>
          </w:tcPr>
          <w:p w14:paraId="5DCFB4A9"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NMOSD antibody testing available</w:t>
            </w:r>
          </w:p>
        </w:tc>
        <w:tc>
          <w:tcPr>
            <w:tcW w:w="1276" w:type="dxa"/>
            <w:hideMark/>
          </w:tcPr>
          <w:p w14:paraId="04529CDA"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$1,271</w:t>
            </w:r>
          </w:p>
        </w:tc>
        <w:tc>
          <w:tcPr>
            <w:tcW w:w="1276" w:type="dxa"/>
            <w:hideMark/>
          </w:tcPr>
          <w:p w14:paraId="7058086C"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0.1093</w:t>
            </w:r>
          </w:p>
        </w:tc>
        <w:tc>
          <w:tcPr>
            <w:tcW w:w="1276" w:type="dxa"/>
            <w:hideMark/>
          </w:tcPr>
          <w:p w14:paraId="7C47FE08"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0.0817687</w:t>
            </w:r>
          </w:p>
        </w:tc>
        <w:tc>
          <w:tcPr>
            <w:tcW w:w="1786" w:type="dxa"/>
            <w:hideMark/>
          </w:tcPr>
          <w:p w14:paraId="70E98133" w14:textId="5C9839E6" w:rsidR="001625E9" w:rsidRPr="00D14E3E" w:rsidRDefault="001625E9" w:rsidP="00AC6EF8">
            <w:pPr>
              <w:pStyle w:val="NormalWeb"/>
              <w:jc w:val="center"/>
              <w:rPr>
                <w:rFonts w:ascii="Arial Narrow" w:hAnsi="Arial Narrow" w:cs="Calibri"/>
                <w:sz w:val="20"/>
                <w:szCs w:val="20"/>
              </w:rPr>
            </w:pPr>
          </w:p>
        </w:tc>
      </w:tr>
      <w:tr w:rsidR="001625E9" w14:paraId="218EB776" w14:textId="77777777" w:rsidTr="00F4009F">
        <w:trPr>
          <w:trHeight w:val="255"/>
        </w:trPr>
        <w:tc>
          <w:tcPr>
            <w:tcW w:w="3392" w:type="dxa"/>
            <w:hideMark/>
          </w:tcPr>
          <w:p w14:paraId="4929DBFF"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Increment</w:t>
            </w:r>
          </w:p>
        </w:tc>
        <w:tc>
          <w:tcPr>
            <w:tcW w:w="1276" w:type="dxa"/>
            <w:hideMark/>
          </w:tcPr>
          <w:p w14:paraId="65E998CE"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-$132</w:t>
            </w:r>
          </w:p>
        </w:tc>
        <w:tc>
          <w:tcPr>
            <w:tcW w:w="1276" w:type="dxa"/>
            <w:hideMark/>
          </w:tcPr>
          <w:p w14:paraId="4D980880"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0.0029</w:t>
            </w:r>
          </w:p>
        </w:tc>
        <w:tc>
          <w:tcPr>
            <w:tcW w:w="1276" w:type="dxa"/>
            <w:hideMark/>
          </w:tcPr>
          <w:p w14:paraId="5C8B0564"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-0.0390</w:t>
            </w:r>
          </w:p>
        </w:tc>
        <w:tc>
          <w:tcPr>
            <w:tcW w:w="1786" w:type="dxa"/>
            <w:hideMark/>
          </w:tcPr>
          <w:p w14:paraId="5C5AC6EF" w14:textId="7CDA1852" w:rsidR="001625E9" w:rsidRPr="00D14E3E" w:rsidRDefault="002B4279" w:rsidP="00AC6EF8">
            <w:pPr>
              <w:pStyle w:val="NormalWeb"/>
              <w:jc w:val="center"/>
              <w:rPr>
                <w:rFonts w:ascii="Arial Narrow" w:hAnsi="Arial Narrow" w:cs="Calibri"/>
                <w:sz w:val="20"/>
                <w:szCs w:val="20"/>
              </w:rPr>
            </w:pPr>
            <w:r>
              <w:rPr>
                <w:rFonts w:ascii="Arial Narrow" w:hAnsi="Arial Narrow" w:cs="Segoe UI"/>
                <w:color w:val="201F1E"/>
                <w:sz w:val="20"/>
                <w:szCs w:val="20"/>
              </w:rPr>
              <w:t>Ab testing Dominant</w:t>
            </w:r>
          </w:p>
        </w:tc>
      </w:tr>
      <w:tr w:rsidR="001625E9" w14:paraId="31725012" w14:textId="77777777" w:rsidTr="00F4009F">
        <w:trPr>
          <w:trHeight w:val="255"/>
        </w:trPr>
        <w:tc>
          <w:tcPr>
            <w:tcW w:w="3392" w:type="dxa"/>
            <w:hideMark/>
          </w:tcPr>
          <w:p w14:paraId="7B20EE46" w14:textId="77777777" w:rsidR="001625E9" w:rsidRPr="00D14E3E" w:rsidRDefault="001625E9" w:rsidP="00927513">
            <w:pPr>
              <w:pStyle w:val="NormalWeb"/>
              <w:rPr>
                <w:rFonts w:ascii="Arial Narrow" w:hAnsi="Arial Narrow" w:cs="Calibri"/>
                <w:i/>
                <w:sz w:val="20"/>
                <w:szCs w:val="20"/>
              </w:rPr>
            </w:pPr>
            <w:r w:rsidRPr="00D14E3E">
              <w:rPr>
                <w:rFonts w:ascii="Arial Narrow" w:hAnsi="Arial Narrow" w:cs="Segoe UI"/>
                <w:i/>
                <w:color w:val="201F1E"/>
                <w:sz w:val="20"/>
                <w:szCs w:val="20"/>
              </w:rPr>
              <w:t xml:space="preserve">5.4%, </w:t>
            </w:r>
            <w:r w:rsidRPr="00D14E3E">
              <w:rPr>
                <w:rFonts w:ascii="Arial Narrow" w:hAnsi="Arial Narrow" w:cs="Segoe UI"/>
                <w:b/>
                <w:i/>
                <w:color w:val="201F1E"/>
                <w:sz w:val="20"/>
                <w:szCs w:val="20"/>
              </w:rPr>
              <w:t>20%</w:t>
            </w:r>
            <w:r w:rsidRPr="00D14E3E">
              <w:rPr>
                <w:rFonts w:ascii="Arial Narrow" w:hAnsi="Arial Narrow" w:cs="Segoe UI"/>
                <w:i/>
                <w:color w:val="201F1E"/>
                <w:sz w:val="20"/>
                <w:szCs w:val="20"/>
              </w:rPr>
              <w:t>, 74.6%</w:t>
            </w:r>
          </w:p>
        </w:tc>
        <w:tc>
          <w:tcPr>
            <w:tcW w:w="1276" w:type="dxa"/>
            <w:hideMark/>
          </w:tcPr>
          <w:p w14:paraId="3961ED6A" w14:textId="56F2027F" w:rsidR="001625E9" w:rsidRPr="00D14E3E" w:rsidRDefault="001625E9" w:rsidP="00AC6EF8">
            <w:pPr>
              <w:pStyle w:val="NormalWeb"/>
              <w:jc w:val="center"/>
              <w:rPr>
                <w:rFonts w:ascii="Arial Narrow" w:hAnsi="Arial Narrow" w:cs="Calibri"/>
                <w:sz w:val="20"/>
                <w:szCs w:val="20"/>
              </w:rPr>
            </w:pPr>
          </w:p>
        </w:tc>
        <w:tc>
          <w:tcPr>
            <w:tcW w:w="1276" w:type="dxa"/>
            <w:hideMark/>
          </w:tcPr>
          <w:p w14:paraId="7CDDCA41" w14:textId="1D56A917" w:rsidR="001625E9" w:rsidRPr="00D14E3E" w:rsidRDefault="001625E9" w:rsidP="00AC6EF8">
            <w:pPr>
              <w:pStyle w:val="NormalWeb"/>
              <w:jc w:val="center"/>
              <w:rPr>
                <w:rFonts w:ascii="Arial Narrow" w:hAnsi="Arial Narrow" w:cs="Calibri"/>
                <w:sz w:val="20"/>
                <w:szCs w:val="20"/>
              </w:rPr>
            </w:pPr>
          </w:p>
        </w:tc>
        <w:tc>
          <w:tcPr>
            <w:tcW w:w="1276" w:type="dxa"/>
            <w:hideMark/>
          </w:tcPr>
          <w:p w14:paraId="63A51C24" w14:textId="20A1A0DD" w:rsidR="001625E9" w:rsidRPr="00D14E3E" w:rsidRDefault="001625E9" w:rsidP="00AC6EF8">
            <w:pPr>
              <w:pStyle w:val="NormalWeb"/>
              <w:jc w:val="center"/>
              <w:rPr>
                <w:rFonts w:ascii="Arial Narrow" w:hAnsi="Arial Narrow" w:cs="Calibri"/>
                <w:sz w:val="20"/>
                <w:szCs w:val="20"/>
              </w:rPr>
            </w:pPr>
          </w:p>
        </w:tc>
        <w:tc>
          <w:tcPr>
            <w:tcW w:w="1786" w:type="dxa"/>
            <w:hideMark/>
          </w:tcPr>
          <w:p w14:paraId="50358D15" w14:textId="73A4F907" w:rsidR="001625E9" w:rsidRPr="00D14E3E" w:rsidRDefault="001625E9" w:rsidP="00AC6EF8">
            <w:pPr>
              <w:pStyle w:val="NormalWeb"/>
              <w:jc w:val="center"/>
              <w:rPr>
                <w:rFonts w:ascii="Arial Narrow" w:hAnsi="Arial Narrow" w:cs="Calibri"/>
                <w:sz w:val="20"/>
                <w:szCs w:val="20"/>
              </w:rPr>
            </w:pPr>
          </w:p>
        </w:tc>
      </w:tr>
      <w:tr w:rsidR="001625E9" w14:paraId="36BC7C9F" w14:textId="77777777" w:rsidTr="00F4009F">
        <w:trPr>
          <w:trHeight w:val="255"/>
        </w:trPr>
        <w:tc>
          <w:tcPr>
            <w:tcW w:w="3392" w:type="dxa"/>
            <w:hideMark/>
          </w:tcPr>
          <w:p w14:paraId="09769C88"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Antibody testing not available</w:t>
            </w:r>
          </w:p>
        </w:tc>
        <w:tc>
          <w:tcPr>
            <w:tcW w:w="1276" w:type="dxa"/>
            <w:hideMark/>
          </w:tcPr>
          <w:p w14:paraId="265FC6A7"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$1,238</w:t>
            </w:r>
          </w:p>
        </w:tc>
        <w:tc>
          <w:tcPr>
            <w:tcW w:w="1276" w:type="dxa"/>
            <w:hideMark/>
          </w:tcPr>
          <w:p w14:paraId="4354C5D1"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0.1065</w:t>
            </w:r>
          </w:p>
        </w:tc>
        <w:tc>
          <w:tcPr>
            <w:tcW w:w="1276" w:type="dxa"/>
            <w:hideMark/>
          </w:tcPr>
          <w:p w14:paraId="2635B1E7"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0.1176577</w:t>
            </w:r>
          </w:p>
        </w:tc>
        <w:tc>
          <w:tcPr>
            <w:tcW w:w="1786" w:type="dxa"/>
            <w:hideMark/>
          </w:tcPr>
          <w:p w14:paraId="74F6AFA0" w14:textId="1AF26AF8" w:rsidR="001625E9" w:rsidRPr="00D14E3E" w:rsidRDefault="001625E9" w:rsidP="00AC6EF8">
            <w:pPr>
              <w:pStyle w:val="NormalWeb"/>
              <w:jc w:val="center"/>
              <w:rPr>
                <w:rFonts w:ascii="Arial Narrow" w:hAnsi="Arial Narrow" w:cs="Calibri"/>
                <w:sz w:val="20"/>
                <w:szCs w:val="20"/>
              </w:rPr>
            </w:pPr>
          </w:p>
        </w:tc>
      </w:tr>
      <w:tr w:rsidR="001625E9" w14:paraId="633A5369" w14:textId="77777777" w:rsidTr="00F4009F">
        <w:trPr>
          <w:trHeight w:val="255"/>
        </w:trPr>
        <w:tc>
          <w:tcPr>
            <w:tcW w:w="3392" w:type="dxa"/>
            <w:hideMark/>
          </w:tcPr>
          <w:p w14:paraId="78059E06"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NMOSD antibody testing available</w:t>
            </w:r>
          </w:p>
        </w:tc>
        <w:tc>
          <w:tcPr>
            <w:tcW w:w="1276" w:type="dxa"/>
            <w:hideMark/>
          </w:tcPr>
          <w:p w14:paraId="0A8C4A36"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$1,271</w:t>
            </w:r>
          </w:p>
        </w:tc>
        <w:tc>
          <w:tcPr>
            <w:tcW w:w="1276" w:type="dxa"/>
            <w:hideMark/>
          </w:tcPr>
          <w:p w14:paraId="4307C12D"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0.1093</w:t>
            </w:r>
          </w:p>
        </w:tc>
        <w:tc>
          <w:tcPr>
            <w:tcW w:w="1276" w:type="dxa"/>
            <w:hideMark/>
          </w:tcPr>
          <w:p w14:paraId="1B8AA0BC"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0.0817687</w:t>
            </w:r>
          </w:p>
        </w:tc>
        <w:tc>
          <w:tcPr>
            <w:tcW w:w="1786" w:type="dxa"/>
            <w:hideMark/>
          </w:tcPr>
          <w:p w14:paraId="3045076B" w14:textId="60FE7572" w:rsidR="001625E9" w:rsidRPr="00D14E3E" w:rsidRDefault="001625E9" w:rsidP="00AC6EF8">
            <w:pPr>
              <w:pStyle w:val="NormalWeb"/>
              <w:jc w:val="center"/>
              <w:rPr>
                <w:rFonts w:ascii="Arial Narrow" w:hAnsi="Arial Narrow" w:cs="Calibri"/>
                <w:sz w:val="20"/>
                <w:szCs w:val="20"/>
              </w:rPr>
            </w:pPr>
          </w:p>
        </w:tc>
      </w:tr>
      <w:tr w:rsidR="001625E9" w14:paraId="1BC628CF" w14:textId="77777777" w:rsidTr="00F4009F">
        <w:trPr>
          <w:trHeight w:val="255"/>
        </w:trPr>
        <w:tc>
          <w:tcPr>
            <w:tcW w:w="3392" w:type="dxa"/>
            <w:hideMark/>
          </w:tcPr>
          <w:p w14:paraId="4F9EBE2F"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Increment</w:t>
            </w:r>
          </w:p>
        </w:tc>
        <w:tc>
          <w:tcPr>
            <w:tcW w:w="1276" w:type="dxa"/>
            <w:hideMark/>
          </w:tcPr>
          <w:p w14:paraId="17F2DF27"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$34</w:t>
            </w:r>
          </w:p>
        </w:tc>
        <w:tc>
          <w:tcPr>
            <w:tcW w:w="1276" w:type="dxa"/>
            <w:hideMark/>
          </w:tcPr>
          <w:p w14:paraId="5B6798FC"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0.0028</w:t>
            </w:r>
          </w:p>
        </w:tc>
        <w:tc>
          <w:tcPr>
            <w:tcW w:w="1276" w:type="dxa"/>
            <w:hideMark/>
          </w:tcPr>
          <w:p w14:paraId="3064CFC4"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-0.0359</w:t>
            </w:r>
          </w:p>
        </w:tc>
        <w:tc>
          <w:tcPr>
            <w:tcW w:w="1786" w:type="dxa"/>
            <w:hideMark/>
          </w:tcPr>
          <w:p w14:paraId="26837257"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$12,022</w:t>
            </w:r>
          </w:p>
        </w:tc>
      </w:tr>
      <w:tr w:rsidR="001625E9" w14:paraId="7AB42CD8" w14:textId="77777777" w:rsidTr="00F4009F">
        <w:trPr>
          <w:trHeight w:val="255"/>
        </w:trPr>
        <w:tc>
          <w:tcPr>
            <w:tcW w:w="3392" w:type="dxa"/>
            <w:hideMark/>
          </w:tcPr>
          <w:p w14:paraId="1C183F54" w14:textId="77777777" w:rsidR="001625E9" w:rsidRPr="00D14E3E" w:rsidRDefault="001625E9" w:rsidP="00927513">
            <w:pPr>
              <w:pStyle w:val="NormalWeb"/>
              <w:rPr>
                <w:rFonts w:ascii="Arial Narrow" w:hAnsi="Arial Narrow" w:cs="Calibri"/>
                <w:i/>
                <w:sz w:val="20"/>
                <w:szCs w:val="20"/>
              </w:rPr>
            </w:pPr>
            <w:r w:rsidRPr="00D14E3E">
              <w:rPr>
                <w:rFonts w:ascii="Arial Narrow" w:hAnsi="Arial Narrow" w:cs="Segoe UI"/>
                <w:i/>
                <w:color w:val="201F1E"/>
                <w:sz w:val="20"/>
                <w:szCs w:val="20"/>
              </w:rPr>
              <w:t xml:space="preserve">5.4%, </w:t>
            </w:r>
            <w:r w:rsidRPr="00D14E3E">
              <w:rPr>
                <w:rFonts w:ascii="Arial Narrow" w:hAnsi="Arial Narrow" w:cs="Segoe UI"/>
                <w:b/>
                <w:i/>
                <w:color w:val="201F1E"/>
                <w:sz w:val="20"/>
                <w:szCs w:val="20"/>
              </w:rPr>
              <w:t>10%</w:t>
            </w:r>
            <w:r w:rsidRPr="00D14E3E">
              <w:rPr>
                <w:rFonts w:ascii="Arial Narrow" w:hAnsi="Arial Narrow" w:cs="Segoe UI"/>
                <w:i/>
                <w:color w:val="201F1E"/>
                <w:sz w:val="20"/>
                <w:szCs w:val="20"/>
              </w:rPr>
              <w:t>, 84.6%</w:t>
            </w:r>
          </w:p>
        </w:tc>
        <w:tc>
          <w:tcPr>
            <w:tcW w:w="1276" w:type="dxa"/>
            <w:hideMark/>
          </w:tcPr>
          <w:p w14:paraId="694240D8" w14:textId="1CEC8FF3" w:rsidR="001625E9" w:rsidRPr="00D14E3E" w:rsidRDefault="001625E9" w:rsidP="00AC6EF8">
            <w:pPr>
              <w:pStyle w:val="NormalWeb"/>
              <w:jc w:val="center"/>
              <w:rPr>
                <w:rFonts w:ascii="Arial Narrow" w:hAnsi="Arial Narrow" w:cs="Calibri"/>
                <w:sz w:val="20"/>
                <w:szCs w:val="20"/>
              </w:rPr>
            </w:pPr>
          </w:p>
        </w:tc>
        <w:tc>
          <w:tcPr>
            <w:tcW w:w="1276" w:type="dxa"/>
            <w:hideMark/>
          </w:tcPr>
          <w:p w14:paraId="2DBE9BAD" w14:textId="3A5B2895" w:rsidR="001625E9" w:rsidRPr="00D14E3E" w:rsidRDefault="001625E9" w:rsidP="00AC6EF8">
            <w:pPr>
              <w:pStyle w:val="NormalWeb"/>
              <w:jc w:val="center"/>
              <w:rPr>
                <w:rFonts w:ascii="Arial Narrow" w:hAnsi="Arial Narrow" w:cs="Calibri"/>
                <w:sz w:val="20"/>
                <w:szCs w:val="20"/>
              </w:rPr>
            </w:pPr>
          </w:p>
        </w:tc>
        <w:tc>
          <w:tcPr>
            <w:tcW w:w="1276" w:type="dxa"/>
            <w:hideMark/>
          </w:tcPr>
          <w:p w14:paraId="04670355" w14:textId="5630A4A9" w:rsidR="001625E9" w:rsidRPr="00D14E3E" w:rsidRDefault="001625E9" w:rsidP="00AC6EF8">
            <w:pPr>
              <w:pStyle w:val="NormalWeb"/>
              <w:jc w:val="center"/>
              <w:rPr>
                <w:rFonts w:ascii="Arial Narrow" w:hAnsi="Arial Narrow" w:cs="Calibri"/>
                <w:sz w:val="20"/>
                <w:szCs w:val="20"/>
              </w:rPr>
            </w:pPr>
          </w:p>
        </w:tc>
        <w:tc>
          <w:tcPr>
            <w:tcW w:w="1786" w:type="dxa"/>
            <w:hideMark/>
          </w:tcPr>
          <w:p w14:paraId="7EF7924A" w14:textId="2329BAA4" w:rsidR="001625E9" w:rsidRPr="00D14E3E" w:rsidRDefault="001625E9" w:rsidP="00AC6EF8">
            <w:pPr>
              <w:pStyle w:val="NormalWeb"/>
              <w:jc w:val="center"/>
              <w:rPr>
                <w:rFonts w:ascii="Arial Narrow" w:hAnsi="Arial Narrow" w:cs="Calibri"/>
                <w:sz w:val="20"/>
                <w:szCs w:val="20"/>
              </w:rPr>
            </w:pPr>
          </w:p>
        </w:tc>
      </w:tr>
      <w:tr w:rsidR="001625E9" w14:paraId="40612337" w14:textId="77777777" w:rsidTr="00F4009F">
        <w:trPr>
          <w:trHeight w:val="255"/>
        </w:trPr>
        <w:tc>
          <w:tcPr>
            <w:tcW w:w="3392" w:type="dxa"/>
            <w:hideMark/>
          </w:tcPr>
          <w:p w14:paraId="6D29665C"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Antibody testing not available</w:t>
            </w:r>
          </w:p>
        </w:tc>
        <w:tc>
          <w:tcPr>
            <w:tcW w:w="1276" w:type="dxa"/>
            <w:hideMark/>
          </w:tcPr>
          <w:p w14:paraId="6848B60E"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$1,072</w:t>
            </w:r>
          </w:p>
        </w:tc>
        <w:tc>
          <w:tcPr>
            <w:tcW w:w="1276" w:type="dxa"/>
            <w:hideMark/>
          </w:tcPr>
          <w:p w14:paraId="487D20C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0.1067</w:t>
            </w:r>
          </w:p>
        </w:tc>
        <w:tc>
          <w:tcPr>
            <w:tcW w:w="1276" w:type="dxa"/>
            <w:hideMark/>
          </w:tcPr>
          <w:p w14:paraId="03608A5B"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0.1145446</w:t>
            </w:r>
          </w:p>
        </w:tc>
        <w:tc>
          <w:tcPr>
            <w:tcW w:w="1786" w:type="dxa"/>
            <w:hideMark/>
          </w:tcPr>
          <w:p w14:paraId="29A880C7" w14:textId="12E9F7DA" w:rsidR="001625E9" w:rsidRPr="00D14E3E" w:rsidRDefault="001625E9" w:rsidP="00AC6EF8">
            <w:pPr>
              <w:pStyle w:val="NormalWeb"/>
              <w:jc w:val="center"/>
              <w:rPr>
                <w:rFonts w:ascii="Arial Narrow" w:hAnsi="Arial Narrow" w:cs="Calibri"/>
                <w:sz w:val="20"/>
                <w:szCs w:val="20"/>
              </w:rPr>
            </w:pPr>
          </w:p>
        </w:tc>
      </w:tr>
      <w:tr w:rsidR="001625E9" w14:paraId="2679EF06" w14:textId="77777777" w:rsidTr="00F4009F">
        <w:trPr>
          <w:trHeight w:val="255"/>
        </w:trPr>
        <w:tc>
          <w:tcPr>
            <w:tcW w:w="3392" w:type="dxa"/>
            <w:hideMark/>
          </w:tcPr>
          <w:p w14:paraId="6990D569"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NMOSD antibody testing available</w:t>
            </w:r>
          </w:p>
        </w:tc>
        <w:tc>
          <w:tcPr>
            <w:tcW w:w="1276" w:type="dxa"/>
            <w:hideMark/>
          </w:tcPr>
          <w:p w14:paraId="74581494"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$1,271</w:t>
            </w:r>
          </w:p>
        </w:tc>
        <w:tc>
          <w:tcPr>
            <w:tcW w:w="1276" w:type="dxa"/>
            <w:hideMark/>
          </w:tcPr>
          <w:p w14:paraId="721A6022"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0.1093</w:t>
            </w:r>
          </w:p>
        </w:tc>
        <w:tc>
          <w:tcPr>
            <w:tcW w:w="1276" w:type="dxa"/>
            <w:hideMark/>
          </w:tcPr>
          <w:p w14:paraId="78E6E79E"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0.0817687</w:t>
            </w:r>
          </w:p>
        </w:tc>
        <w:tc>
          <w:tcPr>
            <w:tcW w:w="1786" w:type="dxa"/>
            <w:hideMark/>
          </w:tcPr>
          <w:p w14:paraId="4D508E8F" w14:textId="34D62A9B" w:rsidR="001625E9" w:rsidRPr="00D14E3E" w:rsidRDefault="001625E9" w:rsidP="00AC6EF8">
            <w:pPr>
              <w:pStyle w:val="NormalWeb"/>
              <w:jc w:val="center"/>
              <w:rPr>
                <w:rFonts w:ascii="Arial Narrow" w:hAnsi="Arial Narrow" w:cs="Calibri"/>
                <w:sz w:val="20"/>
                <w:szCs w:val="20"/>
              </w:rPr>
            </w:pPr>
          </w:p>
        </w:tc>
      </w:tr>
      <w:tr w:rsidR="001625E9" w14:paraId="3BF690D2" w14:textId="77777777" w:rsidTr="00F4009F">
        <w:trPr>
          <w:trHeight w:val="255"/>
        </w:trPr>
        <w:tc>
          <w:tcPr>
            <w:tcW w:w="3392" w:type="dxa"/>
            <w:hideMark/>
          </w:tcPr>
          <w:p w14:paraId="2ED38250"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Increment</w:t>
            </w:r>
          </w:p>
        </w:tc>
        <w:tc>
          <w:tcPr>
            <w:tcW w:w="1276" w:type="dxa"/>
            <w:hideMark/>
          </w:tcPr>
          <w:p w14:paraId="033AF555"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$199</w:t>
            </w:r>
          </w:p>
        </w:tc>
        <w:tc>
          <w:tcPr>
            <w:tcW w:w="1276" w:type="dxa"/>
            <w:hideMark/>
          </w:tcPr>
          <w:p w14:paraId="07E26F2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0.0027</w:t>
            </w:r>
          </w:p>
        </w:tc>
        <w:tc>
          <w:tcPr>
            <w:tcW w:w="1276" w:type="dxa"/>
            <w:hideMark/>
          </w:tcPr>
          <w:p w14:paraId="14D0257C"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-0.0328</w:t>
            </w:r>
          </w:p>
        </w:tc>
        <w:tc>
          <w:tcPr>
            <w:tcW w:w="1786" w:type="dxa"/>
            <w:hideMark/>
          </w:tcPr>
          <w:p w14:paraId="103AD47E"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$74,429</w:t>
            </w:r>
          </w:p>
        </w:tc>
      </w:tr>
      <w:tr w:rsidR="001625E9" w14:paraId="67BD2282" w14:textId="77777777" w:rsidTr="00F4009F">
        <w:trPr>
          <w:trHeight w:val="255"/>
        </w:trPr>
        <w:tc>
          <w:tcPr>
            <w:tcW w:w="3392" w:type="dxa"/>
            <w:hideMark/>
          </w:tcPr>
          <w:p w14:paraId="7D1E9C78" w14:textId="77777777" w:rsidR="001625E9" w:rsidRPr="00D14E3E" w:rsidRDefault="001625E9" w:rsidP="00927513">
            <w:pPr>
              <w:pStyle w:val="NormalWeb"/>
              <w:rPr>
                <w:rFonts w:ascii="Arial Narrow" w:hAnsi="Arial Narrow" w:cs="Calibri"/>
                <w:i/>
                <w:sz w:val="20"/>
                <w:szCs w:val="20"/>
              </w:rPr>
            </w:pPr>
            <w:r w:rsidRPr="00D14E3E">
              <w:rPr>
                <w:rFonts w:ascii="Arial Narrow" w:hAnsi="Arial Narrow" w:cs="Segoe UI"/>
                <w:i/>
                <w:color w:val="201F1E"/>
                <w:sz w:val="20"/>
                <w:szCs w:val="20"/>
              </w:rPr>
              <w:t xml:space="preserve">5.4%, </w:t>
            </w:r>
            <w:r w:rsidRPr="00D14E3E">
              <w:rPr>
                <w:rFonts w:ascii="Arial Narrow" w:hAnsi="Arial Narrow" w:cs="Segoe UI"/>
                <w:b/>
                <w:i/>
                <w:color w:val="201F1E"/>
                <w:sz w:val="20"/>
                <w:szCs w:val="20"/>
              </w:rPr>
              <w:t>0%</w:t>
            </w:r>
            <w:r w:rsidRPr="00D14E3E">
              <w:rPr>
                <w:rFonts w:ascii="Arial Narrow" w:hAnsi="Arial Narrow" w:cs="Segoe UI"/>
                <w:i/>
                <w:color w:val="201F1E"/>
                <w:sz w:val="20"/>
                <w:szCs w:val="20"/>
              </w:rPr>
              <w:t>, 94.6%</w:t>
            </w:r>
          </w:p>
        </w:tc>
        <w:tc>
          <w:tcPr>
            <w:tcW w:w="1276" w:type="dxa"/>
            <w:hideMark/>
          </w:tcPr>
          <w:p w14:paraId="1A659764" w14:textId="172D4FEE" w:rsidR="001625E9" w:rsidRPr="00D14E3E" w:rsidRDefault="001625E9" w:rsidP="00AC6EF8">
            <w:pPr>
              <w:pStyle w:val="NormalWeb"/>
              <w:jc w:val="center"/>
              <w:rPr>
                <w:rFonts w:ascii="Arial Narrow" w:hAnsi="Arial Narrow" w:cs="Calibri"/>
                <w:sz w:val="20"/>
                <w:szCs w:val="20"/>
              </w:rPr>
            </w:pPr>
          </w:p>
        </w:tc>
        <w:tc>
          <w:tcPr>
            <w:tcW w:w="1276" w:type="dxa"/>
            <w:hideMark/>
          </w:tcPr>
          <w:p w14:paraId="466D8B1A" w14:textId="40602C36" w:rsidR="001625E9" w:rsidRPr="00D14E3E" w:rsidRDefault="001625E9" w:rsidP="00AC6EF8">
            <w:pPr>
              <w:pStyle w:val="NormalWeb"/>
              <w:jc w:val="center"/>
              <w:rPr>
                <w:rFonts w:ascii="Arial Narrow" w:hAnsi="Arial Narrow" w:cs="Calibri"/>
                <w:sz w:val="20"/>
                <w:szCs w:val="20"/>
              </w:rPr>
            </w:pPr>
          </w:p>
        </w:tc>
        <w:tc>
          <w:tcPr>
            <w:tcW w:w="1276" w:type="dxa"/>
            <w:hideMark/>
          </w:tcPr>
          <w:p w14:paraId="737E51FD" w14:textId="448CE9C9" w:rsidR="001625E9" w:rsidRPr="00D14E3E" w:rsidRDefault="001625E9" w:rsidP="00AC6EF8">
            <w:pPr>
              <w:pStyle w:val="NormalWeb"/>
              <w:jc w:val="center"/>
              <w:rPr>
                <w:rFonts w:ascii="Arial Narrow" w:hAnsi="Arial Narrow" w:cs="Calibri"/>
                <w:sz w:val="20"/>
                <w:szCs w:val="20"/>
              </w:rPr>
            </w:pPr>
          </w:p>
        </w:tc>
        <w:tc>
          <w:tcPr>
            <w:tcW w:w="1786" w:type="dxa"/>
            <w:hideMark/>
          </w:tcPr>
          <w:p w14:paraId="501C462E" w14:textId="6CF19983" w:rsidR="001625E9" w:rsidRPr="00D14E3E" w:rsidRDefault="001625E9" w:rsidP="00AC6EF8">
            <w:pPr>
              <w:pStyle w:val="NormalWeb"/>
              <w:jc w:val="center"/>
              <w:rPr>
                <w:rFonts w:ascii="Arial Narrow" w:hAnsi="Arial Narrow" w:cs="Calibri"/>
                <w:sz w:val="20"/>
                <w:szCs w:val="20"/>
              </w:rPr>
            </w:pPr>
          </w:p>
        </w:tc>
      </w:tr>
      <w:tr w:rsidR="001625E9" w14:paraId="15E35D52" w14:textId="77777777" w:rsidTr="00F4009F">
        <w:trPr>
          <w:trHeight w:val="255"/>
        </w:trPr>
        <w:tc>
          <w:tcPr>
            <w:tcW w:w="3392" w:type="dxa"/>
            <w:hideMark/>
          </w:tcPr>
          <w:p w14:paraId="5DE1C039"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Antibody testing not available</w:t>
            </w:r>
          </w:p>
        </w:tc>
        <w:tc>
          <w:tcPr>
            <w:tcW w:w="1276" w:type="dxa"/>
            <w:hideMark/>
          </w:tcPr>
          <w:p w14:paraId="3898333C"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$907</w:t>
            </w:r>
          </w:p>
        </w:tc>
        <w:tc>
          <w:tcPr>
            <w:tcW w:w="1276" w:type="dxa"/>
            <w:hideMark/>
          </w:tcPr>
          <w:p w14:paraId="41F2472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0.1068</w:t>
            </w:r>
          </w:p>
        </w:tc>
        <w:tc>
          <w:tcPr>
            <w:tcW w:w="1276" w:type="dxa"/>
            <w:hideMark/>
          </w:tcPr>
          <w:p w14:paraId="06A1AD5F"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0.1114314</w:t>
            </w:r>
          </w:p>
        </w:tc>
        <w:tc>
          <w:tcPr>
            <w:tcW w:w="1786" w:type="dxa"/>
            <w:hideMark/>
          </w:tcPr>
          <w:p w14:paraId="0384BA15" w14:textId="0B9B1A19" w:rsidR="001625E9" w:rsidRPr="00D14E3E" w:rsidRDefault="001625E9" w:rsidP="00AC6EF8">
            <w:pPr>
              <w:pStyle w:val="NormalWeb"/>
              <w:jc w:val="center"/>
              <w:rPr>
                <w:rFonts w:ascii="Arial Narrow" w:hAnsi="Arial Narrow" w:cs="Calibri"/>
                <w:sz w:val="20"/>
                <w:szCs w:val="20"/>
              </w:rPr>
            </w:pPr>
          </w:p>
        </w:tc>
      </w:tr>
      <w:tr w:rsidR="001625E9" w14:paraId="482B5176" w14:textId="77777777" w:rsidTr="00F4009F">
        <w:trPr>
          <w:trHeight w:val="255"/>
        </w:trPr>
        <w:tc>
          <w:tcPr>
            <w:tcW w:w="3392" w:type="dxa"/>
            <w:hideMark/>
          </w:tcPr>
          <w:p w14:paraId="4E7FD447"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NMOSD antibody testing available</w:t>
            </w:r>
          </w:p>
        </w:tc>
        <w:tc>
          <w:tcPr>
            <w:tcW w:w="1276" w:type="dxa"/>
            <w:hideMark/>
          </w:tcPr>
          <w:p w14:paraId="18FF7832"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$1,271</w:t>
            </w:r>
          </w:p>
        </w:tc>
        <w:tc>
          <w:tcPr>
            <w:tcW w:w="1276" w:type="dxa"/>
            <w:hideMark/>
          </w:tcPr>
          <w:p w14:paraId="1BB2C5D2"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0.1093</w:t>
            </w:r>
          </w:p>
        </w:tc>
        <w:tc>
          <w:tcPr>
            <w:tcW w:w="1276" w:type="dxa"/>
            <w:hideMark/>
          </w:tcPr>
          <w:p w14:paraId="345BD0D9"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0.0817687</w:t>
            </w:r>
          </w:p>
        </w:tc>
        <w:tc>
          <w:tcPr>
            <w:tcW w:w="1786" w:type="dxa"/>
            <w:hideMark/>
          </w:tcPr>
          <w:p w14:paraId="4167DA37" w14:textId="5844ECF3" w:rsidR="001625E9" w:rsidRPr="00D14E3E" w:rsidRDefault="001625E9" w:rsidP="00AC6EF8">
            <w:pPr>
              <w:pStyle w:val="NormalWeb"/>
              <w:jc w:val="center"/>
              <w:rPr>
                <w:rFonts w:ascii="Arial Narrow" w:hAnsi="Arial Narrow" w:cs="Calibri"/>
                <w:sz w:val="20"/>
                <w:szCs w:val="20"/>
              </w:rPr>
            </w:pPr>
          </w:p>
        </w:tc>
      </w:tr>
      <w:tr w:rsidR="001625E9" w14:paraId="20666D83" w14:textId="77777777" w:rsidTr="00F4009F">
        <w:trPr>
          <w:trHeight w:val="255"/>
        </w:trPr>
        <w:tc>
          <w:tcPr>
            <w:tcW w:w="3392" w:type="dxa"/>
            <w:hideMark/>
          </w:tcPr>
          <w:p w14:paraId="40E101C5" w14:textId="77777777" w:rsidR="001625E9" w:rsidRPr="00D14E3E" w:rsidRDefault="001625E9" w:rsidP="00927513">
            <w:pPr>
              <w:pStyle w:val="NormalWeb"/>
              <w:rPr>
                <w:rFonts w:ascii="Arial Narrow" w:hAnsi="Arial Narrow" w:cs="Calibri"/>
                <w:sz w:val="20"/>
                <w:szCs w:val="20"/>
              </w:rPr>
            </w:pPr>
            <w:r w:rsidRPr="00D14E3E">
              <w:rPr>
                <w:rFonts w:ascii="Arial Narrow" w:hAnsi="Arial Narrow" w:cs="Segoe UI"/>
                <w:color w:val="201F1E"/>
                <w:sz w:val="20"/>
                <w:szCs w:val="20"/>
              </w:rPr>
              <w:t>Increment</w:t>
            </w:r>
          </w:p>
        </w:tc>
        <w:tc>
          <w:tcPr>
            <w:tcW w:w="1276" w:type="dxa"/>
            <w:hideMark/>
          </w:tcPr>
          <w:p w14:paraId="130DBD9B"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$364</w:t>
            </w:r>
          </w:p>
        </w:tc>
        <w:tc>
          <w:tcPr>
            <w:tcW w:w="1276" w:type="dxa"/>
            <w:hideMark/>
          </w:tcPr>
          <w:p w14:paraId="112FB163"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0.0025</w:t>
            </w:r>
          </w:p>
        </w:tc>
        <w:tc>
          <w:tcPr>
            <w:tcW w:w="1276" w:type="dxa"/>
            <w:hideMark/>
          </w:tcPr>
          <w:p w14:paraId="6DB4E0C7"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-0.0297</w:t>
            </w:r>
          </w:p>
        </w:tc>
        <w:tc>
          <w:tcPr>
            <w:tcW w:w="1786" w:type="dxa"/>
            <w:hideMark/>
          </w:tcPr>
          <w:p w14:paraId="4F202CE0" w14:textId="77777777" w:rsidR="001625E9" w:rsidRPr="00D14E3E" w:rsidRDefault="001625E9" w:rsidP="00AC6EF8">
            <w:pPr>
              <w:pStyle w:val="NormalWeb"/>
              <w:jc w:val="center"/>
              <w:rPr>
                <w:rFonts w:ascii="Arial Narrow" w:hAnsi="Arial Narrow" w:cs="Calibri"/>
                <w:sz w:val="20"/>
                <w:szCs w:val="20"/>
              </w:rPr>
            </w:pPr>
            <w:r w:rsidRPr="00D14E3E">
              <w:rPr>
                <w:rFonts w:ascii="Arial Narrow" w:hAnsi="Arial Narrow" w:cs="Segoe UI"/>
                <w:color w:val="201F1E"/>
                <w:sz w:val="20"/>
                <w:szCs w:val="20"/>
              </w:rPr>
              <w:t>$143,000</w:t>
            </w:r>
          </w:p>
        </w:tc>
      </w:tr>
    </w:tbl>
    <w:p w14:paraId="1483EFCB" w14:textId="77777777" w:rsidR="001625E9" w:rsidDel="00EA29F6" w:rsidRDefault="001625E9" w:rsidP="00F4009F">
      <w:pPr>
        <w:pStyle w:val="Tablenotes"/>
      </w:pPr>
      <w:r w:rsidDel="00EA29F6">
        <w:t>Ab = antibody; AQP4 = aquaporin 4; NMOSD = neuromyelitis optica; QALY = Quality-adjusted life year</w:t>
      </w:r>
    </w:p>
    <w:p w14:paraId="2492F0E0" w14:textId="77777777" w:rsidR="001625E9" w:rsidDel="00EA29F6" w:rsidRDefault="001625E9" w:rsidP="00F4009F">
      <w:pPr>
        <w:pStyle w:val="Tablenotes"/>
      </w:pPr>
      <w:r w:rsidDel="00EA29F6">
        <w:t xml:space="preserve">Source: </w:t>
      </w:r>
      <w:r>
        <w:t>ESC discussion</w:t>
      </w:r>
    </w:p>
    <w:p w14:paraId="1E9C5E99" w14:textId="46D4B634" w:rsidR="001625E9" w:rsidRDefault="001625E9" w:rsidP="001625E9">
      <w:r>
        <w:t xml:space="preserve">The evidence </w:t>
      </w:r>
      <w:proofErr w:type="gramStart"/>
      <w:r>
        <w:t>with regards to</w:t>
      </w:r>
      <w:proofErr w:type="gramEnd"/>
      <w:r>
        <w:t xml:space="preserve"> the percentage of MS misdiagnosis and the percentage of seropositivity in NMOSD cases has uncertainty (as noted in </w:t>
      </w:r>
      <w:r w:rsidR="00226218" w:rsidRPr="009D6016">
        <w:rPr>
          <w:rStyle w:val="Heading3Char"/>
          <w:u w:val="none"/>
        </w:rPr>
        <w:fldChar w:fldCharType="begin"/>
      </w:r>
      <w:r w:rsidR="00226218" w:rsidRPr="009D6016">
        <w:rPr>
          <w:rStyle w:val="Heading3Char"/>
          <w:u w:val="none"/>
        </w:rPr>
        <w:instrText xml:space="preserve"> REF _Ref33442890 \h </w:instrText>
      </w:r>
      <w:r w:rsidR="009D6016" w:rsidRPr="009D6016">
        <w:rPr>
          <w:rStyle w:val="Heading3Char"/>
          <w:u w:val="none"/>
        </w:rPr>
        <w:instrText xml:space="preserve"> \* MERGEFORMAT </w:instrText>
      </w:r>
      <w:r w:rsidR="00226218" w:rsidRPr="009D6016">
        <w:rPr>
          <w:rStyle w:val="Heading3Char"/>
          <w:u w:val="none"/>
        </w:rPr>
      </w:r>
      <w:r w:rsidR="00226218" w:rsidRPr="009D6016">
        <w:rPr>
          <w:rStyle w:val="Heading3Char"/>
          <w:u w:val="none"/>
        </w:rPr>
        <w:fldChar w:fldCharType="separate"/>
      </w:r>
      <w:r w:rsidR="009D6016" w:rsidRPr="009D6016">
        <w:rPr>
          <w:rStyle w:val="Heading3Char"/>
          <w:u w:val="none"/>
        </w:rPr>
        <w:t>Table 5</w:t>
      </w:r>
      <w:r w:rsidR="00226218" w:rsidRPr="009D6016">
        <w:rPr>
          <w:rStyle w:val="Heading3Char"/>
          <w:u w:val="none"/>
        </w:rPr>
        <w:fldChar w:fldCharType="end"/>
      </w:r>
      <w:r>
        <w:t xml:space="preserve">). </w:t>
      </w:r>
      <w:r w:rsidRPr="00D14E3E">
        <w:t>T</w:t>
      </w:r>
      <w:r w:rsidRPr="006C47E6">
        <w:t>he incidence of NMOSD in Australia is such that</w:t>
      </w:r>
      <w:r w:rsidRPr="00D14E3E">
        <w:t xml:space="preserve"> there </w:t>
      </w:r>
      <w:r w:rsidRPr="006C47E6">
        <w:t>will be high variability in the p</w:t>
      </w:r>
      <w:r w:rsidRPr="00D14E3E">
        <w:t xml:space="preserve">roportion of NMOSD cases initially misdiagnosed as MS </w:t>
      </w:r>
      <w:r>
        <w:t xml:space="preserve">in those </w:t>
      </w:r>
      <w:r w:rsidRPr="00D22A97">
        <w:t>who would have tested</w:t>
      </w:r>
      <w:r w:rsidRPr="00D14E3E">
        <w:t xml:space="preserve"> seropositive in the theoretical counterfactual scenario of the comparator.</w:t>
      </w:r>
    </w:p>
    <w:p w14:paraId="6011D997" w14:textId="71B06B70" w:rsidR="001625E9" w:rsidRDefault="001625E9" w:rsidP="00226218">
      <w:pPr>
        <w:spacing w:before="240"/>
      </w:pPr>
      <w:r>
        <w:t xml:space="preserve">The percentages of MS misdiagnosis for </w:t>
      </w:r>
      <w:r w:rsidRPr="00D14E3E">
        <w:rPr>
          <w:i/>
        </w:rPr>
        <w:t>all</w:t>
      </w:r>
      <w:r>
        <w:t xml:space="preserve"> NMOSD cases referenced in the DCAR are 41.4% and 42.5% from Beekman et al. (2019) and Jarius et al. (2012) respectively. In another retrospective study of 187 patients with NMOSD, 29.4% were initially misdiagnosed with multiple sclerosis.</w:t>
      </w:r>
      <w:r>
        <w:rPr>
          <w:rStyle w:val="FootnoteReference"/>
        </w:rPr>
        <w:footnoteReference w:id="8"/>
      </w:r>
      <w:r>
        <w:t xml:space="preserve"> Both the Jarius et al. (2012) and Mealy et al. (2012) studies used the 2006 rather than 2015 diagnostic criteria for NMOSD. The Mealy et al. study was excluded from the DCAR on this basis. It is uncertain if and how this affects the percent</w:t>
      </w:r>
      <w:r w:rsidR="00226218">
        <w:t>age of initial MS misdiagnosis.</w:t>
      </w:r>
    </w:p>
    <w:p w14:paraId="3F255CE7" w14:textId="1B979303" w:rsidR="001625E9" w:rsidRDefault="001625E9" w:rsidP="00226218">
      <w:pPr>
        <w:spacing w:before="240"/>
      </w:pPr>
      <w:r>
        <w:t>The input for the economic model is defined as the percentage of MS misdiagnosis in seropositive cases and not the percentage of MS misdiagnosis in all cases.</w:t>
      </w:r>
      <w:r w:rsidRPr="00AE3871">
        <w:t xml:space="preserve"> </w:t>
      </w:r>
      <w:r>
        <w:t xml:space="preserve">The base case and scenario analyses do not take into account the proportion of seropositivity in NMOSD cases. </w:t>
      </w:r>
      <w:r w:rsidR="00226218" w:rsidRPr="00172FF2">
        <w:rPr>
          <w:szCs w:val="24"/>
        </w:rPr>
        <w:fldChar w:fldCharType="begin"/>
      </w:r>
      <w:r w:rsidR="00226218" w:rsidRPr="00172FF2">
        <w:rPr>
          <w:szCs w:val="24"/>
        </w:rPr>
        <w:instrText xml:space="preserve"> REF _Ref50016685 \h </w:instrText>
      </w:r>
      <w:r w:rsidR="00172FF2" w:rsidRPr="00172FF2">
        <w:rPr>
          <w:szCs w:val="24"/>
        </w:rPr>
        <w:instrText xml:space="preserve"> \* MERGEFORMAT </w:instrText>
      </w:r>
      <w:r w:rsidR="00226218" w:rsidRPr="00172FF2">
        <w:rPr>
          <w:szCs w:val="24"/>
        </w:rPr>
      </w:r>
      <w:r w:rsidR="00226218" w:rsidRPr="00172FF2">
        <w:rPr>
          <w:szCs w:val="24"/>
        </w:rPr>
        <w:fldChar w:fldCharType="separate"/>
      </w:r>
      <w:r w:rsidR="009D6016" w:rsidRPr="00172FF2">
        <w:rPr>
          <w:szCs w:val="24"/>
        </w:rPr>
        <w:t xml:space="preserve">Table </w:t>
      </w:r>
      <w:r w:rsidR="009D6016" w:rsidRPr="00172FF2">
        <w:rPr>
          <w:noProof/>
          <w:szCs w:val="24"/>
        </w:rPr>
        <w:t>14</w:t>
      </w:r>
      <w:r w:rsidR="00226218" w:rsidRPr="00172FF2">
        <w:rPr>
          <w:szCs w:val="24"/>
        </w:rPr>
        <w:fldChar w:fldCharType="end"/>
      </w:r>
      <w:r w:rsidR="00226218">
        <w:t xml:space="preserve"> </w:t>
      </w:r>
      <w:r>
        <w:t>adjusts the percentage of MS misdiagnosis with the percentage of NMOSD cases that are seropositive, assuming that initial MS misdiagnoses occur equally regardless of the serostatus of those in the no test comparat</w:t>
      </w:r>
      <w:r w:rsidR="00AC6EF8">
        <w:t>or arm.</w:t>
      </w:r>
    </w:p>
    <w:p w14:paraId="1769E45C" w14:textId="042FAA47" w:rsidR="001625E9" w:rsidRPr="00F4009F" w:rsidRDefault="00226218" w:rsidP="00F4009F">
      <w:pPr>
        <w:keepNext/>
        <w:keepLines/>
        <w:spacing w:before="240"/>
        <w:rPr>
          <w:rFonts w:ascii="Arial Narrow" w:hAnsi="Arial Narrow"/>
          <w:b/>
          <w:sz w:val="20"/>
        </w:rPr>
      </w:pPr>
      <w:bookmarkStart w:id="40" w:name="_Ref50016685"/>
      <w:r w:rsidRPr="00F4009F">
        <w:rPr>
          <w:rFonts w:ascii="Arial Narrow" w:hAnsi="Arial Narrow"/>
          <w:b/>
          <w:sz w:val="20"/>
        </w:rPr>
        <w:lastRenderedPageBreak/>
        <w:t xml:space="preserve">Table </w:t>
      </w:r>
      <w:r w:rsidR="00F4009F" w:rsidRPr="00F4009F">
        <w:rPr>
          <w:rFonts w:ascii="Arial Narrow" w:hAnsi="Arial Narrow"/>
          <w:b/>
          <w:sz w:val="20"/>
        </w:rPr>
        <w:fldChar w:fldCharType="begin"/>
      </w:r>
      <w:r w:rsidR="00F4009F" w:rsidRPr="00F4009F">
        <w:rPr>
          <w:rFonts w:ascii="Arial Narrow" w:hAnsi="Arial Narrow"/>
          <w:b/>
          <w:sz w:val="20"/>
        </w:rPr>
        <w:instrText xml:space="preserve"> SEQ Table \* ARABIC </w:instrText>
      </w:r>
      <w:r w:rsidR="00F4009F" w:rsidRPr="00F4009F">
        <w:rPr>
          <w:rFonts w:ascii="Arial Narrow" w:hAnsi="Arial Narrow"/>
          <w:b/>
          <w:sz w:val="20"/>
        </w:rPr>
        <w:fldChar w:fldCharType="separate"/>
      </w:r>
      <w:r w:rsidR="009D6016">
        <w:rPr>
          <w:rFonts w:ascii="Arial Narrow" w:hAnsi="Arial Narrow"/>
          <w:b/>
          <w:noProof/>
          <w:sz w:val="20"/>
        </w:rPr>
        <w:t>14</w:t>
      </w:r>
      <w:r w:rsidR="00F4009F" w:rsidRPr="00F4009F">
        <w:rPr>
          <w:rFonts w:ascii="Arial Narrow" w:hAnsi="Arial Narrow"/>
          <w:b/>
          <w:sz w:val="20"/>
        </w:rPr>
        <w:fldChar w:fldCharType="end"/>
      </w:r>
      <w:bookmarkEnd w:id="40"/>
      <w:r w:rsidR="001625E9" w:rsidRPr="00F4009F">
        <w:rPr>
          <w:rFonts w:ascii="Arial Narrow" w:hAnsi="Arial Narrow"/>
          <w:b/>
          <w:sz w:val="20"/>
        </w:rPr>
        <w:tab/>
        <w:t>Adjusted percentage of MS misdiagnosis in seropositive NMOSD cases</w:t>
      </w:r>
    </w:p>
    <w:tbl>
      <w:tblPr>
        <w:tblStyle w:val="TableGrid1"/>
        <w:tblW w:w="5000" w:type="pct"/>
        <w:tblLook w:val="04A0" w:firstRow="1" w:lastRow="0" w:firstColumn="1" w:lastColumn="0" w:noHBand="0" w:noVBand="1"/>
        <w:tblCaption w:val="Key drivers of the economic model"/>
        <w:tblDescription w:val="This table describes what factors and assumptions in the economic model affect the incremental cost-effectiveness to the greatest extent."/>
      </w:tblPr>
      <w:tblGrid>
        <w:gridCol w:w="1837"/>
        <w:gridCol w:w="2552"/>
        <w:gridCol w:w="2128"/>
        <w:gridCol w:w="2499"/>
      </w:tblGrid>
      <w:tr w:rsidR="001625E9" w:rsidRPr="0005059F" w14:paraId="20B45EEF" w14:textId="77777777" w:rsidTr="00F4009F">
        <w:trPr>
          <w:tblHeader/>
        </w:trPr>
        <w:tc>
          <w:tcPr>
            <w:tcW w:w="1019" w:type="pct"/>
          </w:tcPr>
          <w:p w14:paraId="546A5A1D" w14:textId="77777777" w:rsidR="001625E9" w:rsidRPr="00750DB2" w:rsidRDefault="001625E9" w:rsidP="00F4009F">
            <w:pPr>
              <w:pStyle w:val="TableText0"/>
              <w:keepNext/>
              <w:keepLines/>
              <w:spacing w:before="0" w:after="0"/>
              <w:rPr>
                <w:b/>
              </w:rPr>
            </w:pPr>
            <w:r>
              <w:rPr>
                <w:b/>
              </w:rPr>
              <w:t>Study</w:t>
            </w:r>
          </w:p>
        </w:tc>
        <w:tc>
          <w:tcPr>
            <w:tcW w:w="1415" w:type="pct"/>
          </w:tcPr>
          <w:p w14:paraId="3690B049" w14:textId="77777777" w:rsidR="00AE68EA" w:rsidRDefault="001625E9" w:rsidP="00F4009F">
            <w:pPr>
              <w:pStyle w:val="TableText0"/>
              <w:keepNext/>
              <w:keepLines/>
              <w:spacing w:before="0" w:after="0"/>
              <w:jc w:val="center"/>
              <w:rPr>
                <w:b/>
              </w:rPr>
            </w:pPr>
            <w:r>
              <w:rPr>
                <w:b/>
              </w:rPr>
              <w:t>Percentage of all cases initially misdiagnosed with MS</w:t>
            </w:r>
          </w:p>
          <w:p w14:paraId="0F0FE953" w14:textId="1E429C30" w:rsidR="001625E9" w:rsidRPr="00750DB2" w:rsidRDefault="001625E9" w:rsidP="00F4009F">
            <w:pPr>
              <w:pStyle w:val="TableText0"/>
              <w:keepNext/>
              <w:keepLines/>
              <w:spacing w:before="0" w:after="0"/>
              <w:jc w:val="center"/>
              <w:rPr>
                <w:b/>
              </w:rPr>
            </w:pPr>
            <w:r>
              <w:rPr>
                <w:b/>
              </w:rPr>
              <w:t>(A)</w:t>
            </w:r>
          </w:p>
        </w:tc>
        <w:tc>
          <w:tcPr>
            <w:tcW w:w="1180" w:type="pct"/>
          </w:tcPr>
          <w:p w14:paraId="7076C002" w14:textId="77777777" w:rsidR="001625E9" w:rsidRPr="00750DB2" w:rsidRDefault="001625E9" w:rsidP="00F4009F">
            <w:pPr>
              <w:pStyle w:val="TableText0"/>
              <w:keepNext/>
              <w:keepLines/>
              <w:spacing w:before="0" w:after="0"/>
              <w:jc w:val="center"/>
              <w:rPr>
                <w:b/>
              </w:rPr>
            </w:pPr>
            <w:r>
              <w:rPr>
                <w:b/>
              </w:rPr>
              <w:t>Percentage of study population seropositive (B)</w:t>
            </w:r>
          </w:p>
        </w:tc>
        <w:tc>
          <w:tcPr>
            <w:tcW w:w="1386" w:type="pct"/>
          </w:tcPr>
          <w:p w14:paraId="16B10909" w14:textId="77777777" w:rsidR="001625E9" w:rsidRPr="00750DB2" w:rsidRDefault="001625E9" w:rsidP="00F4009F">
            <w:pPr>
              <w:pStyle w:val="TableText0"/>
              <w:keepNext/>
              <w:keepLines/>
              <w:spacing w:before="0" w:after="0"/>
              <w:jc w:val="center"/>
              <w:rPr>
                <w:b/>
              </w:rPr>
            </w:pPr>
            <w:r>
              <w:rPr>
                <w:b/>
              </w:rPr>
              <w:t>Adjusted percentage of MS misdiagnosis for seropositive cases (A x B)</w:t>
            </w:r>
          </w:p>
        </w:tc>
      </w:tr>
      <w:tr w:rsidR="001625E9" w:rsidRPr="0005059F" w14:paraId="6573E66F" w14:textId="77777777" w:rsidTr="00F4009F">
        <w:tc>
          <w:tcPr>
            <w:tcW w:w="1019" w:type="pct"/>
          </w:tcPr>
          <w:p w14:paraId="42AAC74C" w14:textId="77777777" w:rsidR="001625E9" w:rsidRPr="0005059F" w:rsidRDefault="001625E9" w:rsidP="00F4009F">
            <w:pPr>
              <w:pStyle w:val="TableText0"/>
              <w:spacing w:before="0" w:after="0"/>
            </w:pPr>
            <w:r>
              <w:t>Beekman et al. (2019)</w:t>
            </w:r>
          </w:p>
        </w:tc>
        <w:tc>
          <w:tcPr>
            <w:tcW w:w="1415" w:type="pct"/>
          </w:tcPr>
          <w:p w14:paraId="2CAC8B99" w14:textId="77777777" w:rsidR="001625E9" w:rsidRPr="0005059F" w:rsidRDefault="001625E9" w:rsidP="00F4009F">
            <w:pPr>
              <w:pStyle w:val="TableText0"/>
              <w:spacing w:before="0" w:after="0"/>
              <w:jc w:val="center"/>
            </w:pPr>
            <w:r>
              <w:t>41.4%</w:t>
            </w:r>
          </w:p>
        </w:tc>
        <w:tc>
          <w:tcPr>
            <w:tcW w:w="1180" w:type="pct"/>
          </w:tcPr>
          <w:p w14:paraId="72743004" w14:textId="77777777" w:rsidR="001625E9" w:rsidRDefault="001625E9" w:rsidP="00F4009F">
            <w:pPr>
              <w:pStyle w:val="TableText0"/>
              <w:spacing w:before="0" w:after="0"/>
              <w:jc w:val="center"/>
            </w:pPr>
            <w:r>
              <w:t>61.1% - 78.7% (17.6% unknown status)</w:t>
            </w:r>
          </w:p>
        </w:tc>
        <w:tc>
          <w:tcPr>
            <w:tcW w:w="1386" w:type="pct"/>
          </w:tcPr>
          <w:p w14:paraId="6E62F592" w14:textId="77777777" w:rsidR="001625E9" w:rsidRPr="0005059F" w:rsidRDefault="001625E9" w:rsidP="00F4009F">
            <w:pPr>
              <w:pStyle w:val="TableText0"/>
              <w:spacing w:before="0" w:after="0"/>
              <w:jc w:val="center"/>
            </w:pPr>
            <w:r>
              <w:t>25.3-32.6%</w:t>
            </w:r>
          </w:p>
        </w:tc>
      </w:tr>
      <w:tr w:rsidR="001625E9" w:rsidRPr="0005059F" w14:paraId="44ED6A88" w14:textId="77777777" w:rsidTr="00F4009F">
        <w:tc>
          <w:tcPr>
            <w:tcW w:w="1019" w:type="pct"/>
          </w:tcPr>
          <w:p w14:paraId="2A5C2F08" w14:textId="77777777" w:rsidR="001625E9" w:rsidRPr="0005059F" w:rsidRDefault="001625E9" w:rsidP="00F4009F">
            <w:pPr>
              <w:pStyle w:val="TableText0"/>
              <w:spacing w:before="0" w:after="0"/>
            </w:pPr>
            <w:r>
              <w:t>Jarius et al. (2012)</w:t>
            </w:r>
          </w:p>
        </w:tc>
        <w:tc>
          <w:tcPr>
            <w:tcW w:w="1415" w:type="pct"/>
          </w:tcPr>
          <w:p w14:paraId="2D84FF4E" w14:textId="77777777" w:rsidR="001625E9" w:rsidRPr="0005059F" w:rsidRDefault="001625E9" w:rsidP="00F4009F">
            <w:pPr>
              <w:pStyle w:val="TableText0"/>
              <w:spacing w:before="0" w:after="0"/>
              <w:jc w:val="center"/>
            </w:pPr>
            <w:r>
              <w:t>42.5%</w:t>
            </w:r>
          </w:p>
        </w:tc>
        <w:tc>
          <w:tcPr>
            <w:tcW w:w="1180" w:type="pct"/>
          </w:tcPr>
          <w:p w14:paraId="62430C0E" w14:textId="77777777" w:rsidR="001625E9" w:rsidRDefault="001625E9" w:rsidP="00F4009F">
            <w:pPr>
              <w:pStyle w:val="TableText0"/>
              <w:spacing w:before="0" w:after="0"/>
              <w:jc w:val="center"/>
            </w:pPr>
            <w:r>
              <w:t>78.3%</w:t>
            </w:r>
          </w:p>
        </w:tc>
        <w:tc>
          <w:tcPr>
            <w:tcW w:w="1386" w:type="pct"/>
          </w:tcPr>
          <w:p w14:paraId="4132622F" w14:textId="77777777" w:rsidR="001625E9" w:rsidRPr="0005059F" w:rsidRDefault="001625E9" w:rsidP="00F4009F">
            <w:pPr>
              <w:pStyle w:val="TableText0"/>
              <w:spacing w:before="0" w:after="0"/>
              <w:jc w:val="center"/>
            </w:pPr>
            <w:r>
              <w:t>33.3%</w:t>
            </w:r>
          </w:p>
        </w:tc>
      </w:tr>
      <w:tr w:rsidR="001625E9" w:rsidRPr="0005059F" w14:paraId="56D33516" w14:textId="77777777" w:rsidTr="00F4009F">
        <w:tc>
          <w:tcPr>
            <w:tcW w:w="1019" w:type="pct"/>
          </w:tcPr>
          <w:p w14:paraId="631CCBDB" w14:textId="77777777" w:rsidR="001625E9" w:rsidRPr="00865946" w:rsidRDefault="001625E9" w:rsidP="00F4009F">
            <w:pPr>
              <w:pStyle w:val="TableText0"/>
              <w:spacing w:before="0" w:after="0"/>
            </w:pPr>
            <w:r>
              <w:t>Mealy et al. (2012)</w:t>
            </w:r>
          </w:p>
        </w:tc>
        <w:tc>
          <w:tcPr>
            <w:tcW w:w="1415" w:type="pct"/>
          </w:tcPr>
          <w:p w14:paraId="62C57257" w14:textId="77777777" w:rsidR="001625E9" w:rsidRDefault="001625E9" w:rsidP="00F4009F">
            <w:pPr>
              <w:pStyle w:val="TableText0"/>
              <w:spacing w:before="0" w:after="0"/>
              <w:jc w:val="center"/>
            </w:pPr>
            <w:r>
              <w:t>29.7%</w:t>
            </w:r>
          </w:p>
        </w:tc>
        <w:tc>
          <w:tcPr>
            <w:tcW w:w="1180" w:type="pct"/>
          </w:tcPr>
          <w:p w14:paraId="4BC04F05" w14:textId="77777777" w:rsidR="001625E9" w:rsidRDefault="001625E9" w:rsidP="00F4009F">
            <w:pPr>
              <w:pStyle w:val="TableText0"/>
              <w:spacing w:before="0" w:after="0"/>
              <w:jc w:val="center"/>
            </w:pPr>
            <w:r>
              <w:t>78.6%</w:t>
            </w:r>
          </w:p>
        </w:tc>
        <w:tc>
          <w:tcPr>
            <w:tcW w:w="1386" w:type="pct"/>
          </w:tcPr>
          <w:p w14:paraId="2BA43D5F" w14:textId="77777777" w:rsidR="001625E9" w:rsidRDefault="001625E9" w:rsidP="00F4009F">
            <w:pPr>
              <w:pStyle w:val="TableText0"/>
              <w:spacing w:before="0" w:after="0"/>
              <w:jc w:val="center"/>
            </w:pPr>
            <w:r>
              <w:t>23.3%</w:t>
            </w:r>
          </w:p>
        </w:tc>
      </w:tr>
    </w:tbl>
    <w:p w14:paraId="7FA86315" w14:textId="77777777" w:rsidR="001625E9" w:rsidRDefault="001625E9" w:rsidP="00F4009F">
      <w:pPr>
        <w:pStyle w:val="Tablenotes"/>
      </w:pPr>
      <w:r>
        <w:t>MS = multiple sclerosis</w:t>
      </w:r>
    </w:p>
    <w:p w14:paraId="79EE1184" w14:textId="77777777" w:rsidR="001625E9" w:rsidRDefault="001625E9" w:rsidP="00F4009F">
      <w:pPr>
        <w:pStyle w:val="Tablenotes"/>
      </w:pPr>
      <w:r>
        <w:t>Seropositive NMOSD = AQP4-Ab positive NMOSD</w:t>
      </w:r>
    </w:p>
    <w:p w14:paraId="7D74FBB2" w14:textId="08E369CA" w:rsidR="001625E9" w:rsidRDefault="001625E9" w:rsidP="001625E9">
      <w:r>
        <w:t xml:space="preserve">Interpreting </w:t>
      </w:r>
      <w:r w:rsidR="00BB1D14" w:rsidRPr="00172FF2">
        <w:rPr>
          <w:szCs w:val="24"/>
        </w:rPr>
        <w:fldChar w:fldCharType="begin"/>
      </w:r>
      <w:r w:rsidR="00BB1D14" w:rsidRPr="00172FF2">
        <w:rPr>
          <w:szCs w:val="24"/>
        </w:rPr>
        <w:instrText xml:space="preserve"> REF _Ref50016392 \h </w:instrText>
      </w:r>
      <w:r w:rsidR="00172FF2" w:rsidRPr="00172FF2">
        <w:rPr>
          <w:szCs w:val="24"/>
        </w:rPr>
        <w:instrText xml:space="preserve"> \* MERGEFORMAT </w:instrText>
      </w:r>
      <w:r w:rsidR="00BB1D14" w:rsidRPr="00172FF2">
        <w:rPr>
          <w:szCs w:val="24"/>
        </w:rPr>
      </w:r>
      <w:r w:rsidR="00BB1D14" w:rsidRPr="00172FF2">
        <w:rPr>
          <w:szCs w:val="24"/>
        </w:rPr>
        <w:fldChar w:fldCharType="separate"/>
      </w:r>
      <w:r w:rsidR="009D6016" w:rsidRPr="00172FF2">
        <w:rPr>
          <w:szCs w:val="24"/>
        </w:rPr>
        <w:t xml:space="preserve">Table </w:t>
      </w:r>
      <w:r w:rsidR="009D6016" w:rsidRPr="00172FF2">
        <w:rPr>
          <w:noProof/>
          <w:szCs w:val="24"/>
        </w:rPr>
        <w:t>13</w:t>
      </w:r>
      <w:r w:rsidR="00BB1D14" w:rsidRPr="00172FF2">
        <w:rPr>
          <w:szCs w:val="24"/>
        </w:rPr>
        <w:fldChar w:fldCharType="end"/>
      </w:r>
      <w:r>
        <w:t xml:space="preserve"> and </w:t>
      </w:r>
      <w:r w:rsidR="00BB1D14" w:rsidRPr="00172FF2">
        <w:rPr>
          <w:szCs w:val="24"/>
        </w:rPr>
        <w:fldChar w:fldCharType="begin"/>
      </w:r>
      <w:r w:rsidR="00BB1D14" w:rsidRPr="00172FF2">
        <w:rPr>
          <w:szCs w:val="24"/>
        </w:rPr>
        <w:instrText xml:space="preserve"> REF _Ref50016685 \h </w:instrText>
      </w:r>
      <w:r w:rsidR="00172FF2" w:rsidRPr="00172FF2">
        <w:rPr>
          <w:szCs w:val="24"/>
        </w:rPr>
        <w:instrText xml:space="preserve"> \* MERGEFORMAT </w:instrText>
      </w:r>
      <w:r w:rsidR="00BB1D14" w:rsidRPr="00172FF2">
        <w:rPr>
          <w:szCs w:val="24"/>
        </w:rPr>
      </w:r>
      <w:r w:rsidR="00BB1D14" w:rsidRPr="00172FF2">
        <w:rPr>
          <w:szCs w:val="24"/>
        </w:rPr>
        <w:fldChar w:fldCharType="separate"/>
      </w:r>
      <w:r w:rsidR="009D6016" w:rsidRPr="00172FF2">
        <w:rPr>
          <w:szCs w:val="24"/>
        </w:rPr>
        <w:t xml:space="preserve">Table </w:t>
      </w:r>
      <w:r w:rsidR="009D6016" w:rsidRPr="00172FF2">
        <w:rPr>
          <w:noProof/>
          <w:szCs w:val="24"/>
        </w:rPr>
        <w:t>14</w:t>
      </w:r>
      <w:r w:rsidR="00BB1D14" w:rsidRPr="00172FF2">
        <w:rPr>
          <w:szCs w:val="24"/>
        </w:rPr>
        <w:fldChar w:fldCharType="end"/>
      </w:r>
      <w:r>
        <w:t xml:space="preserve"> together suggest that the results can vary from dominant (resource saving with healt</w:t>
      </w:r>
      <w:r w:rsidR="00226218">
        <w:t>h benefits) to a positive ICER.</w:t>
      </w:r>
    </w:p>
    <w:p w14:paraId="0BE8C504" w14:textId="77777777" w:rsidR="001625E9" w:rsidRPr="001625E9" w:rsidRDefault="001625E9" w:rsidP="00226218">
      <w:pPr>
        <w:spacing w:before="240"/>
        <w:rPr>
          <w:i/>
        </w:rPr>
      </w:pPr>
      <w:r w:rsidRPr="00D14E3E">
        <w:rPr>
          <w:i/>
        </w:rPr>
        <w:t>Additional sensitivity analyses</w:t>
      </w:r>
    </w:p>
    <w:p w14:paraId="18BFAB45" w14:textId="51EE322B" w:rsidR="001625E9" w:rsidRDefault="001625E9" w:rsidP="001625E9">
      <w:r>
        <w:t>Results from the sensitivity analyses in the</w:t>
      </w:r>
      <w:r w:rsidRPr="00726D75">
        <w:t xml:space="preserve"> </w:t>
      </w:r>
      <w:r>
        <w:t>DCAR (</w:t>
      </w:r>
      <w:r w:rsidR="00226218" w:rsidRPr="00172FF2">
        <w:rPr>
          <w:szCs w:val="24"/>
        </w:rPr>
        <w:fldChar w:fldCharType="begin"/>
      </w:r>
      <w:r w:rsidR="00226218" w:rsidRPr="00172FF2">
        <w:rPr>
          <w:szCs w:val="24"/>
        </w:rPr>
        <w:instrText xml:space="preserve"> REF _Ref10808525 \h </w:instrText>
      </w:r>
      <w:r w:rsidR="00172FF2" w:rsidRPr="00172FF2">
        <w:rPr>
          <w:szCs w:val="24"/>
        </w:rPr>
        <w:instrText xml:space="preserve"> \* MERGEFORMAT </w:instrText>
      </w:r>
      <w:r w:rsidR="00226218" w:rsidRPr="00172FF2">
        <w:rPr>
          <w:szCs w:val="24"/>
        </w:rPr>
      </w:r>
      <w:r w:rsidR="00226218" w:rsidRPr="00172FF2">
        <w:rPr>
          <w:szCs w:val="24"/>
        </w:rPr>
        <w:fldChar w:fldCharType="separate"/>
      </w:r>
      <w:r w:rsidR="009D6016" w:rsidRPr="00172FF2">
        <w:rPr>
          <w:szCs w:val="24"/>
        </w:rPr>
        <w:t xml:space="preserve">Table </w:t>
      </w:r>
      <w:r w:rsidR="009D6016" w:rsidRPr="00172FF2">
        <w:rPr>
          <w:noProof/>
          <w:szCs w:val="24"/>
        </w:rPr>
        <w:t>15</w:t>
      </w:r>
      <w:r w:rsidR="00226218" w:rsidRPr="00172FF2">
        <w:rPr>
          <w:szCs w:val="24"/>
        </w:rPr>
        <w:fldChar w:fldCharType="end"/>
      </w:r>
      <w:r>
        <w:t xml:space="preserve"> and </w:t>
      </w:r>
      <w:r w:rsidR="00226218" w:rsidRPr="00172FF2">
        <w:rPr>
          <w:szCs w:val="24"/>
        </w:rPr>
        <w:fldChar w:fldCharType="begin"/>
      </w:r>
      <w:r w:rsidR="00226218" w:rsidRPr="00172FF2">
        <w:rPr>
          <w:szCs w:val="24"/>
        </w:rPr>
        <w:instrText xml:space="preserve"> REF _Ref37174080 \h </w:instrText>
      </w:r>
      <w:r w:rsidR="00172FF2" w:rsidRPr="00172FF2">
        <w:rPr>
          <w:szCs w:val="24"/>
        </w:rPr>
        <w:instrText xml:space="preserve"> \* MERGEFORMAT </w:instrText>
      </w:r>
      <w:r w:rsidR="00226218" w:rsidRPr="00172FF2">
        <w:rPr>
          <w:szCs w:val="24"/>
        </w:rPr>
      </w:r>
      <w:r w:rsidR="00226218" w:rsidRPr="00172FF2">
        <w:rPr>
          <w:szCs w:val="24"/>
        </w:rPr>
        <w:fldChar w:fldCharType="separate"/>
      </w:r>
      <w:r w:rsidR="009D6016" w:rsidRPr="00172FF2">
        <w:rPr>
          <w:szCs w:val="24"/>
        </w:rPr>
        <w:t xml:space="preserve">Figure </w:t>
      </w:r>
      <w:r w:rsidR="009D6016" w:rsidRPr="00172FF2">
        <w:rPr>
          <w:noProof/>
          <w:szCs w:val="24"/>
        </w:rPr>
        <w:t>5</w:t>
      </w:r>
      <w:r w:rsidR="00226218" w:rsidRPr="00172FF2">
        <w:rPr>
          <w:szCs w:val="24"/>
        </w:rPr>
        <w:fldChar w:fldCharType="end"/>
      </w:r>
      <w:r>
        <w:t>) suggests</w:t>
      </w:r>
      <w:r w:rsidRPr="00726D75">
        <w:t xml:space="preserve"> that the </w:t>
      </w:r>
      <w:r>
        <w:t>AQP4-Ab</w:t>
      </w:r>
      <w:r w:rsidRPr="00726D75">
        <w:t xml:space="preserve"> testing strategy </w:t>
      </w:r>
      <w:r>
        <w:t xml:space="preserve">remains </w:t>
      </w:r>
      <w:r w:rsidRPr="00726D75">
        <w:t>less costly and more effective (dominant</w:t>
      </w:r>
      <w:r>
        <w:t>)</w:t>
      </w:r>
      <w:r w:rsidRPr="00726D75">
        <w:t xml:space="preserve"> compared with no </w:t>
      </w:r>
      <w:r>
        <w:t>Ab</w:t>
      </w:r>
      <w:r w:rsidRPr="00726D75">
        <w:t xml:space="preserve"> testing, for </w:t>
      </w:r>
      <w:r>
        <w:t>alternative model inputs</w:t>
      </w:r>
      <w:r w:rsidRPr="00726D75">
        <w:t xml:space="preserve"> </w:t>
      </w:r>
      <w:r>
        <w:t xml:space="preserve">or parameters </w:t>
      </w:r>
      <w:r w:rsidRPr="00726D75">
        <w:t>assessed.</w:t>
      </w:r>
    </w:p>
    <w:p w14:paraId="0C1A3D07" w14:textId="4F1E0632" w:rsidR="001625E9" w:rsidRPr="00F4009F" w:rsidRDefault="00226218" w:rsidP="00F4009F">
      <w:pPr>
        <w:spacing w:before="240"/>
        <w:rPr>
          <w:rFonts w:ascii="Arial Narrow" w:hAnsi="Arial Narrow"/>
          <w:b/>
          <w:sz w:val="20"/>
        </w:rPr>
      </w:pPr>
      <w:bookmarkStart w:id="41" w:name="_Ref10808525"/>
      <w:bookmarkStart w:id="42" w:name="_Toc11240510"/>
      <w:bookmarkStart w:id="43" w:name="_Toc39580789"/>
      <w:r w:rsidRPr="00F4009F">
        <w:rPr>
          <w:rFonts w:ascii="Arial Narrow" w:hAnsi="Arial Narrow"/>
          <w:b/>
          <w:sz w:val="20"/>
        </w:rPr>
        <w:t xml:space="preserve">Table </w:t>
      </w:r>
      <w:r w:rsidR="00F4009F" w:rsidRPr="00F4009F">
        <w:rPr>
          <w:rFonts w:ascii="Arial Narrow" w:hAnsi="Arial Narrow"/>
          <w:b/>
          <w:sz w:val="20"/>
        </w:rPr>
        <w:fldChar w:fldCharType="begin"/>
      </w:r>
      <w:r w:rsidR="00F4009F" w:rsidRPr="00F4009F">
        <w:rPr>
          <w:rFonts w:ascii="Arial Narrow" w:hAnsi="Arial Narrow"/>
          <w:b/>
          <w:sz w:val="20"/>
        </w:rPr>
        <w:instrText xml:space="preserve"> SEQ Table \* ARABIC </w:instrText>
      </w:r>
      <w:r w:rsidR="00F4009F" w:rsidRPr="00F4009F">
        <w:rPr>
          <w:rFonts w:ascii="Arial Narrow" w:hAnsi="Arial Narrow"/>
          <w:b/>
          <w:sz w:val="20"/>
        </w:rPr>
        <w:fldChar w:fldCharType="separate"/>
      </w:r>
      <w:r w:rsidR="009D6016">
        <w:rPr>
          <w:rFonts w:ascii="Arial Narrow" w:hAnsi="Arial Narrow"/>
          <w:b/>
          <w:noProof/>
          <w:sz w:val="20"/>
        </w:rPr>
        <w:t>15</w:t>
      </w:r>
      <w:r w:rsidR="00F4009F" w:rsidRPr="00F4009F">
        <w:rPr>
          <w:rFonts w:ascii="Arial Narrow" w:hAnsi="Arial Narrow"/>
          <w:b/>
          <w:sz w:val="20"/>
        </w:rPr>
        <w:fldChar w:fldCharType="end"/>
      </w:r>
      <w:bookmarkEnd w:id="41"/>
      <w:r w:rsidR="001625E9" w:rsidRPr="00F4009F">
        <w:rPr>
          <w:rFonts w:ascii="Arial Narrow" w:hAnsi="Arial Narrow"/>
          <w:b/>
          <w:sz w:val="20"/>
        </w:rPr>
        <w:tab/>
        <w:t>Key drivers of the economic model</w:t>
      </w:r>
      <w:bookmarkEnd w:id="42"/>
      <w:bookmarkEnd w:id="43"/>
    </w:p>
    <w:tbl>
      <w:tblPr>
        <w:tblStyle w:val="TableGrid1"/>
        <w:tblW w:w="5000" w:type="pct"/>
        <w:tblLook w:val="04A0" w:firstRow="1" w:lastRow="0" w:firstColumn="1" w:lastColumn="0" w:noHBand="0" w:noVBand="1"/>
        <w:tblCaption w:val="Key drivers of the economic model"/>
        <w:tblDescription w:val="This table describes what factors and assumptions in the economic model affect the incremental cost-effectiveness to the greatest extent."/>
      </w:tblPr>
      <w:tblGrid>
        <w:gridCol w:w="2122"/>
        <w:gridCol w:w="2409"/>
        <w:gridCol w:w="4485"/>
      </w:tblGrid>
      <w:tr w:rsidR="00AE68EA" w:rsidRPr="0005059F" w14:paraId="576C725D" w14:textId="77777777" w:rsidTr="00F4009F">
        <w:trPr>
          <w:tblHeader/>
        </w:trPr>
        <w:tc>
          <w:tcPr>
            <w:tcW w:w="1177" w:type="pct"/>
          </w:tcPr>
          <w:p w14:paraId="65A3E98B" w14:textId="77777777" w:rsidR="00AE68EA" w:rsidRPr="00750DB2" w:rsidRDefault="00AE68EA" w:rsidP="00F4009F">
            <w:pPr>
              <w:pStyle w:val="TableText0"/>
              <w:spacing w:before="0" w:after="0"/>
              <w:rPr>
                <w:b/>
              </w:rPr>
            </w:pPr>
            <w:r w:rsidRPr="00750DB2">
              <w:rPr>
                <w:b/>
              </w:rPr>
              <w:t>Description</w:t>
            </w:r>
          </w:p>
        </w:tc>
        <w:tc>
          <w:tcPr>
            <w:tcW w:w="1336" w:type="pct"/>
          </w:tcPr>
          <w:p w14:paraId="5C435595" w14:textId="77777777" w:rsidR="00AE68EA" w:rsidRPr="00750DB2" w:rsidRDefault="00AE68EA" w:rsidP="00F4009F">
            <w:pPr>
              <w:pStyle w:val="TableText0"/>
              <w:spacing w:before="0" w:after="0"/>
              <w:rPr>
                <w:b/>
              </w:rPr>
            </w:pPr>
            <w:r w:rsidRPr="00750DB2">
              <w:rPr>
                <w:b/>
              </w:rPr>
              <w:t>Method/Value</w:t>
            </w:r>
          </w:p>
        </w:tc>
        <w:tc>
          <w:tcPr>
            <w:tcW w:w="2487" w:type="pct"/>
          </w:tcPr>
          <w:p w14:paraId="42A1E21E" w14:textId="77777777" w:rsidR="00AE68EA" w:rsidRPr="00750DB2" w:rsidRDefault="00AE68EA" w:rsidP="00F4009F">
            <w:pPr>
              <w:pStyle w:val="TableText0"/>
              <w:spacing w:before="0" w:after="0"/>
              <w:rPr>
                <w:b/>
              </w:rPr>
            </w:pPr>
            <w:r w:rsidRPr="00750DB2">
              <w:rPr>
                <w:b/>
              </w:rPr>
              <w:t>Impact</w:t>
            </w:r>
          </w:p>
        </w:tc>
      </w:tr>
      <w:tr w:rsidR="00AE68EA" w:rsidRPr="0005059F" w14:paraId="007BAB73" w14:textId="77777777" w:rsidTr="00F4009F">
        <w:tc>
          <w:tcPr>
            <w:tcW w:w="1177" w:type="pct"/>
          </w:tcPr>
          <w:p w14:paraId="766C2EFA" w14:textId="77777777" w:rsidR="00AE68EA" w:rsidRPr="0005059F" w:rsidRDefault="00AE68EA" w:rsidP="00F4009F">
            <w:pPr>
              <w:pStyle w:val="TableText0"/>
              <w:spacing w:before="0" w:after="0"/>
            </w:pPr>
            <w:r w:rsidRPr="00865946">
              <w:t xml:space="preserve">Proportion of patients receiving </w:t>
            </w:r>
            <w:r>
              <w:t>rituximab</w:t>
            </w:r>
          </w:p>
        </w:tc>
        <w:tc>
          <w:tcPr>
            <w:tcW w:w="1336" w:type="pct"/>
          </w:tcPr>
          <w:p w14:paraId="2F531AD1" w14:textId="77777777" w:rsidR="00AE68EA" w:rsidRPr="0005059F" w:rsidRDefault="00AE68EA" w:rsidP="00F4009F">
            <w:pPr>
              <w:pStyle w:val="TableText0"/>
              <w:spacing w:before="0" w:after="0"/>
            </w:pPr>
            <w:r>
              <w:t>Values changed from 20% to 80%</w:t>
            </w:r>
          </w:p>
        </w:tc>
        <w:tc>
          <w:tcPr>
            <w:tcW w:w="2487" w:type="pct"/>
          </w:tcPr>
          <w:p w14:paraId="6F03D127" w14:textId="77777777" w:rsidR="00AE68EA" w:rsidRPr="0005059F" w:rsidRDefault="00AE68EA" w:rsidP="00F4009F">
            <w:pPr>
              <w:pStyle w:val="TableText0"/>
              <w:spacing w:before="0" w:after="0"/>
            </w:pPr>
            <w:r>
              <w:t>Dominant across tested range. However, higher proportions of patients receiving rituximab increase the treatment costs in the intervention arm resulting in lower cost-savings.</w:t>
            </w:r>
          </w:p>
        </w:tc>
      </w:tr>
      <w:tr w:rsidR="00AE68EA" w:rsidRPr="0005059F" w14:paraId="461859E9" w14:textId="77777777" w:rsidTr="00F4009F">
        <w:tc>
          <w:tcPr>
            <w:tcW w:w="1177" w:type="pct"/>
          </w:tcPr>
          <w:p w14:paraId="236D0C02" w14:textId="77777777" w:rsidR="00AE68EA" w:rsidRPr="0005059F" w:rsidRDefault="00AE68EA" w:rsidP="00F4009F">
            <w:pPr>
              <w:pStyle w:val="TableText0"/>
              <w:spacing w:before="0" w:after="0"/>
            </w:pPr>
            <w:r w:rsidRPr="00865946">
              <w:t xml:space="preserve">Time horizon </w:t>
            </w:r>
            <w:r>
              <w:t>(base-case: 3.5 years, i.e. 14 quarters)</w:t>
            </w:r>
          </w:p>
        </w:tc>
        <w:tc>
          <w:tcPr>
            <w:tcW w:w="1336" w:type="pct"/>
          </w:tcPr>
          <w:p w14:paraId="2972692B" w14:textId="77777777" w:rsidR="00AE68EA" w:rsidRPr="0005059F" w:rsidRDefault="00AE68EA" w:rsidP="00F4009F">
            <w:pPr>
              <w:pStyle w:val="TableText0"/>
              <w:spacing w:before="0" w:after="0"/>
            </w:pPr>
            <w:r>
              <w:t>Values changed from 2 to 30 years (8 to 120 quarters)</w:t>
            </w:r>
          </w:p>
        </w:tc>
        <w:tc>
          <w:tcPr>
            <w:tcW w:w="2487" w:type="pct"/>
          </w:tcPr>
          <w:p w14:paraId="24CC20F0" w14:textId="77777777" w:rsidR="00AE68EA" w:rsidRPr="0005059F" w:rsidRDefault="00AE68EA" w:rsidP="00F4009F">
            <w:pPr>
              <w:pStyle w:val="TableText0"/>
              <w:spacing w:before="0" w:after="0"/>
            </w:pPr>
            <w:r>
              <w:t>Dominant across tested range.</w:t>
            </w:r>
          </w:p>
        </w:tc>
      </w:tr>
    </w:tbl>
    <w:p w14:paraId="2F3E231D" w14:textId="77777777" w:rsidR="001625E9" w:rsidRDefault="001625E9" w:rsidP="00F4009F">
      <w:pPr>
        <w:pStyle w:val="Tablenotes"/>
      </w:pPr>
      <w:r>
        <w:t>QALY = quality adjusted life-years</w:t>
      </w:r>
    </w:p>
    <w:p w14:paraId="7DD5DB0F" w14:textId="77777777" w:rsidR="001625E9" w:rsidRDefault="001625E9" w:rsidP="00F4009F">
      <w:pPr>
        <w:pStyle w:val="Tablenotes"/>
      </w:pPr>
      <w:r>
        <w:t>Source: Table 8, p30 of the DCAR</w:t>
      </w:r>
    </w:p>
    <w:p w14:paraId="1041D240" w14:textId="77777777" w:rsidR="001625E9" w:rsidRDefault="001625E9" w:rsidP="001625E9">
      <w:pPr>
        <w:keepNext/>
      </w:pPr>
      <w:r>
        <w:rPr>
          <w:noProof/>
        </w:rPr>
        <w:drawing>
          <wp:inline distT="0" distB="0" distL="0" distR="0" wp14:anchorId="73EF5B2B" wp14:editId="408986F8">
            <wp:extent cx="5687535" cy="3697357"/>
            <wp:effectExtent l="0" t="0" r="8890" b="0"/>
            <wp:docPr id="21" name="Picture 21" descr="Tornado sensitivity analyses diagram, base-case scenario" title="Figure 19 Tornado sensitivity analyses diagram, base-case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5638" cy="3702625"/>
                    </a:xfrm>
                    <a:prstGeom prst="rect">
                      <a:avLst/>
                    </a:prstGeom>
                    <a:noFill/>
                  </pic:spPr>
                </pic:pic>
              </a:graphicData>
            </a:graphic>
          </wp:inline>
        </w:drawing>
      </w:r>
    </w:p>
    <w:p w14:paraId="482BA835" w14:textId="0D4308BB" w:rsidR="001625E9" w:rsidRPr="00F4009F" w:rsidRDefault="00226218" w:rsidP="00F4009F">
      <w:pPr>
        <w:rPr>
          <w:rFonts w:ascii="Arial Narrow" w:hAnsi="Arial Narrow"/>
          <w:b/>
          <w:sz w:val="20"/>
        </w:rPr>
      </w:pPr>
      <w:bookmarkStart w:id="44" w:name="_Ref37174080"/>
      <w:bookmarkStart w:id="45" w:name="_Toc39580950"/>
      <w:r w:rsidRPr="00F4009F">
        <w:rPr>
          <w:rFonts w:ascii="Arial Narrow" w:hAnsi="Arial Narrow"/>
          <w:b/>
          <w:sz w:val="20"/>
        </w:rPr>
        <w:t xml:space="preserve">Figure </w:t>
      </w:r>
      <w:r w:rsidR="00F4009F" w:rsidRPr="00F4009F">
        <w:rPr>
          <w:rFonts w:ascii="Arial Narrow" w:hAnsi="Arial Narrow"/>
          <w:b/>
          <w:sz w:val="20"/>
        </w:rPr>
        <w:fldChar w:fldCharType="begin"/>
      </w:r>
      <w:r w:rsidR="00F4009F" w:rsidRPr="00F4009F">
        <w:rPr>
          <w:rFonts w:ascii="Arial Narrow" w:hAnsi="Arial Narrow"/>
          <w:b/>
          <w:sz w:val="20"/>
        </w:rPr>
        <w:instrText xml:space="preserve"> SEQ Figure \* ARABIC </w:instrText>
      </w:r>
      <w:r w:rsidR="00F4009F" w:rsidRPr="00F4009F">
        <w:rPr>
          <w:rFonts w:ascii="Arial Narrow" w:hAnsi="Arial Narrow"/>
          <w:b/>
          <w:sz w:val="20"/>
        </w:rPr>
        <w:fldChar w:fldCharType="separate"/>
      </w:r>
      <w:r w:rsidR="009D6016">
        <w:rPr>
          <w:rFonts w:ascii="Arial Narrow" w:hAnsi="Arial Narrow"/>
          <w:b/>
          <w:noProof/>
          <w:sz w:val="20"/>
        </w:rPr>
        <w:t>5</w:t>
      </w:r>
      <w:r w:rsidR="00F4009F" w:rsidRPr="00F4009F">
        <w:rPr>
          <w:rFonts w:ascii="Arial Narrow" w:hAnsi="Arial Narrow"/>
          <w:b/>
          <w:sz w:val="20"/>
        </w:rPr>
        <w:fldChar w:fldCharType="end"/>
      </w:r>
      <w:bookmarkEnd w:id="44"/>
      <w:r w:rsidR="001625E9" w:rsidRPr="00F4009F">
        <w:rPr>
          <w:rFonts w:ascii="Arial Narrow" w:hAnsi="Arial Narrow"/>
          <w:b/>
          <w:sz w:val="20"/>
        </w:rPr>
        <w:tab/>
        <w:t>Tornado sensitivity analyses diagram, base-case scenario</w:t>
      </w:r>
      <w:bookmarkEnd w:id="45"/>
    </w:p>
    <w:p w14:paraId="4DE0D39E" w14:textId="77777777" w:rsidR="001625E9" w:rsidRDefault="001625E9" w:rsidP="00F4009F">
      <w:pPr>
        <w:pStyle w:val="Tablenotes"/>
      </w:pPr>
      <w:r>
        <w:t>AQP4-Ab = aquaporin 4 antibody; ICER= incremental cost-effectiveness ratio; IST = immunosuppressive therapy; QALY = quality-adjusted life years</w:t>
      </w:r>
    </w:p>
    <w:p w14:paraId="7207E7F3" w14:textId="0664AAE2" w:rsidR="001625E9" w:rsidRDefault="001625E9" w:rsidP="00F4009F">
      <w:pPr>
        <w:pStyle w:val="Tablenotes"/>
      </w:pPr>
      <w:r>
        <w:t>Source: Figure 19, p151 of the DCAR</w:t>
      </w:r>
    </w:p>
    <w:p w14:paraId="073530F4" w14:textId="06FEABCE" w:rsidR="001625E9" w:rsidRDefault="001625E9" w:rsidP="001625E9">
      <w:r>
        <w:lastRenderedPageBreak/>
        <w:t xml:space="preserve">The DCAR </w:t>
      </w:r>
      <w:r w:rsidR="00AE68EA">
        <w:t xml:space="preserve">noted </w:t>
      </w:r>
      <w:r>
        <w:t xml:space="preserve">that a number of assumptions were required to develop the model and data inputs were uncertain, particularly given the historical nature of the comparison, </w:t>
      </w:r>
      <w:r w:rsidR="00AE68EA">
        <w:t xml:space="preserve">and that the limitations or any inaccuracies may exist in the model. The DCAR stated that, despite this, </w:t>
      </w:r>
      <w:r>
        <w:t xml:space="preserve">the fact that the sensitivity analyses consistently yielded dominant results (resource savings and health outcome benefits) for </w:t>
      </w:r>
      <w:r w:rsidR="0037230B">
        <w:t>antibody</w:t>
      </w:r>
      <w:r>
        <w:t xml:space="preserve"> testing</w:t>
      </w:r>
      <w:r w:rsidR="00311371">
        <w:t xml:space="preserve"> for NMOSD</w:t>
      </w:r>
      <w:r>
        <w:t xml:space="preserve"> compared with no testing, would suggest that it is unlikely that antibody testing for NMO/NMOSD would not be cost-effective in practice. These sensitivity analyses assumed a MS misdiagnosis rate in seropositive cases of 64.8%. </w:t>
      </w:r>
      <w:proofErr w:type="gramStart"/>
      <w:r w:rsidR="00AE68EA">
        <w:t>Therefore</w:t>
      </w:r>
      <w:proofErr w:type="gramEnd"/>
      <w:r w:rsidR="00AE68EA">
        <w:t xml:space="preserve"> ESC noted that</w:t>
      </w:r>
      <w:r>
        <w:t xml:space="preserve">, if the true rate of MS misdiagnosis is closer to the 20-35% range as per </w:t>
      </w:r>
      <w:r w:rsidR="00226218" w:rsidRPr="00172FF2">
        <w:rPr>
          <w:szCs w:val="24"/>
        </w:rPr>
        <w:fldChar w:fldCharType="begin"/>
      </w:r>
      <w:r w:rsidR="00226218" w:rsidRPr="00172FF2">
        <w:rPr>
          <w:szCs w:val="24"/>
        </w:rPr>
        <w:instrText xml:space="preserve"> REF _Ref50016685 \h </w:instrText>
      </w:r>
      <w:r w:rsidR="00172FF2" w:rsidRPr="00172FF2">
        <w:rPr>
          <w:szCs w:val="24"/>
        </w:rPr>
        <w:instrText xml:space="preserve"> \* MERGEFORMAT </w:instrText>
      </w:r>
      <w:r w:rsidR="00226218" w:rsidRPr="00172FF2">
        <w:rPr>
          <w:szCs w:val="24"/>
        </w:rPr>
      </w:r>
      <w:r w:rsidR="00226218" w:rsidRPr="00172FF2">
        <w:rPr>
          <w:szCs w:val="24"/>
        </w:rPr>
        <w:fldChar w:fldCharType="separate"/>
      </w:r>
      <w:r w:rsidR="009D6016" w:rsidRPr="00172FF2">
        <w:rPr>
          <w:szCs w:val="24"/>
        </w:rPr>
        <w:t xml:space="preserve">Table </w:t>
      </w:r>
      <w:r w:rsidR="009D6016" w:rsidRPr="00172FF2">
        <w:rPr>
          <w:noProof/>
          <w:szCs w:val="24"/>
        </w:rPr>
        <w:t>14</w:t>
      </w:r>
      <w:r w:rsidR="00226218" w:rsidRPr="00172FF2">
        <w:rPr>
          <w:szCs w:val="24"/>
        </w:rPr>
        <w:fldChar w:fldCharType="end"/>
      </w:r>
      <w:r>
        <w:t>, some of these results may be cost-n</w:t>
      </w:r>
      <w:r w:rsidR="00226218">
        <w:t>eutral or have a positive ICER.</w:t>
      </w:r>
    </w:p>
    <w:p w14:paraId="099AD091" w14:textId="431BE11B" w:rsidR="001625E9" w:rsidRDefault="001625E9" w:rsidP="00226218">
      <w:pPr>
        <w:spacing w:before="240"/>
      </w:pPr>
      <w:r>
        <w:t xml:space="preserve">In addition, the DCAR stated that </w:t>
      </w:r>
      <w:r w:rsidR="005B1713">
        <w:t xml:space="preserve">there were </w:t>
      </w:r>
      <w:r>
        <w:t xml:space="preserve">5% fewer relapses </w:t>
      </w:r>
      <w:r w:rsidR="005B1713">
        <w:t>in patients tested for antibodies compared to the no testing group</w:t>
      </w:r>
      <w:r>
        <w:t xml:space="preserve">. The DCAR reasoned </w:t>
      </w:r>
      <w:r w:rsidR="005B1713">
        <w:t>that the test may have facilitated</w:t>
      </w:r>
      <w:r>
        <w:t xml:space="preserve"> rapid diagnosis and appropriate treatment</w:t>
      </w:r>
      <w:r w:rsidR="000673BD">
        <w:t>.</w:t>
      </w:r>
      <w:r>
        <w:t xml:space="preserve"> This has quality of life benefits as well as cost offsets associated with fewer treatment requirements associated with relapse/progressed disease. The savings associated with less relapse/progressed disease outweigh the additional, relatively small, cost of testing.</w:t>
      </w:r>
    </w:p>
    <w:p w14:paraId="133FF10B" w14:textId="77777777" w:rsidR="00BC1364" w:rsidRPr="00F715D1" w:rsidRDefault="00BC1364" w:rsidP="00F715D1">
      <w:pPr>
        <w:pStyle w:val="Heading1"/>
      </w:pPr>
      <w:r w:rsidRPr="00F715D1">
        <w:t>Financial/budgetary impacts</w:t>
      </w:r>
    </w:p>
    <w:p w14:paraId="511ACB0F" w14:textId="0EC60B38" w:rsidR="00510359" w:rsidRDefault="00510359" w:rsidP="00510359">
      <w:r>
        <w:t xml:space="preserve">The DCAR stated that </w:t>
      </w:r>
      <w:r w:rsidRPr="00B35E47">
        <w:t xml:space="preserve">NMOSD antibody (AQP4-Ab and MOG-Ab) testing is currently performed in Australia, and has been funded under MBS items 71119 or 71165 for more than 10 years. Therefore, a market-based approach </w:t>
      </w:r>
      <w:proofErr w:type="gramStart"/>
      <w:r w:rsidR="00E87E72">
        <w:t>wa</w:t>
      </w:r>
      <w:r w:rsidRPr="00B35E47">
        <w:t>s used</w:t>
      </w:r>
      <w:proofErr w:type="gramEnd"/>
      <w:r w:rsidRPr="00B35E47">
        <w:t xml:space="preserve"> to estimate the financial implications of a potential listing of NMOSD antibody testing on the </w:t>
      </w:r>
      <w:r w:rsidRPr="00FC0F62">
        <w:t>MBS</w:t>
      </w:r>
      <w:r>
        <w:t xml:space="preserve"> (</w:t>
      </w:r>
      <w:r w:rsidR="00226218" w:rsidRPr="00172FF2">
        <w:rPr>
          <w:szCs w:val="24"/>
        </w:rPr>
        <w:fldChar w:fldCharType="begin"/>
      </w:r>
      <w:r w:rsidR="00226218" w:rsidRPr="00172FF2">
        <w:rPr>
          <w:szCs w:val="24"/>
        </w:rPr>
        <w:instrText xml:space="preserve"> REF _Ref50016871 \h </w:instrText>
      </w:r>
      <w:r w:rsidR="00172FF2" w:rsidRPr="00172FF2">
        <w:rPr>
          <w:szCs w:val="24"/>
        </w:rPr>
        <w:instrText xml:space="preserve"> \* MERGEFORMAT </w:instrText>
      </w:r>
      <w:r w:rsidR="00226218" w:rsidRPr="00172FF2">
        <w:rPr>
          <w:szCs w:val="24"/>
        </w:rPr>
      </w:r>
      <w:r w:rsidR="00226218" w:rsidRPr="00172FF2">
        <w:rPr>
          <w:szCs w:val="24"/>
        </w:rPr>
        <w:fldChar w:fldCharType="separate"/>
      </w:r>
      <w:r w:rsidR="009D6016" w:rsidRPr="00172FF2">
        <w:rPr>
          <w:szCs w:val="24"/>
        </w:rPr>
        <w:t xml:space="preserve">Table </w:t>
      </w:r>
      <w:r w:rsidR="009D6016" w:rsidRPr="00172FF2">
        <w:rPr>
          <w:noProof/>
          <w:szCs w:val="24"/>
        </w:rPr>
        <w:t>16</w:t>
      </w:r>
      <w:r w:rsidR="00226218" w:rsidRPr="00172FF2">
        <w:rPr>
          <w:szCs w:val="24"/>
        </w:rPr>
        <w:fldChar w:fldCharType="end"/>
      </w:r>
      <w:r>
        <w:t>)</w:t>
      </w:r>
      <w:r w:rsidR="00226218">
        <w:t>.</w:t>
      </w:r>
    </w:p>
    <w:p w14:paraId="6B7471A8" w14:textId="58A4D451" w:rsidR="00B973BF" w:rsidRDefault="00510359" w:rsidP="00226218">
      <w:pPr>
        <w:spacing w:before="240"/>
      </w:pPr>
      <w:r>
        <w:t>The DCAR stated that m</w:t>
      </w:r>
      <w:r w:rsidRPr="00FC0F62">
        <w:t xml:space="preserve">arket data suggested that a growth rate of 6–18% per annum has been observed in the number of AQP4-Ab tests requested in the last two to three years. The base case analysis assumes that the MBS listing of </w:t>
      </w:r>
      <w:r w:rsidR="005D1BBA">
        <w:t xml:space="preserve">specified </w:t>
      </w:r>
      <w:r w:rsidR="00EE2326">
        <w:t xml:space="preserve">antibody testing for </w:t>
      </w:r>
      <w:r w:rsidRPr="00FC0F62">
        <w:t>NMOSD would increase the number of patients tested for AQP4 ± MOG-Ab tests by 20% in the first year of listing (due to increased access, additional sequential MOG-Ab testing and lower patient co-payments), and then an ongoing growth rate of 15% p.a. is assumed over the next four years of listing.</w:t>
      </w:r>
      <w:bookmarkStart w:id="46" w:name="_Ref36048889"/>
      <w:bookmarkStart w:id="47" w:name="_Toc39580790"/>
    </w:p>
    <w:p w14:paraId="6D3918E3" w14:textId="48AA4F58" w:rsidR="00B973BF" w:rsidRPr="00D81991" w:rsidRDefault="00226218" w:rsidP="00D81991">
      <w:pPr>
        <w:spacing w:before="240"/>
        <w:rPr>
          <w:rFonts w:ascii="Arial Narrow" w:hAnsi="Arial Narrow"/>
          <w:b/>
          <w:sz w:val="20"/>
        </w:rPr>
      </w:pPr>
      <w:bookmarkStart w:id="48" w:name="_Ref50016871"/>
      <w:r w:rsidRPr="00D81991">
        <w:rPr>
          <w:rFonts w:ascii="Arial Narrow" w:hAnsi="Arial Narrow"/>
          <w:b/>
          <w:sz w:val="20"/>
        </w:rPr>
        <w:t xml:space="preserve">Table </w:t>
      </w:r>
      <w:r w:rsidRPr="00D81991">
        <w:rPr>
          <w:rFonts w:ascii="Arial Narrow" w:hAnsi="Arial Narrow"/>
          <w:b/>
          <w:sz w:val="20"/>
        </w:rPr>
        <w:fldChar w:fldCharType="begin"/>
      </w:r>
      <w:r w:rsidRPr="00D81991">
        <w:rPr>
          <w:rFonts w:ascii="Arial Narrow" w:hAnsi="Arial Narrow"/>
          <w:b/>
          <w:sz w:val="20"/>
        </w:rPr>
        <w:instrText xml:space="preserve"> SEQ Table \* ARABIC </w:instrText>
      </w:r>
      <w:r w:rsidRPr="00D81991">
        <w:rPr>
          <w:rFonts w:ascii="Arial Narrow" w:hAnsi="Arial Narrow"/>
          <w:b/>
          <w:sz w:val="20"/>
        </w:rPr>
        <w:fldChar w:fldCharType="separate"/>
      </w:r>
      <w:r w:rsidR="009D6016">
        <w:rPr>
          <w:rFonts w:ascii="Arial Narrow" w:hAnsi="Arial Narrow"/>
          <w:b/>
          <w:noProof/>
          <w:sz w:val="20"/>
        </w:rPr>
        <w:t>16</w:t>
      </w:r>
      <w:r w:rsidRPr="00D81991">
        <w:rPr>
          <w:rFonts w:ascii="Arial Narrow" w:hAnsi="Arial Narrow"/>
          <w:b/>
          <w:sz w:val="20"/>
        </w:rPr>
        <w:fldChar w:fldCharType="end"/>
      </w:r>
      <w:bookmarkEnd w:id="48"/>
      <w:r w:rsidR="00B973BF" w:rsidRPr="00D81991">
        <w:rPr>
          <w:rFonts w:ascii="Arial Narrow" w:hAnsi="Arial Narrow"/>
          <w:b/>
          <w:sz w:val="20"/>
        </w:rPr>
        <w:tab/>
        <w:t>Total costs to the MBS associated with antibody testing for NMOSD (applicant proposed fee: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Total costs to the MBS associated with NMOSD-Ab testing"/>
        <w:tblDescription w:val="This table provides a summary of the financial impact of the proposed new medical service over the next five years."/>
      </w:tblPr>
      <w:tblGrid>
        <w:gridCol w:w="2156"/>
        <w:gridCol w:w="1328"/>
        <w:gridCol w:w="1328"/>
        <w:gridCol w:w="1328"/>
        <w:gridCol w:w="1328"/>
        <w:gridCol w:w="1326"/>
      </w:tblGrid>
      <w:tr w:rsidR="00B973BF" w:rsidRPr="00B35E47" w14:paraId="76EAA4C2" w14:textId="77777777" w:rsidTr="009B2EDC">
        <w:trPr>
          <w:trHeight w:val="300"/>
          <w:tblHeader/>
        </w:trPr>
        <w:tc>
          <w:tcPr>
            <w:tcW w:w="2156" w:type="dxa"/>
            <w:tcBorders>
              <w:bottom w:val="single" w:sz="4" w:space="0" w:color="auto"/>
            </w:tcBorders>
            <w:shd w:val="clear" w:color="auto" w:fill="auto"/>
            <w:vAlign w:val="center"/>
          </w:tcPr>
          <w:p w14:paraId="427CBB2B" w14:textId="77777777" w:rsidR="00B973BF" w:rsidRPr="00B35E47" w:rsidRDefault="00B973BF" w:rsidP="009B2EDC">
            <w:pPr>
              <w:keepNext/>
              <w:spacing w:before="40" w:after="40"/>
              <w:jc w:val="center"/>
              <w:rPr>
                <w:rFonts w:ascii="Arial Narrow" w:hAnsi="Arial Narrow"/>
                <w:b/>
                <w:sz w:val="20"/>
                <w:lang w:eastAsia="en-US"/>
              </w:rPr>
            </w:pPr>
            <w:r w:rsidRPr="00B35E47">
              <w:rPr>
                <w:rFonts w:ascii="Arial Narrow" w:hAnsi="Arial Narrow"/>
                <w:b/>
                <w:color w:val="FFFFFF" w:themeColor="background1"/>
                <w:sz w:val="20"/>
                <w:lang w:eastAsia="en-US"/>
              </w:rPr>
              <w:t>-</w:t>
            </w:r>
          </w:p>
        </w:tc>
        <w:tc>
          <w:tcPr>
            <w:tcW w:w="1328" w:type="dxa"/>
            <w:tcBorders>
              <w:bottom w:val="single" w:sz="4" w:space="0" w:color="auto"/>
            </w:tcBorders>
            <w:vAlign w:val="center"/>
          </w:tcPr>
          <w:p w14:paraId="46254074" w14:textId="77777777" w:rsidR="00B973BF" w:rsidRPr="00B35E47" w:rsidRDefault="00B973BF" w:rsidP="009B2EDC">
            <w:pPr>
              <w:keepNext/>
              <w:spacing w:before="40" w:after="40"/>
              <w:jc w:val="center"/>
              <w:rPr>
                <w:rFonts w:ascii="Arial Narrow" w:hAnsi="Arial Narrow"/>
                <w:b/>
                <w:i/>
                <w:sz w:val="20"/>
                <w:lang w:eastAsia="en-US"/>
              </w:rPr>
            </w:pPr>
            <w:r w:rsidRPr="00B35E47">
              <w:rPr>
                <w:rFonts w:ascii="Arial Narrow" w:hAnsi="Arial Narrow"/>
                <w:b/>
                <w:sz w:val="20"/>
                <w:lang w:eastAsia="en-US"/>
              </w:rPr>
              <w:t>2020–21</w:t>
            </w:r>
          </w:p>
        </w:tc>
        <w:tc>
          <w:tcPr>
            <w:tcW w:w="1328" w:type="dxa"/>
            <w:tcBorders>
              <w:bottom w:val="single" w:sz="4" w:space="0" w:color="auto"/>
            </w:tcBorders>
            <w:shd w:val="clear" w:color="auto" w:fill="auto"/>
            <w:vAlign w:val="center"/>
          </w:tcPr>
          <w:p w14:paraId="1E268832" w14:textId="77777777" w:rsidR="00B973BF" w:rsidRPr="00B35E47" w:rsidRDefault="00B973BF" w:rsidP="009B2EDC">
            <w:pPr>
              <w:keepNext/>
              <w:spacing w:before="40" w:after="40"/>
              <w:jc w:val="center"/>
              <w:rPr>
                <w:rFonts w:ascii="Arial Narrow" w:hAnsi="Arial Narrow"/>
                <w:b/>
                <w:i/>
                <w:sz w:val="20"/>
                <w:lang w:eastAsia="en-US"/>
              </w:rPr>
            </w:pPr>
            <w:r w:rsidRPr="00B35E47">
              <w:rPr>
                <w:rFonts w:ascii="Arial Narrow" w:hAnsi="Arial Narrow"/>
                <w:b/>
                <w:sz w:val="20"/>
                <w:lang w:eastAsia="en-US"/>
              </w:rPr>
              <w:t>2021–22</w:t>
            </w:r>
          </w:p>
        </w:tc>
        <w:tc>
          <w:tcPr>
            <w:tcW w:w="1328" w:type="dxa"/>
            <w:tcBorders>
              <w:bottom w:val="single" w:sz="4" w:space="0" w:color="auto"/>
            </w:tcBorders>
            <w:shd w:val="clear" w:color="auto" w:fill="auto"/>
            <w:vAlign w:val="center"/>
          </w:tcPr>
          <w:p w14:paraId="4743A8C6" w14:textId="77777777" w:rsidR="00B973BF" w:rsidRPr="00B35E47" w:rsidRDefault="00B973BF" w:rsidP="009B2EDC">
            <w:pPr>
              <w:keepNext/>
              <w:spacing w:before="40" w:after="40"/>
              <w:jc w:val="center"/>
              <w:rPr>
                <w:rFonts w:ascii="Arial Narrow" w:hAnsi="Arial Narrow"/>
                <w:b/>
                <w:i/>
                <w:sz w:val="20"/>
                <w:lang w:eastAsia="en-US"/>
              </w:rPr>
            </w:pPr>
            <w:r w:rsidRPr="00B35E47">
              <w:rPr>
                <w:rFonts w:ascii="Arial Narrow" w:hAnsi="Arial Narrow"/>
                <w:b/>
                <w:sz w:val="20"/>
                <w:lang w:eastAsia="en-US"/>
              </w:rPr>
              <w:t>2022–23</w:t>
            </w:r>
          </w:p>
        </w:tc>
        <w:tc>
          <w:tcPr>
            <w:tcW w:w="1328" w:type="dxa"/>
            <w:tcBorders>
              <w:bottom w:val="single" w:sz="4" w:space="0" w:color="auto"/>
            </w:tcBorders>
            <w:shd w:val="clear" w:color="auto" w:fill="auto"/>
            <w:vAlign w:val="center"/>
          </w:tcPr>
          <w:p w14:paraId="09AEA021" w14:textId="77777777" w:rsidR="00B973BF" w:rsidRPr="00B35E47" w:rsidRDefault="00B973BF" w:rsidP="009B2EDC">
            <w:pPr>
              <w:keepNext/>
              <w:spacing w:before="40" w:after="40"/>
              <w:jc w:val="center"/>
              <w:rPr>
                <w:rFonts w:ascii="Arial Narrow" w:hAnsi="Arial Narrow"/>
                <w:b/>
                <w:i/>
                <w:sz w:val="20"/>
                <w:lang w:eastAsia="en-US"/>
              </w:rPr>
            </w:pPr>
            <w:r w:rsidRPr="00B35E47">
              <w:rPr>
                <w:rFonts w:ascii="Arial Narrow" w:hAnsi="Arial Narrow"/>
                <w:b/>
                <w:sz w:val="20"/>
                <w:lang w:eastAsia="en-US"/>
              </w:rPr>
              <w:t>2023–24</w:t>
            </w:r>
          </w:p>
        </w:tc>
        <w:tc>
          <w:tcPr>
            <w:tcW w:w="1326" w:type="dxa"/>
            <w:tcBorders>
              <w:bottom w:val="single" w:sz="4" w:space="0" w:color="auto"/>
            </w:tcBorders>
            <w:shd w:val="clear" w:color="auto" w:fill="auto"/>
            <w:vAlign w:val="center"/>
          </w:tcPr>
          <w:p w14:paraId="0B41D08F" w14:textId="77777777" w:rsidR="00B973BF" w:rsidRPr="00B35E47" w:rsidRDefault="00B973BF" w:rsidP="009B2EDC">
            <w:pPr>
              <w:keepNext/>
              <w:spacing w:before="40" w:after="40"/>
              <w:jc w:val="center"/>
              <w:rPr>
                <w:rFonts w:ascii="Arial Narrow" w:hAnsi="Arial Narrow"/>
                <w:b/>
                <w:i/>
                <w:sz w:val="20"/>
                <w:lang w:eastAsia="en-US"/>
              </w:rPr>
            </w:pPr>
            <w:r w:rsidRPr="00B35E47">
              <w:rPr>
                <w:rFonts w:ascii="Arial Narrow" w:hAnsi="Arial Narrow"/>
                <w:b/>
                <w:sz w:val="20"/>
                <w:lang w:eastAsia="en-US"/>
              </w:rPr>
              <w:t>2024–25</w:t>
            </w:r>
          </w:p>
        </w:tc>
      </w:tr>
      <w:tr w:rsidR="00B973BF" w:rsidRPr="00B35E47" w14:paraId="6E7E793F" w14:textId="77777777" w:rsidTr="009B2EDC">
        <w:trPr>
          <w:trHeight w:val="300"/>
        </w:trPr>
        <w:tc>
          <w:tcPr>
            <w:tcW w:w="2156" w:type="dxa"/>
            <w:tcBorders>
              <w:bottom w:val="single" w:sz="4" w:space="0" w:color="auto"/>
              <w:right w:val="nil"/>
            </w:tcBorders>
            <w:shd w:val="clear" w:color="auto" w:fill="auto"/>
          </w:tcPr>
          <w:p w14:paraId="22BFAA21" w14:textId="77777777" w:rsidR="00B973BF" w:rsidRPr="00B35E47" w:rsidRDefault="00B973BF" w:rsidP="009B2EDC">
            <w:pPr>
              <w:spacing w:before="40" w:after="40"/>
              <w:contextualSpacing/>
              <w:rPr>
                <w:rFonts w:ascii="Arial Narrow" w:hAnsi="Arial Narrow"/>
                <w:b/>
                <w:sz w:val="20"/>
                <w:highlight w:val="cyan"/>
                <w:lang w:eastAsia="en-US"/>
              </w:rPr>
            </w:pPr>
            <w:r w:rsidRPr="00B35E47">
              <w:rPr>
                <w:rFonts w:ascii="Arial Narrow" w:hAnsi="Arial Narrow"/>
                <w:b/>
                <w:sz w:val="20"/>
                <w:lang w:eastAsia="en-US"/>
              </w:rPr>
              <w:t>Proposed test</w:t>
            </w:r>
          </w:p>
        </w:tc>
        <w:tc>
          <w:tcPr>
            <w:tcW w:w="1328" w:type="dxa"/>
            <w:tcBorders>
              <w:left w:val="nil"/>
              <w:bottom w:val="single" w:sz="4" w:space="0" w:color="auto"/>
              <w:right w:val="nil"/>
            </w:tcBorders>
          </w:tcPr>
          <w:p w14:paraId="2DEE6D03" w14:textId="77777777" w:rsidR="00B973BF" w:rsidRPr="00B35E47" w:rsidRDefault="00B973BF" w:rsidP="009B2EDC">
            <w:pPr>
              <w:spacing w:before="40" w:after="40"/>
              <w:contextualSpacing/>
              <w:rPr>
                <w:rFonts w:ascii="Arial Narrow" w:hAnsi="Arial Narrow"/>
                <w:b/>
                <w:color w:val="FFFFFF" w:themeColor="background1"/>
                <w:sz w:val="20"/>
                <w:lang w:eastAsia="en-US"/>
              </w:rPr>
            </w:pPr>
          </w:p>
        </w:tc>
        <w:tc>
          <w:tcPr>
            <w:tcW w:w="1328" w:type="dxa"/>
            <w:tcBorders>
              <w:left w:val="nil"/>
              <w:bottom w:val="single" w:sz="4" w:space="0" w:color="auto"/>
              <w:right w:val="nil"/>
            </w:tcBorders>
            <w:shd w:val="clear" w:color="auto" w:fill="auto"/>
          </w:tcPr>
          <w:p w14:paraId="2ED8C855" w14:textId="77777777" w:rsidR="00B973BF" w:rsidRPr="00B35E47" w:rsidRDefault="00B973BF" w:rsidP="009B2EDC">
            <w:pPr>
              <w:spacing w:before="40" w:after="40"/>
              <w:contextualSpacing/>
              <w:rPr>
                <w:rFonts w:ascii="Arial Narrow" w:hAnsi="Arial Narrow"/>
                <w:b/>
                <w:color w:val="FFFFFF" w:themeColor="background1"/>
                <w:sz w:val="20"/>
                <w:lang w:eastAsia="en-US"/>
              </w:rPr>
            </w:pPr>
          </w:p>
        </w:tc>
        <w:tc>
          <w:tcPr>
            <w:tcW w:w="1328" w:type="dxa"/>
            <w:tcBorders>
              <w:left w:val="nil"/>
              <w:bottom w:val="single" w:sz="4" w:space="0" w:color="auto"/>
              <w:right w:val="nil"/>
            </w:tcBorders>
            <w:shd w:val="clear" w:color="auto" w:fill="auto"/>
          </w:tcPr>
          <w:p w14:paraId="4D8A4037" w14:textId="77777777" w:rsidR="00B973BF" w:rsidRPr="00B35E47" w:rsidRDefault="00B973BF" w:rsidP="009B2EDC">
            <w:pPr>
              <w:spacing w:before="40" w:after="40"/>
              <w:contextualSpacing/>
              <w:rPr>
                <w:rFonts w:ascii="Arial Narrow" w:hAnsi="Arial Narrow"/>
                <w:b/>
                <w:color w:val="FFFFFF" w:themeColor="background1"/>
                <w:sz w:val="20"/>
                <w:lang w:eastAsia="en-US"/>
              </w:rPr>
            </w:pPr>
          </w:p>
        </w:tc>
        <w:tc>
          <w:tcPr>
            <w:tcW w:w="1328" w:type="dxa"/>
            <w:tcBorders>
              <w:left w:val="nil"/>
              <w:bottom w:val="single" w:sz="4" w:space="0" w:color="auto"/>
              <w:right w:val="nil"/>
            </w:tcBorders>
            <w:shd w:val="clear" w:color="auto" w:fill="auto"/>
          </w:tcPr>
          <w:p w14:paraId="4BCE67EE" w14:textId="77777777" w:rsidR="00B973BF" w:rsidRPr="00B35E47" w:rsidRDefault="00B973BF" w:rsidP="009B2EDC">
            <w:pPr>
              <w:spacing w:before="40" w:after="40"/>
              <w:contextualSpacing/>
              <w:rPr>
                <w:rFonts w:ascii="Arial Narrow" w:hAnsi="Arial Narrow"/>
                <w:b/>
                <w:color w:val="FFFFFF" w:themeColor="background1"/>
                <w:sz w:val="20"/>
                <w:lang w:eastAsia="en-US"/>
              </w:rPr>
            </w:pPr>
          </w:p>
        </w:tc>
        <w:tc>
          <w:tcPr>
            <w:tcW w:w="1326" w:type="dxa"/>
            <w:tcBorders>
              <w:left w:val="nil"/>
              <w:bottom w:val="single" w:sz="4" w:space="0" w:color="auto"/>
              <w:right w:val="single" w:sz="4" w:space="0" w:color="auto"/>
            </w:tcBorders>
            <w:shd w:val="clear" w:color="auto" w:fill="auto"/>
          </w:tcPr>
          <w:p w14:paraId="4875E928" w14:textId="77777777" w:rsidR="00B973BF" w:rsidRPr="00B35E47" w:rsidRDefault="00B973BF" w:rsidP="009B2EDC">
            <w:pPr>
              <w:spacing w:before="40" w:after="40"/>
              <w:contextualSpacing/>
              <w:rPr>
                <w:rFonts w:ascii="Arial Narrow" w:hAnsi="Arial Narrow"/>
                <w:b/>
                <w:color w:val="FFFFFF" w:themeColor="background1"/>
                <w:sz w:val="20"/>
                <w:lang w:eastAsia="en-US"/>
              </w:rPr>
            </w:pPr>
          </w:p>
        </w:tc>
      </w:tr>
      <w:tr w:rsidR="00B973BF" w:rsidRPr="00B35E47" w14:paraId="0188E357" w14:textId="77777777" w:rsidTr="009B2EDC">
        <w:trPr>
          <w:trHeight w:val="300"/>
        </w:trPr>
        <w:tc>
          <w:tcPr>
            <w:tcW w:w="2156" w:type="dxa"/>
            <w:tcBorders>
              <w:right w:val="single" w:sz="4" w:space="0" w:color="auto"/>
            </w:tcBorders>
            <w:shd w:val="clear" w:color="auto" w:fill="auto"/>
          </w:tcPr>
          <w:p w14:paraId="04FE5E4D" w14:textId="77777777" w:rsidR="00B973BF" w:rsidRPr="00B35E47" w:rsidRDefault="00B973BF" w:rsidP="009B2EDC">
            <w:pPr>
              <w:spacing w:before="40" w:after="40"/>
              <w:contextualSpacing/>
              <w:rPr>
                <w:rFonts w:ascii="Arial Narrow" w:hAnsi="Arial Narrow"/>
                <w:sz w:val="20"/>
                <w:highlight w:val="cyan"/>
                <w:lang w:eastAsia="en-US"/>
              </w:rPr>
            </w:pPr>
            <w:r w:rsidRPr="00B35E47">
              <w:rPr>
                <w:rFonts w:ascii="Arial Narrow" w:hAnsi="Arial Narrow"/>
                <w:sz w:val="20"/>
                <w:lang w:eastAsia="en-US"/>
              </w:rPr>
              <w:t>Number of services</w:t>
            </w:r>
          </w:p>
        </w:tc>
        <w:tc>
          <w:tcPr>
            <w:tcW w:w="1328" w:type="dxa"/>
            <w:tcBorders>
              <w:left w:val="single" w:sz="4" w:space="0" w:color="auto"/>
              <w:right w:val="single" w:sz="4" w:space="0" w:color="auto"/>
            </w:tcBorders>
            <w:vAlign w:val="center"/>
          </w:tcPr>
          <w:p w14:paraId="2D745F8E"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sz w:val="20"/>
                <w:lang w:eastAsia="en-US"/>
              </w:rPr>
              <w:t>10,122</w:t>
            </w:r>
          </w:p>
        </w:tc>
        <w:tc>
          <w:tcPr>
            <w:tcW w:w="1328" w:type="dxa"/>
            <w:tcBorders>
              <w:left w:val="single" w:sz="4" w:space="0" w:color="auto"/>
              <w:right w:val="single" w:sz="4" w:space="0" w:color="auto"/>
            </w:tcBorders>
            <w:shd w:val="clear" w:color="auto" w:fill="auto"/>
            <w:vAlign w:val="center"/>
          </w:tcPr>
          <w:p w14:paraId="64828B2C"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sz w:val="20"/>
                <w:lang w:eastAsia="en-US"/>
              </w:rPr>
              <w:t>11,641</w:t>
            </w:r>
          </w:p>
        </w:tc>
        <w:tc>
          <w:tcPr>
            <w:tcW w:w="1328" w:type="dxa"/>
            <w:tcBorders>
              <w:left w:val="single" w:sz="4" w:space="0" w:color="auto"/>
              <w:right w:val="single" w:sz="4" w:space="0" w:color="auto"/>
            </w:tcBorders>
            <w:shd w:val="clear" w:color="auto" w:fill="auto"/>
            <w:vAlign w:val="center"/>
          </w:tcPr>
          <w:p w14:paraId="7F2206D9"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sz w:val="20"/>
                <w:lang w:eastAsia="en-US"/>
              </w:rPr>
              <w:t>13,38</w:t>
            </w:r>
            <w:r>
              <w:rPr>
                <w:rFonts w:ascii="Arial Narrow" w:hAnsi="Arial Narrow"/>
                <w:sz w:val="20"/>
                <w:lang w:eastAsia="en-US"/>
              </w:rPr>
              <w:t>7</w:t>
            </w:r>
          </w:p>
        </w:tc>
        <w:tc>
          <w:tcPr>
            <w:tcW w:w="1328" w:type="dxa"/>
            <w:tcBorders>
              <w:left w:val="single" w:sz="4" w:space="0" w:color="auto"/>
              <w:right w:val="single" w:sz="4" w:space="0" w:color="auto"/>
            </w:tcBorders>
            <w:shd w:val="clear" w:color="auto" w:fill="auto"/>
            <w:vAlign w:val="center"/>
          </w:tcPr>
          <w:p w14:paraId="576DBA4D" w14:textId="5710817D"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sz w:val="20"/>
                <w:lang w:eastAsia="en-US"/>
              </w:rPr>
              <w:t>15,39</w:t>
            </w:r>
            <w:r w:rsidR="00A27FD7">
              <w:rPr>
                <w:rFonts w:ascii="Arial Narrow" w:hAnsi="Arial Narrow"/>
                <w:sz w:val="20"/>
                <w:lang w:eastAsia="en-US"/>
              </w:rPr>
              <w:t>4</w:t>
            </w:r>
          </w:p>
        </w:tc>
        <w:tc>
          <w:tcPr>
            <w:tcW w:w="1326" w:type="dxa"/>
            <w:tcBorders>
              <w:left w:val="single" w:sz="4" w:space="0" w:color="auto"/>
              <w:right w:val="single" w:sz="4" w:space="0" w:color="auto"/>
            </w:tcBorders>
            <w:shd w:val="clear" w:color="auto" w:fill="auto"/>
            <w:vAlign w:val="center"/>
          </w:tcPr>
          <w:p w14:paraId="27910566"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sz w:val="20"/>
                <w:lang w:eastAsia="en-US"/>
              </w:rPr>
              <w:t>17,704</w:t>
            </w:r>
          </w:p>
        </w:tc>
      </w:tr>
      <w:tr w:rsidR="00B973BF" w:rsidRPr="00B35E47" w14:paraId="0D292104" w14:textId="77777777" w:rsidTr="009B2EDC">
        <w:trPr>
          <w:trHeight w:val="300"/>
        </w:trPr>
        <w:tc>
          <w:tcPr>
            <w:tcW w:w="2156" w:type="dxa"/>
            <w:tcBorders>
              <w:right w:val="single" w:sz="4" w:space="0" w:color="auto"/>
            </w:tcBorders>
            <w:shd w:val="clear" w:color="auto" w:fill="auto"/>
          </w:tcPr>
          <w:p w14:paraId="7B862671" w14:textId="77777777" w:rsidR="00B973BF" w:rsidRPr="00B35E47" w:rsidRDefault="00B973BF" w:rsidP="009B2EDC">
            <w:pPr>
              <w:spacing w:before="40" w:after="40"/>
              <w:contextualSpacing/>
              <w:rPr>
                <w:rFonts w:ascii="Arial Narrow" w:hAnsi="Arial Narrow"/>
                <w:sz w:val="20"/>
                <w:highlight w:val="cyan"/>
                <w:lang w:eastAsia="en-US"/>
              </w:rPr>
            </w:pPr>
            <w:r w:rsidRPr="00B35E47">
              <w:rPr>
                <w:rFonts w:ascii="Arial Narrow" w:hAnsi="Arial Narrow"/>
                <w:sz w:val="20"/>
                <w:lang w:eastAsia="en-US"/>
              </w:rPr>
              <w:t>Cost to the MBS</w:t>
            </w:r>
          </w:p>
        </w:tc>
        <w:tc>
          <w:tcPr>
            <w:tcW w:w="1328" w:type="dxa"/>
            <w:tcBorders>
              <w:left w:val="single" w:sz="4" w:space="0" w:color="auto"/>
              <w:right w:val="single" w:sz="4" w:space="0" w:color="auto"/>
            </w:tcBorders>
            <w:vAlign w:val="bottom"/>
          </w:tcPr>
          <w:p w14:paraId="647DB2D6"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Pr>
                <w:rFonts w:ascii="Arial Narrow" w:hAnsi="Arial Narrow" w:cs="Calibri"/>
                <w:color w:val="000000"/>
                <w:sz w:val="20"/>
              </w:rPr>
              <w:t>$428,175</w:t>
            </w:r>
          </w:p>
        </w:tc>
        <w:tc>
          <w:tcPr>
            <w:tcW w:w="1328" w:type="dxa"/>
            <w:tcBorders>
              <w:left w:val="single" w:sz="4" w:space="0" w:color="auto"/>
              <w:right w:val="single" w:sz="4" w:space="0" w:color="auto"/>
            </w:tcBorders>
            <w:shd w:val="clear" w:color="auto" w:fill="auto"/>
            <w:vAlign w:val="bottom"/>
          </w:tcPr>
          <w:p w14:paraId="4542B5CD"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Pr>
                <w:rFonts w:ascii="Arial Narrow" w:hAnsi="Arial Narrow" w:cs="Calibri"/>
                <w:color w:val="000000"/>
                <w:sz w:val="20"/>
              </w:rPr>
              <w:t>$492,401</w:t>
            </w:r>
          </w:p>
        </w:tc>
        <w:tc>
          <w:tcPr>
            <w:tcW w:w="1328" w:type="dxa"/>
            <w:tcBorders>
              <w:left w:val="single" w:sz="4" w:space="0" w:color="auto"/>
              <w:right w:val="single" w:sz="4" w:space="0" w:color="auto"/>
            </w:tcBorders>
            <w:shd w:val="clear" w:color="auto" w:fill="auto"/>
            <w:vAlign w:val="bottom"/>
          </w:tcPr>
          <w:p w14:paraId="2B454F31"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Pr>
                <w:rFonts w:ascii="Arial Narrow" w:hAnsi="Arial Narrow" w:cs="Calibri"/>
                <w:color w:val="000000"/>
                <w:sz w:val="20"/>
              </w:rPr>
              <w:t>$566,261</w:t>
            </w:r>
          </w:p>
        </w:tc>
        <w:tc>
          <w:tcPr>
            <w:tcW w:w="1328" w:type="dxa"/>
            <w:tcBorders>
              <w:left w:val="single" w:sz="4" w:space="0" w:color="auto"/>
              <w:bottom w:val="single" w:sz="4" w:space="0" w:color="auto"/>
              <w:right w:val="single" w:sz="4" w:space="0" w:color="auto"/>
            </w:tcBorders>
            <w:shd w:val="clear" w:color="auto" w:fill="auto"/>
            <w:vAlign w:val="bottom"/>
          </w:tcPr>
          <w:p w14:paraId="1CFBDCDA"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Pr>
                <w:rFonts w:ascii="Arial Narrow" w:hAnsi="Arial Narrow" w:cs="Calibri"/>
                <w:color w:val="000000"/>
                <w:sz w:val="20"/>
              </w:rPr>
              <w:t>$651,200</w:t>
            </w:r>
          </w:p>
        </w:tc>
        <w:tc>
          <w:tcPr>
            <w:tcW w:w="1326" w:type="dxa"/>
            <w:tcBorders>
              <w:left w:val="single" w:sz="4" w:space="0" w:color="auto"/>
              <w:bottom w:val="single" w:sz="4" w:space="0" w:color="auto"/>
              <w:right w:val="single" w:sz="4" w:space="0" w:color="auto"/>
            </w:tcBorders>
            <w:shd w:val="clear" w:color="auto" w:fill="auto"/>
            <w:vAlign w:val="bottom"/>
          </w:tcPr>
          <w:p w14:paraId="055446B4"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Pr>
                <w:rFonts w:ascii="Arial Narrow" w:hAnsi="Arial Narrow" w:cs="Calibri"/>
                <w:color w:val="000000"/>
                <w:sz w:val="20"/>
              </w:rPr>
              <w:t>$748,880</w:t>
            </w:r>
          </w:p>
        </w:tc>
      </w:tr>
      <w:tr w:rsidR="00B973BF" w:rsidRPr="00B35E47" w14:paraId="2C401EAF" w14:textId="77777777" w:rsidTr="009B2EDC">
        <w:trPr>
          <w:trHeight w:val="300"/>
        </w:trPr>
        <w:tc>
          <w:tcPr>
            <w:tcW w:w="2156" w:type="dxa"/>
            <w:tcBorders>
              <w:right w:val="nil"/>
            </w:tcBorders>
            <w:shd w:val="clear" w:color="auto" w:fill="auto"/>
          </w:tcPr>
          <w:p w14:paraId="7DE43DB6" w14:textId="77777777" w:rsidR="00B973BF" w:rsidRPr="00B35E47" w:rsidRDefault="00B973BF" w:rsidP="009B2EDC">
            <w:pPr>
              <w:spacing w:before="40" w:after="40"/>
              <w:contextualSpacing/>
              <w:rPr>
                <w:rFonts w:ascii="Arial Narrow" w:hAnsi="Arial Narrow"/>
                <w:b/>
                <w:sz w:val="20"/>
                <w:lang w:eastAsia="en-US"/>
              </w:rPr>
            </w:pPr>
            <w:r w:rsidRPr="00B35E47">
              <w:rPr>
                <w:rFonts w:ascii="Arial Narrow" w:hAnsi="Arial Narrow"/>
                <w:b/>
                <w:sz w:val="20"/>
                <w:lang w:eastAsia="en-US"/>
              </w:rPr>
              <w:t>MBS services offset</w:t>
            </w:r>
          </w:p>
        </w:tc>
        <w:tc>
          <w:tcPr>
            <w:tcW w:w="1328" w:type="dxa"/>
            <w:tcBorders>
              <w:left w:val="nil"/>
              <w:right w:val="nil"/>
            </w:tcBorders>
            <w:vAlign w:val="center"/>
          </w:tcPr>
          <w:p w14:paraId="38207637"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b/>
                <w:color w:val="FFFFFF" w:themeColor="background1"/>
                <w:sz w:val="20"/>
                <w:lang w:eastAsia="en-US"/>
              </w:rPr>
              <w:t>-</w:t>
            </w:r>
          </w:p>
        </w:tc>
        <w:tc>
          <w:tcPr>
            <w:tcW w:w="1328" w:type="dxa"/>
            <w:tcBorders>
              <w:left w:val="nil"/>
              <w:right w:val="nil"/>
            </w:tcBorders>
            <w:shd w:val="clear" w:color="auto" w:fill="auto"/>
            <w:vAlign w:val="center"/>
          </w:tcPr>
          <w:p w14:paraId="5063E2A3"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b/>
                <w:color w:val="FFFFFF" w:themeColor="background1"/>
                <w:sz w:val="20"/>
                <w:lang w:eastAsia="en-US"/>
              </w:rPr>
              <w:t>-</w:t>
            </w:r>
          </w:p>
        </w:tc>
        <w:tc>
          <w:tcPr>
            <w:tcW w:w="1328" w:type="dxa"/>
            <w:tcBorders>
              <w:left w:val="nil"/>
              <w:right w:val="nil"/>
            </w:tcBorders>
            <w:shd w:val="clear" w:color="auto" w:fill="auto"/>
            <w:vAlign w:val="center"/>
          </w:tcPr>
          <w:p w14:paraId="22FA6C12"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b/>
                <w:color w:val="FFFFFF" w:themeColor="background1"/>
                <w:sz w:val="20"/>
                <w:lang w:eastAsia="en-US"/>
              </w:rPr>
              <w:t>-</w:t>
            </w:r>
          </w:p>
        </w:tc>
        <w:tc>
          <w:tcPr>
            <w:tcW w:w="1328" w:type="dxa"/>
            <w:tcBorders>
              <w:left w:val="nil"/>
              <w:right w:val="nil"/>
            </w:tcBorders>
            <w:shd w:val="clear" w:color="auto" w:fill="auto"/>
            <w:vAlign w:val="center"/>
          </w:tcPr>
          <w:p w14:paraId="7C10B4BE"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b/>
                <w:color w:val="FFFFFF" w:themeColor="background1"/>
                <w:sz w:val="20"/>
                <w:lang w:eastAsia="en-US"/>
              </w:rPr>
              <w:t>-</w:t>
            </w:r>
          </w:p>
        </w:tc>
        <w:tc>
          <w:tcPr>
            <w:tcW w:w="1326" w:type="dxa"/>
            <w:tcBorders>
              <w:left w:val="nil"/>
              <w:right w:val="single" w:sz="4" w:space="0" w:color="auto"/>
            </w:tcBorders>
            <w:shd w:val="clear" w:color="auto" w:fill="auto"/>
            <w:vAlign w:val="center"/>
          </w:tcPr>
          <w:p w14:paraId="27F2E4CC" w14:textId="77777777" w:rsidR="00B973BF" w:rsidRPr="00B35E47" w:rsidRDefault="00B973BF" w:rsidP="009B2EDC">
            <w:pPr>
              <w:spacing w:before="40" w:after="40"/>
              <w:contextualSpacing/>
              <w:jc w:val="right"/>
              <w:rPr>
                <w:rFonts w:ascii="Arial Narrow" w:hAnsi="Arial Narrow"/>
                <w:b/>
                <w:color w:val="FFFFFF" w:themeColor="background1"/>
                <w:sz w:val="20"/>
                <w:lang w:eastAsia="en-US"/>
              </w:rPr>
            </w:pPr>
            <w:r w:rsidRPr="00B35E47">
              <w:rPr>
                <w:rFonts w:ascii="Arial Narrow" w:hAnsi="Arial Narrow"/>
                <w:b/>
                <w:color w:val="FFFFFF" w:themeColor="background1"/>
                <w:sz w:val="20"/>
                <w:lang w:eastAsia="en-US"/>
              </w:rPr>
              <w:t>-</w:t>
            </w:r>
          </w:p>
        </w:tc>
      </w:tr>
      <w:tr w:rsidR="00B973BF" w:rsidRPr="00B35E47" w14:paraId="04417F7C" w14:textId="77777777" w:rsidTr="009B2EDC">
        <w:trPr>
          <w:trHeight w:val="300"/>
        </w:trPr>
        <w:tc>
          <w:tcPr>
            <w:tcW w:w="2156" w:type="dxa"/>
            <w:shd w:val="clear" w:color="auto" w:fill="auto"/>
          </w:tcPr>
          <w:p w14:paraId="32E5D85F" w14:textId="77777777" w:rsidR="00B973BF" w:rsidRPr="00B35E47" w:rsidRDefault="00B973BF" w:rsidP="009B2EDC">
            <w:pPr>
              <w:spacing w:before="40" w:after="40"/>
              <w:contextualSpacing/>
              <w:rPr>
                <w:rFonts w:ascii="Arial Narrow" w:hAnsi="Arial Narrow"/>
                <w:sz w:val="20"/>
                <w:lang w:eastAsia="en-US"/>
              </w:rPr>
            </w:pPr>
            <w:r w:rsidRPr="00B35E47">
              <w:rPr>
                <w:rFonts w:ascii="Arial Narrow" w:hAnsi="Arial Narrow"/>
                <w:sz w:val="20"/>
                <w:lang w:eastAsia="en-US"/>
              </w:rPr>
              <w:t>Number of services</w:t>
            </w:r>
          </w:p>
        </w:tc>
        <w:tc>
          <w:tcPr>
            <w:tcW w:w="1328" w:type="dxa"/>
            <w:vAlign w:val="center"/>
          </w:tcPr>
          <w:p w14:paraId="36AA8237" w14:textId="77777777" w:rsidR="00B973BF" w:rsidRPr="00B35E47" w:rsidRDefault="00B973BF" w:rsidP="009B2EDC">
            <w:pPr>
              <w:spacing w:before="40" w:after="40"/>
              <w:contextualSpacing/>
              <w:jc w:val="right"/>
              <w:rPr>
                <w:rFonts w:ascii="Arial Narrow" w:hAnsi="Arial Narrow"/>
                <w:sz w:val="20"/>
                <w:lang w:eastAsia="en-US"/>
              </w:rPr>
            </w:pPr>
            <w:r w:rsidRPr="00B35E47">
              <w:rPr>
                <w:rFonts w:ascii="Arial Narrow" w:hAnsi="Arial Narrow" w:cs="Calibri"/>
                <w:color w:val="000000"/>
                <w:sz w:val="20"/>
                <w:lang w:eastAsia="en-US"/>
              </w:rPr>
              <w:t>9,20</w:t>
            </w:r>
            <w:r>
              <w:rPr>
                <w:rFonts w:ascii="Arial Narrow" w:hAnsi="Arial Narrow" w:cs="Calibri"/>
                <w:color w:val="000000"/>
                <w:sz w:val="20"/>
                <w:lang w:eastAsia="en-US"/>
              </w:rPr>
              <w:t>4</w:t>
            </w:r>
          </w:p>
        </w:tc>
        <w:tc>
          <w:tcPr>
            <w:tcW w:w="1328" w:type="dxa"/>
            <w:shd w:val="clear" w:color="auto" w:fill="auto"/>
            <w:vAlign w:val="center"/>
          </w:tcPr>
          <w:p w14:paraId="46523951" w14:textId="77777777" w:rsidR="00B973BF" w:rsidRPr="00B35E47" w:rsidRDefault="00B973BF" w:rsidP="009B2EDC">
            <w:pPr>
              <w:spacing w:before="40" w:after="40"/>
              <w:contextualSpacing/>
              <w:jc w:val="right"/>
              <w:rPr>
                <w:rFonts w:ascii="Arial Narrow" w:hAnsi="Arial Narrow"/>
                <w:sz w:val="20"/>
                <w:lang w:eastAsia="en-US"/>
              </w:rPr>
            </w:pPr>
            <w:r w:rsidRPr="00B35E47">
              <w:rPr>
                <w:rFonts w:ascii="Arial Narrow" w:hAnsi="Arial Narrow" w:cs="Calibri"/>
                <w:color w:val="000000"/>
                <w:sz w:val="20"/>
                <w:lang w:eastAsia="en-US"/>
              </w:rPr>
              <w:t>10,125</w:t>
            </w:r>
          </w:p>
        </w:tc>
        <w:tc>
          <w:tcPr>
            <w:tcW w:w="1328" w:type="dxa"/>
            <w:shd w:val="clear" w:color="auto" w:fill="auto"/>
            <w:vAlign w:val="center"/>
          </w:tcPr>
          <w:p w14:paraId="5B6DC140" w14:textId="77777777" w:rsidR="00B973BF" w:rsidRPr="00B35E47" w:rsidRDefault="00B973BF" w:rsidP="009B2EDC">
            <w:pPr>
              <w:spacing w:before="40" w:after="40"/>
              <w:contextualSpacing/>
              <w:jc w:val="right"/>
              <w:rPr>
                <w:rFonts w:ascii="Arial Narrow" w:hAnsi="Arial Narrow"/>
                <w:sz w:val="20"/>
                <w:lang w:eastAsia="en-US"/>
              </w:rPr>
            </w:pPr>
            <w:r w:rsidRPr="00B35E47">
              <w:rPr>
                <w:rFonts w:ascii="Arial Narrow" w:hAnsi="Arial Narrow" w:cs="Calibri"/>
                <w:color w:val="000000"/>
                <w:sz w:val="20"/>
                <w:lang w:eastAsia="en-US"/>
              </w:rPr>
              <w:t>11,13</w:t>
            </w:r>
            <w:r>
              <w:rPr>
                <w:rFonts w:ascii="Arial Narrow" w:hAnsi="Arial Narrow" w:cs="Calibri"/>
                <w:color w:val="000000"/>
                <w:sz w:val="20"/>
                <w:lang w:eastAsia="en-US"/>
              </w:rPr>
              <w:t>7</w:t>
            </w:r>
          </w:p>
        </w:tc>
        <w:tc>
          <w:tcPr>
            <w:tcW w:w="1328" w:type="dxa"/>
            <w:shd w:val="clear" w:color="auto" w:fill="auto"/>
            <w:vAlign w:val="center"/>
          </w:tcPr>
          <w:p w14:paraId="1C9B9283" w14:textId="77777777" w:rsidR="00B973BF" w:rsidRPr="00B35E47" w:rsidRDefault="00B973BF" w:rsidP="009B2EDC">
            <w:pPr>
              <w:spacing w:before="40" w:after="40"/>
              <w:contextualSpacing/>
              <w:jc w:val="right"/>
              <w:rPr>
                <w:rFonts w:ascii="Arial Narrow" w:hAnsi="Arial Narrow"/>
                <w:sz w:val="20"/>
                <w:lang w:eastAsia="en-US"/>
              </w:rPr>
            </w:pPr>
            <w:r w:rsidRPr="00B35E47">
              <w:rPr>
                <w:rFonts w:ascii="Arial Narrow" w:hAnsi="Arial Narrow" w:cs="Calibri"/>
                <w:color w:val="000000"/>
                <w:sz w:val="20"/>
                <w:lang w:eastAsia="en-US"/>
              </w:rPr>
              <w:t>12,251</w:t>
            </w:r>
          </w:p>
        </w:tc>
        <w:tc>
          <w:tcPr>
            <w:tcW w:w="1326" w:type="dxa"/>
            <w:shd w:val="clear" w:color="auto" w:fill="auto"/>
            <w:vAlign w:val="center"/>
          </w:tcPr>
          <w:p w14:paraId="17507266" w14:textId="77777777" w:rsidR="00B973BF" w:rsidRPr="00B35E47" w:rsidRDefault="00B973BF" w:rsidP="009B2EDC">
            <w:pPr>
              <w:spacing w:before="40" w:after="40"/>
              <w:contextualSpacing/>
              <w:jc w:val="right"/>
              <w:rPr>
                <w:rFonts w:ascii="Arial Narrow" w:hAnsi="Arial Narrow"/>
                <w:sz w:val="20"/>
                <w:lang w:eastAsia="en-US"/>
              </w:rPr>
            </w:pPr>
            <w:r w:rsidRPr="00B35E47">
              <w:rPr>
                <w:rFonts w:ascii="Arial Narrow" w:hAnsi="Arial Narrow" w:cs="Calibri"/>
                <w:color w:val="000000"/>
                <w:sz w:val="20"/>
                <w:lang w:eastAsia="en-US"/>
              </w:rPr>
              <w:t>13,477</w:t>
            </w:r>
          </w:p>
        </w:tc>
      </w:tr>
      <w:tr w:rsidR="00B973BF" w:rsidRPr="00B35E47" w14:paraId="11557DF5" w14:textId="77777777" w:rsidTr="009B2EDC">
        <w:trPr>
          <w:trHeight w:val="315"/>
        </w:trPr>
        <w:tc>
          <w:tcPr>
            <w:tcW w:w="2156" w:type="dxa"/>
            <w:tcBorders>
              <w:bottom w:val="single" w:sz="4" w:space="0" w:color="auto"/>
            </w:tcBorders>
            <w:shd w:val="clear" w:color="auto" w:fill="auto"/>
          </w:tcPr>
          <w:p w14:paraId="5FC47603" w14:textId="77777777" w:rsidR="00B973BF" w:rsidRPr="00B35E47" w:rsidRDefault="00B973BF" w:rsidP="009B2EDC">
            <w:pPr>
              <w:spacing w:before="40" w:after="40"/>
              <w:contextualSpacing/>
              <w:rPr>
                <w:rFonts w:ascii="Arial Narrow" w:hAnsi="Arial Narrow"/>
                <w:sz w:val="20"/>
                <w:lang w:eastAsia="en-US"/>
              </w:rPr>
            </w:pPr>
            <w:r w:rsidRPr="00B35E47">
              <w:rPr>
                <w:rFonts w:ascii="Arial Narrow" w:hAnsi="Arial Narrow"/>
                <w:sz w:val="20"/>
                <w:lang w:eastAsia="en-US"/>
              </w:rPr>
              <w:t>Cost to the MBS</w:t>
            </w:r>
          </w:p>
        </w:tc>
        <w:tc>
          <w:tcPr>
            <w:tcW w:w="1328" w:type="dxa"/>
            <w:tcBorders>
              <w:bottom w:val="single" w:sz="4" w:space="0" w:color="auto"/>
            </w:tcBorders>
            <w:vAlign w:val="bottom"/>
          </w:tcPr>
          <w:p w14:paraId="0EF03340" w14:textId="77777777" w:rsidR="00B973BF" w:rsidRPr="009F574B" w:rsidRDefault="00B973BF" w:rsidP="009B2EDC">
            <w:pPr>
              <w:spacing w:before="40" w:after="40"/>
              <w:contextualSpacing/>
              <w:jc w:val="right"/>
              <w:rPr>
                <w:rFonts w:ascii="Arial Narrow" w:hAnsi="Arial Narrow"/>
                <w:sz w:val="20"/>
                <w:lang w:eastAsia="en-US"/>
              </w:rPr>
            </w:pPr>
            <w:r w:rsidRPr="00082C48">
              <w:rPr>
                <w:rFonts w:ascii="Arial Narrow" w:hAnsi="Arial Narrow" w:cs="Calibri"/>
                <w:bCs/>
                <w:color w:val="000000"/>
                <w:sz w:val="20"/>
              </w:rPr>
              <w:t>$227,422</w:t>
            </w:r>
          </w:p>
        </w:tc>
        <w:tc>
          <w:tcPr>
            <w:tcW w:w="1328" w:type="dxa"/>
            <w:tcBorders>
              <w:bottom w:val="single" w:sz="4" w:space="0" w:color="auto"/>
            </w:tcBorders>
            <w:shd w:val="clear" w:color="auto" w:fill="auto"/>
            <w:vAlign w:val="bottom"/>
          </w:tcPr>
          <w:p w14:paraId="2FEACFC7" w14:textId="77777777" w:rsidR="00B973BF" w:rsidRPr="009F574B" w:rsidRDefault="00B973BF" w:rsidP="009B2EDC">
            <w:pPr>
              <w:spacing w:before="40" w:after="40"/>
              <w:contextualSpacing/>
              <w:jc w:val="right"/>
              <w:rPr>
                <w:rFonts w:ascii="Arial Narrow" w:hAnsi="Arial Narrow"/>
                <w:sz w:val="20"/>
                <w:lang w:eastAsia="en-US"/>
              </w:rPr>
            </w:pPr>
            <w:r w:rsidRPr="00082C48">
              <w:rPr>
                <w:rFonts w:ascii="Arial Narrow" w:hAnsi="Arial Narrow" w:cs="Calibri"/>
                <w:bCs/>
                <w:color w:val="000000"/>
                <w:sz w:val="20"/>
              </w:rPr>
              <w:t>$250,165</w:t>
            </w:r>
          </w:p>
        </w:tc>
        <w:tc>
          <w:tcPr>
            <w:tcW w:w="1328" w:type="dxa"/>
            <w:tcBorders>
              <w:bottom w:val="single" w:sz="4" w:space="0" w:color="auto"/>
            </w:tcBorders>
            <w:shd w:val="clear" w:color="auto" w:fill="auto"/>
            <w:vAlign w:val="bottom"/>
          </w:tcPr>
          <w:p w14:paraId="5E31E19A" w14:textId="77777777" w:rsidR="00B973BF" w:rsidRPr="009F574B" w:rsidRDefault="00B973BF" w:rsidP="009B2EDC">
            <w:pPr>
              <w:spacing w:before="40" w:after="40"/>
              <w:contextualSpacing/>
              <w:jc w:val="right"/>
              <w:rPr>
                <w:rFonts w:ascii="Arial Narrow" w:hAnsi="Arial Narrow"/>
                <w:sz w:val="20"/>
                <w:lang w:eastAsia="en-US"/>
              </w:rPr>
            </w:pPr>
            <w:r w:rsidRPr="00082C48">
              <w:rPr>
                <w:rFonts w:ascii="Arial Narrow" w:hAnsi="Arial Narrow" w:cs="Calibri"/>
                <w:bCs/>
                <w:color w:val="000000"/>
                <w:sz w:val="20"/>
              </w:rPr>
              <w:t>$275,181</w:t>
            </w:r>
          </w:p>
        </w:tc>
        <w:tc>
          <w:tcPr>
            <w:tcW w:w="1328" w:type="dxa"/>
            <w:tcBorders>
              <w:bottom w:val="single" w:sz="4" w:space="0" w:color="auto"/>
            </w:tcBorders>
            <w:shd w:val="clear" w:color="auto" w:fill="auto"/>
            <w:vAlign w:val="bottom"/>
          </w:tcPr>
          <w:p w14:paraId="3AA8C8C2" w14:textId="77777777" w:rsidR="00B973BF" w:rsidRPr="009F574B" w:rsidRDefault="00B973BF" w:rsidP="009B2EDC">
            <w:pPr>
              <w:spacing w:before="40" w:after="40"/>
              <w:contextualSpacing/>
              <w:jc w:val="right"/>
              <w:rPr>
                <w:rFonts w:ascii="Arial Narrow" w:hAnsi="Arial Narrow"/>
                <w:sz w:val="20"/>
                <w:lang w:eastAsia="en-US"/>
              </w:rPr>
            </w:pPr>
            <w:r w:rsidRPr="00082C48">
              <w:rPr>
                <w:rFonts w:ascii="Arial Narrow" w:hAnsi="Arial Narrow" w:cs="Calibri"/>
                <w:bCs/>
                <w:color w:val="000000"/>
                <w:sz w:val="20"/>
              </w:rPr>
              <w:t>$302,699</w:t>
            </w:r>
          </w:p>
        </w:tc>
        <w:tc>
          <w:tcPr>
            <w:tcW w:w="1326" w:type="dxa"/>
            <w:tcBorders>
              <w:bottom w:val="single" w:sz="4" w:space="0" w:color="auto"/>
            </w:tcBorders>
            <w:shd w:val="clear" w:color="auto" w:fill="auto"/>
            <w:vAlign w:val="bottom"/>
          </w:tcPr>
          <w:p w14:paraId="782A7EF5" w14:textId="77777777" w:rsidR="00B973BF" w:rsidRPr="009F574B" w:rsidRDefault="00B973BF" w:rsidP="009B2EDC">
            <w:pPr>
              <w:spacing w:before="40" w:after="40"/>
              <w:contextualSpacing/>
              <w:jc w:val="right"/>
              <w:rPr>
                <w:rFonts w:ascii="Arial Narrow" w:hAnsi="Arial Narrow"/>
                <w:sz w:val="20"/>
                <w:lang w:eastAsia="en-US"/>
              </w:rPr>
            </w:pPr>
            <w:r w:rsidRPr="00082C48">
              <w:rPr>
                <w:rFonts w:ascii="Arial Narrow" w:hAnsi="Arial Narrow" w:cs="Calibri"/>
                <w:bCs/>
                <w:color w:val="000000"/>
                <w:sz w:val="20"/>
              </w:rPr>
              <w:t>$332,969</w:t>
            </w:r>
          </w:p>
        </w:tc>
      </w:tr>
      <w:tr w:rsidR="00B973BF" w:rsidRPr="00B35E47" w14:paraId="28C84F24" w14:textId="77777777" w:rsidTr="009B2EDC">
        <w:trPr>
          <w:trHeight w:val="315"/>
        </w:trPr>
        <w:tc>
          <w:tcPr>
            <w:tcW w:w="2156" w:type="dxa"/>
            <w:shd w:val="clear" w:color="auto" w:fill="auto"/>
          </w:tcPr>
          <w:p w14:paraId="17CDEAB6" w14:textId="77777777" w:rsidR="00B973BF" w:rsidRPr="00B35E47" w:rsidRDefault="00B973BF" w:rsidP="009B2EDC">
            <w:pPr>
              <w:spacing w:before="40" w:after="40"/>
              <w:contextualSpacing/>
              <w:rPr>
                <w:rFonts w:ascii="Arial Narrow" w:hAnsi="Arial Narrow"/>
                <w:b/>
                <w:sz w:val="20"/>
                <w:lang w:eastAsia="en-US"/>
              </w:rPr>
            </w:pPr>
            <w:r w:rsidRPr="00B35E47">
              <w:rPr>
                <w:rFonts w:ascii="Arial Narrow" w:hAnsi="Arial Narrow"/>
                <w:b/>
                <w:sz w:val="20"/>
                <w:lang w:eastAsia="en-US"/>
              </w:rPr>
              <w:t>Net cost to the MBS</w:t>
            </w:r>
          </w:p>
        </w:tc>
        <w:tc>
          <w:tcPr>
            <w:tcW w:w="1328" w:type="dxa"/>
            <w:vAlign w:val="bottom"/>
          </w:tcPr>
          <w:p w14:paraId="51B1FF43" w14:textId="23F85B3B" w:rsidR="00B973BF" w:rsidRPr="00B35E47" w:rsidRDefault="00B973BF" w:rsidP="009B2EDC">
            <w:pPr>
              <w:spacing w:before="40" w:after="40"/>
              <w:contextualSpacing/>
              <w:jc w:val="right"/>
              <w:rPr>
                <w:rFonts w:ascii="Arial Narrow" w:hAnsi="Arial Narrow"/>
                <w:b/>
                <w:sz w:val="20"/>
                <w:lang w:eastAsia="en-US"/>
              </w:rPr>
            </w:pPr>
            <w:r w:rsidRPr="00F22A75">
              <w:rPr>
                <w:rFonts w:ascii="Arial Narrow" w:hAnsi="Arial Narrow" w:cs="Calibri"/>
                <w:b/>
                <w:bCs/>
                <w:sz w:val="20"/>
              </w:rPr>
              <w:t>$200,75</w:t>
            </w:r>
            <w:r w:rsidR="00553A33" w:rsidRPr="008A5A55">
              <w:rPr>
                <w:rFonts w:ascii="Arial Narrow" w:hAnsi="Arial Narrow" w:cs="Calibri"/>
                <w:b/>
                <w:bCs/>
                <w:sz w:val="20"/>
              </w:rPr>
              <w:t>3</w:t>
            </w:r>
          </w:p>
        </w:tc>
        <w:tc>
          <w:tcPr>
            <w:tcW w:w="1328" w:type="dxa"/>
            <w:shd w:val="clear" w:color="auto" w:fill="auto"/>
            <w:vAlign w:val="bottom"/>
          </w:tcPr>
          <w:p w14:paraId="349AA18E" w14:textId="77777777" w:rsidR="00B973BF" w:rsidRPr="00B35E47" w:rsidRDefault="00B973BF" w:rsidP="009B2EDC">
            <w:pPr>
              <w:spacing w:before="40" w:after="40"/>
              <w:contextualSpacing/>
              <w:jc w:val="right"/>
              <w:rPr>
                <w:rFonts w:ascii="Arial Narrow" w:hAnsi="Arial Narrow"/>
                <w:b/>
                <w:sz w:val="20"/>
                <w:lang w:eastAsia="en-US"/>
              </w:rPr>
            </w:pPr>
            <w:r>
              <w:rPr>
                <w:rFonts w:ascii="Arial Narrow" w:hAnsi="Arial Narrow" w:cs="Calibri"/>
                <w:b/>
                <w:bCs/>
                <w:color w:val="000000"/>
                <w:sz w:val="20"/>
              </w:rPr>
              <w:t>$242,236</w:t>
            </w:r>
          </w:p>
        </w:tc>
        <w:tc>
          <w:tcPr>
            <w:tcW w:w="1328" w:type="dxa"/>
            <w:shd w:val="clear" w:color="auto" w:fill="auto"/>
            <w:vAlign w:val="bottom"/>
          </w:tcPr>
          <w:p w14:paraId="2B3493DD" w14:textId="77777777" w:rsidR="00B973BF" w:rsidRPr="00B35E47" w:rsidRDefault="00B973BF" w:rsidP="009B2EDC">
            <w:pPr>
              <w:spacing w:before="40" w:after="40"/>
              <w:contextualSpacing/>
              <w:jc w:val="right"/>
              <w:rPr>
                <w:rFonts w:ascii="Arial Narrow" w:hAnsi="Arial Narrow"/>
                <w:b/>
                <w:sz w:val="20"/>
                <w:lang w:eastAsia="en-US"/>
              </w:rPr>
            </w:pPr>
            <w:r>
              <w:rPr>
                <w:rFonts w:ascii="Arial Narrow" w:hAnsi="Arial Narrow" w:cs="Calibri"/>
                <w:b/>
                <w:bCs/>
                <w:color w:val="000000"/>
                <w:sz w:val="20"/>
              </w:rPr>
              <w:t>$291,080</w:t>
            </w:r>
          </w:p>
        </w:tc>
        <w:tc>
          <w:tcPr>
            <w:tcW w:w="1328" w:type="dxa"/>
            <w:shd w:val="clear" w:color="auto" w:fill="auto"/>
            <w:vAlign w:val="bottom"/>
          </w:tcPr>
          <w:p w14:paraId="1B193F82" w14:textId="77777777" w:rsidR="00B973BF" w:rsidRPr="00B35E47" w:rsidRDefault="00B973BF" w:rsidP="009B2EDC">
            <w:pPr>
              <w:spacing w:before="40" w:after="40"/>
              <w:contextualSpacing/>
              <w:jc w:val="right"/>
              <w:rPr>
                <w:rFonts w:ascii="Arial Narrow" w:hAnsi="Arial Narrow"/>
                <w:b/>
                <w:sz w:val="20"/>
                <w:lang w:eastAsia="en-US"/>
              </w:rPr>
            </w:pPr>
            <w:r>
              <w:rPr>
                <w:rFonts w:ascii="Arial Narrow" w:hAnsi="Arial Narrow" w:cs="Calibri"/>
                <w:b/>
                <w:bCs/>
                <w:color w:val="000000"/>
                <w:sz w:val="20"/>
              </w:rPr>
              <w:t>$348,501</w:t>
            </w:r>
          </w:p>
        </w:tc>
        <w:tc>
          <w:tcPr>
            <w:tcW w:w="1326" w:type="dxa"/>
            <w:shd w:val="clear" w:color="auto" w:fill="auto"/>
            <w:vAlign w:val="bottom"/>
          </w:tcPr>
          <w:p w14:paraId="32A616E0" w14:textId="77777777" w:rsidR="00B973BF" w:rsidRPr="00B35E47" w:rsidRDefault="00B973BF" w:rsidP="009B2EDC">
            <w:pPr>
              <w:spacing w:before="40" w:after="40"/>
              <w:contextualSpacing/>
              <w:jc w:val="right"/>
              <w:rPr>
                <w:rFonts w:ascii="Arial Narrow" w:hAnsi="Arial Narrow"/>
                <w:b/>
                <w:sz w:val="20"/>
                <w:lang w:eastAsia="en-US"/>
              </w:rPr>
            </w:pPr>
            <w:r>
              <w:rPr>
                <w:rFonts w:ascii="Arial Narrow" w:hAnsi="Arial Narrow" w:cs="Calibri"/>
                <w:b/>
                <w:bCs/>
                <w:color w:val="000000"/>
                <w:sz w:val="20"/>
              </w:rPr>
              <w:t>$415,911</w:t>
            </w:r>
          </w:p>
        </w:tc>
      </w:tr>
    </w:tbl>
    <w:p w14:paraId="2790E1A9" w14:textId="77777777" w:rsidR="00B973BF" w:rsidRDefault="00B973BF" w:rsidP="00226218">
      <w:pPr>
        <w:widowControl w:val="0"/>
        <w:spacing w:after="240"/>
        <w:rPr>
          <w:rFonts w:ascii="Arial Narrow" w:hAnsi="Arial Narrow" w:cs="Arial"/>
          <w:snapToGrid w:val="0"/>
          <w:sz w:val="18"/>
          <w:lang w:eastAsia="en-US"/>
        </w:rPr>
      </w:pPr>
      <w:r w:rsidRPr="00B35E47">
        <w:rPr>
          <w:rFonts w:ascii="Arial Narrow" w:hAnsi="Arial Narrow" w:cs="Arial"/>
          <w:snapToGrid w:val="0"/>
          <w:sz w:val="18"/>
          <w:lang w:eastAsia="en-US"/>
        </w:rPr>
        <w:t>NMOSD = neuromyelitis optica spectrum disorders; MBS = Medicare Benefits Schedule</w:t>
      </w:r>
    </w:p>
    <w:bookmarkEnd w:id="46"/>
    <w:bookmarkEnd w:id="47"/>
    <w:p w14:paraId="0D52760B" w14:textId="5D6938DF" w:rsidR="009B431F" w:rsidRPr="00B02E35" w:rsidRDefault="00510359" w:rsidP="00226218">
      <w:pPr>
        <w:spacing w:before="240"/>
      </w:pPr>
      <w:r w:rsidRPr="00FC0F62">
        <w:t xml:space="preserve">The </w:t>
      </w:r>
      <w:r>
        <w:t xml:space="preserve">DCAR stated that the </w:t>
      </w:r>
      <w:r w:rsidRPr="00FC0F62">
        <w:t xml:space="preserve">net costs to the MBS due to the proposed listing are largely driven by the expected increase in the number of current services due to </w:t>
      </w:r>
      <w:r w:rsidR="00E87E72">
        <w:t xml:space="preserve">the </w:t>
      </w:r>
      <w:r w:rsidRPr="00FC0F62">
        <w:t xml:space="preserve">proposed listing. The growth rate in the expected number of </w:t>
      </w:r>
      <w:r w:rsidR="00EE2326">
        <w:t>antibody</w:t>
      </w:r>
      <w:r w:rsidRPr="00FC0F62">
        <w:t xml:space="preserve"> tests </w:t>
      </w:r>
      <w:r w:rsidR="00EE2326">
        <w:t xml:space="preserve">for NMOSD </w:t>
      </w:r>
      <w:r w:rsidRPr="00FC0F62">
        <w:t>has a high impact on the financial implications. The net costs to MBS are also sensitive to the assumed proportions for which existing AQP4-Ab test services are claimed under items 71119 and 71165, due to the differences in MBS rebates associated with these items.</w:t>
      </w:r>
    </w:p>
    <w:p w14:paraId="55D9267B" w14:textId="77777777" w:rsidR="006A0D97" w:rsidRPr="00F715D1" w:rsidRDefault="006A0D97" w:rsidP="00F715D1">
      <w:pPr>
        <w:pStyle w:val="Heading1"/>
      </w:pPr>
      <w:r w:rsidRPr="00F715D1">
        <w:lastRenderedPageBreak/>
        <w:t>Key issues from ESC for MSAC</w:t>
      </w:r>
    </w:p>
    <w:tbl>
      <w:tblPr>
        <w:tblStyle w:val="TableGrid1"/>
        <w:tblW w:w="0" w:type="auto"/>
        <w:tblLook w:val="04A0" w:firstRow="1" w:lastRow="0" w:firstColumn="1" w:lastColumn="0" w:noHBand="0" w:noVBand="1"/>
        <w:tblCaption w:val="Key issues from ESC for MSAC"/>
      </w:tblPr>
      <w:tblGrid>
        <w:gridCol w:w="3539"/>
        <w:gridCol w:w="5477"/>
      </w:tblGrid>
      <w:tr w:rsidR="00433B47" w:rsidRPr="00AE6913" w14:paraId="74C86C54" w14:textId="77777777" w:rsidTr="009B431F">
        <w:trPr>
          <w:tblHeader/>
        </w:trPr>
        <w:tc>
          <w:tcPr>
            <w:tcW w:w="3539" w:type="dxa"/>
          </w:tcPr>
          <w:p w14:paraId="06A62F07" w14:textId="77777777" w:rsidR="00433B47" w:rsidRPr="00AE6913" w:rsidRDefault="00433B47" w:rsidP="00433B47">
            <w:pPr>
              <w:keepNext/>
              <w:spacing w:before="60" w:after="60"/>
              <w:rPr>
                <w:b/>
                <w:bCs/>
                <w:color w:val="000000"/>
                <w:sz w:val="21"/>
                <w:szCs w:val="21"/>
              </w:rPr>
            </w:pPr>
            <w:r w:rsidRPr="00AE6913">
              <w:rPr>
                <w:b/>
                <w:bCs/>
                <w:color w:val="000000"/>
                <w:sz w:val="21"/>
                <w:szCs w:val="21"/>
              </w:rPr>
              <w:t>ESC key issue</w:t>
            </w:r>
          </w:p>
        </w:tc>
        <w:tc>
          <w:tcPr>
            <w:tcW w:w="5477" w:type="dxa"/>
          </w:tcPr>
          <w:p w14:paraId="3066DA10" w14:textId="77777777" w:rsidR="00433B47" w:rsidRPr="00AE6913" w:rsidRDefault="00433B47" w:rsidP="00433B47">
            <w:pPr>
              <w:keepNext/>
              <w:spacing w:before="60" w:after="60"/>
              <w:rPr>
                <w:b/>
                <w:bCs/>
                <w:color w:val="000000"/>
                <w:sz w:val="21"/>
                <w:szCs w:val="21"/>
              </w:rPr>
            </w:pPr>
            <w:r w:rsidRPr="00AE6913">
              <w:rPr>
                <w:b/>
                <w:bCs/>
                <w:color w:val="000000"/>
                <w:sz w:val="21"/>
                <w:szCs w:val="21"/>
              </w:rPr>
              <w:t>ESC advice to MSAC</w:t>
            </w:r>
          </w:p>
        </w:tc>
      </w:tr>
      <w:tr w:rsidR="00433B47" w:rsidRPr="00AE6913" w14:paraId="4D5F8D56" w14:textId="77777777" w:rsidTr="00433B47">
        <w:tc>
          <w:tcPr>
            <w:tcW w:w="3539" w:type="dxa"/>
          </w:tcPr>
          <w:p w14:paraId="47F0CE86" w14:textId="77777777" w:rsidR="00433B47" w:rsidRPr="00AE6913" w:rsidRDefault="00433B47" w:rsidP="00433B47">
            <w:pPr>
              <w:keepNext/>
              <w:spacing w:before="60" w:after="60"/>
              <w:rPr>
                <w:color w:val="000000"/>
                <w:sz w:val="21"/>
                <w:szCs w:val="21"/>
              </w:rPr>
            </w:pPr>
            <w:r w:rsidRPr="00AE6913">
              <w:rPr>
                <w:color w:val="000000"/>
                <w:sz w:val="21"/>
                <w:szCs w:val="21"/>
              </w:rPr>
              <w:t>Matching populations in the linked evidence steps is uncertain</w:t>
            </w:r>
          </w:p>
        </w:tc>
        <w:tc>
          <w:tcPr>
            <w:tcW w:w="5477" w:type="dxa"/>
          </w:tcPr>
          <w:p w14:paraId="7C2FB5D4" w14:textId="77777777" w:rsidR="00433B47" w:rsidRPr="00AE6913" w:rsidRDefault="00433B47" w:rsidP="00433B47">
            <w:pPr>
              <w:keepNext/>
              <w:spacing w:before="60" w:after="60"/>
              <w:rPr>
                <w:color w:val="000000"/>
                <w:sz w:val="21"/>
                <w:szCs w:val="21"/>
              </w:rPr>
            </w:pPr>
            <w:r w:rsidRPr="00AE6913">
              <w:rPr>
                <w:color w:val="000000"/>
                <w:sz w:val="21"/>
                <w:szCs w:val="21"/>
              </w:rPr>
              <w:t>There is potential for decreased therapeutic effectiveness in patients with milder or more ambiguous spectrum of disease. This could be explored in a sensitivity analysis.</w:t>
            </w:r>
          </w:p>
        </w:tc>
      </w:tr>
      <w:tr w:rsidR="00433B47" w:rsidRPr="00AE6913" w14:paraId="4FED31BD" w14:textId="77777777" w:rsidTr="00433B47">
        <w:tc>
          <w:tcPr>
            <w:tcW w:w="3539" w:type="dxa"/>
          </w:tcPr>
          <w:p w14:paraId="65BDF7E1" w14:textId="77777777" w:rsidR="00433B47" w:rsidRPr="00AE6913" w:rsidRDefault="00433B47" w:rsidP="00433B47">
            <w:pPr>
              <w:keepNext/>
              <w:spacing w:before="60" w:after="60"/>
              <w:rPr>
                <w:color w:val="000000"/>
                <w:sz w:val="21"/>
                <w:szCs w:val="21"/>
              </w:rPr>
            </w:pPr>
            <w:r w:rsidRPr="00AE6913">
              <w:rPr>
                <w:color w:val="000000"/>
                <w:sz w:val="21"/>
                <w:szCs w:val="21"/>
              </w:rPr>
              <w:t>Clinical validity estimates are uncertain</w:t>
            </w:r>
          </w:p>
        </w:tc>
        <w:tc>
          <w:tcPr>
            <w:tcW w:w="5477" w:type="dxa"/>
          </w:tcPr>
          <w:p w14:paraId="43DB5232" w14:textId="77777777" w:rsidR="00433B47" w:rsidRPr="00AE6913" w:rsidRDefault="00433B47" w:rsidP="00433B47">
            <w:pPr>
              <w:keepNext/>
              <w:spacing w:before="60" w:after="60"/>
              <w:rPr>
                <w:color w:val="000000"/>
                <w:sz w:val="21"/>
                <w:szCs w:val="21"/>
              </w:rPr>
            </w:pPr>
            <w:r w:rsidRPr="00AE6913">
              <w:rPr>
                <w:color w:val="000000"/>
                <w:sz w:val="21"/>
                <w:szCs w:val="21"/>
              </w:rPr>
              <w:t>There is a range of false negatives and false positives in the literature. Concordance estimates could also be used as proxy for these.</w:t>
            </w:r>
          </w:p>
        </w:tc>
      </w:tr>
      <w:tr w:rsidR="00433B47" w:rsidRPr="00AE6913" w14:paraId="6FCC7833" w14:textId="77777777" w:rsidTr="00433B47">
        <w:tc>
          <w:tcPr>
            <w:tcW w:w="3539" w:type="dxa"/>
          </w:tcPr>
          <w:p w14:paraId="5999F6E0" w14:textId="77777777" w:rsidR="00433B47" w:rsidRPr="00AE6913" w:rsidRDefault="00433B47" w:rsidP="00433B47">
            <w:pPr>
              <w:keepNext/>
              <w:spacing w:before="60" w:after="60"/>
              <w:rPr>
                <w:color w:val="000000"/>
                <w:sz w:val="21"/>
                <w:szCs w:val="21"/>
              </w:rPr>
            </w:pPr>
            <w:r w:rsidRPr="00AE6913">
              <w:rPr>
                <w:color w:val="000000"/>
                <w:sz w:val="21"/>
                <w:szCs w:val="21"/>
              </w:rPr>
              <w:t>Consequences of false positives are uncertain</w:t>
            </w:r>
          </w:p>
        </w:tc>
        <w:tc>
          <w:tcPr>
            <w:tcW w:w="5477" w:type="dxa"/>
          </w:tcPr>
          <w:p w14:paraId="02A0D9B4" w14:textId="77777777" w:rsidR="00433B47" w:rsidRPr="00AE6913" w:rsidRDefault="00433B47" w:rsidP="00433B47">
            <w:pPr>
              <w:keepNext/>
              <w:spacing w:before="60" w:after="60"/>
              <w:rPr>
                <w:color w:val="000000"/>
                <w:sz w:val="21"/>
                <w:szCs w:val="21"/>
              </w:rPr>
            </w:pPr>
            <w:r w:rsidRPr="00AE6913">
              <w:rPr>
                <w:color w:val="000000"/>
                <w:sz w:val="21"/>
                <w:szCs w:val="21"/>
              </w:rPr>
              <w:t>There are possible negative impacts from false positive results, in that MS-specific treatment or treatment for other conditions is delayed</w:t>
            </w:r>
            <w:r>
              <w:rPr>
                <w:color w:val="000000"/>
                <w:sz w:val="21"/>
                <w:szCs w:val="21"/>
              </w:rPr>
              <w:t>, but these have not been explored.</w:t>
            </w:r>
          </w:p>
        </w:tc>
      </w:tr>
      <w:tr w:rsidR="00433B47" w:rsidRPr="00AE6913" w14:paraId="0E138949" w14:textId="77777777" w:rsidTr="00433B47">
        <w:tc>
          <w:tcPr>
            <w:tcW w:w="3539" w:type="dxa"/>
          </w:tcPr>
          <w:p w14:paraId="122C2402" w14:textId="2090AFD9" w:rsidR="00433B47" w:rsidRPr="00AE6913" w:rsidRDefault="00433B47" w:rsidP="00433B47">
            <w:pPr>
              <w:keepNext/>
              <w:spacing w:before="60" w:after="60"/>
              <w:rPr>
                <w:color w:val="000000"/>
                <w:sz w:val="21"/>
                <w:szCs w:val="21"/>
              </w:rPr>
            </w:pPr>
            <w:r w:rsidRPr="00AE6913">
              <w:rPr>
                <w:color w:val="000000"/>
                <w:sz w:val="21"/>
                <w:szCs w:val="21"/>
              </w:rPr>
              <w:t>Economic model predicted</w:t>
            </w:r>
            <w:r w:rsidR="00EE2326">
              <w:rPr>
                <w:color w:val="000000"/>
                <w:sz w:val="21"/>
                <w:szCs w:val="21"/>
              </w:rPr>
              <w:t xml:space="preserve"> antibody testing for</w:t>
            </w:r>
            <w:r w:rsidRPr="00AE6913">
              <w:rPr>
                <w:color w:val="000000"/>
                <w:sz w:val="21"/>
                <w:szCs w:val="21"/>
              </w:rPr>
              <w:t xml:space="preserve"> NMOSD would provide health benefits (gain in quality-adjusted life years and fewer relapses) and cost savings compared with no testing, in the base case and all sensitivity analyses</w:t>
            </w:r>
            <w:r>
              <w:rPr>
                <w:color w:val="000000"/>
                <w:sz w:val="21"/>
                <w:szCs w:val="21"/>
              </w:rPr>
              <w:t>.</w:t>
            </w:r>
          </w:p>
        </w:tc>
        <w:tc>
          <w:tcPr>
            <w:tcW w:w="5477" w:type="dxa"/>
          </w:tcPr>
          <w:p w14:paraId="426E2549" w14:textId="77777777" w:rsidR="00433B47" w:rsidRPr="00AE6913" w:rsidRDefault="00433B47" w:rsidP="00433B47">
            <w:pPr>
              <w:keepNext/>
              <w:spacing w:before="60" w:after="60"/>
              <w:rPr>
                <w:color w:val="000000"/>
                <w:sz w:val="21"/>
                <w:szCs w:val="21"/>
              </w:rPr>
            </w:pPr>
            <w:r w:rsidRPr="00AE6913">
              <w:rPr>
                <w:color w:val="000000"/>
                <w:sz w:val="21"/>
                <w:szCs w:val="21"/>
              </w:rPr>
              <w:t xml:space="preserve">The benefits of early testing all hinge on the clinical validity claim. The sensitivity and specificity of test is currently unknown, and: </w:t>
            </w:r>
          </w:p>
          <w:p w14:paraId="16994314" w14:textId="77777777" w:rsidR="00433B47" w:rsidRPr="00AE6913" w:rsidRDefault="00433B47" w:rsidP="00BE6047">
            <w:pPr>
              <w:keepNext/>
              <w:tabs>
                <w:tab w:val="left" w:pos="216"/>
              </w:tabs>
              <w:spacing w:before="60" w:after="60"/>
              <w:ind w:left="215" w:hanging="215"/>
              <w:rPr>
                <w:color w:val="000000"/>
                <w:sz w:val="21"/>
                <w:szCs w:val="21"/>
              </w:rPr>
            </w:pPr>
            <w:r w:rsidRPr="00AE6913">
              <w:rPr>
                <w:color w:val="000000"/>
                <w:sz w:val="21"/>
                <w:szCs w:val="21"/>
              </w:rPr>
              <w:t>the model does not include false positives</w:t>
            </w:r>
          </w:p>
          <w:p w14:paraId="10AF1CC7" w14:textId="77777777" w:rsidR="00433B47" w:rsidRDefault="00433B47" w:rsidP="00BE6047">
            <w:pPr>
              <w:keepNext/>
              <w:tabs>
                <w:tab w:val="left" w:pos="216"/>
              </w:tabs>
              <w:spacing w:before="60" w:after="60"/>
              <w:ind w:left="215" w:hanging="215"/>
              <w:rPr>
                <w:color w:val="000000"/>
                <w:sz w:val="21"/>
                <w:szCs w:val="21"/>
              </w:rPr>
            </w:pPr>
            <w:r w:rsidRPr="00AE6913">
              <w:rPr>
                <w:color w:val="000000"/>
                <w:sz w:val="21"/>
                <w:szCs w:val="21"/>
              </w:rPr>
              <w:t>the model assumes that any false negatives will eventually be corrected and be determined as true positives, but then the advantages of early detection are lost.</w:t>
            </w:r>
          </w:p>
          <w:p w14:paraId="28EFAED9" w14:textId="4FC7F8D9" w:rsidR="00433B47" w:rsidRPr="00AE6913" w:rsidRDefault="00433B47" w:rsidP="00BE6047">
            <w:pPr>
              <w:keepNext/>
              <w:tabs>
                <w:tab w:val="left" w:pos="216"/>
              </w:tabs>
              <w:spacing w:before="60" w:after="60"/>
              <w:ind w:left="215" w:hanging="215"/>
              <w:rPr>
                <w:color w:val="000000"/>
                <w:sz w:val="21"/>
                <w:szCs w:val="21"/>
              </w:rPr>
            </w:pPr>
            <w:r>
              <w:rPr>
                <w:color w:val="000000"/>
                <w:sz w:val="21"/>
                <w:szCs w:val="21"/>
              </w:rPr>
              <w:t>the model assumes a h</w:t>
            </w:r>
            <w:r w:rsidR="00BE6047">
              <w:rPr>
                <w:color w:val="000000"/>
                <w:sz w:val="21"/>
                <w:szCs w:val="21"/>
              </w:rPr>
              <w:t xml:space="preserve">igher percentage for initial MS </w:t>
            </w:r>
            <w:r>
              <w:rPr>
                <w:color w:val="000000"/>
                <w:sz w:val="21"/>
                <w:szCs w:val="21"/>
              </w:rPr>
              <w:t xml:space="preserve">misdiagnosis in seropositive cases. A lower percentage may lead to cost-neutral or ICER-positive modelling scenarios. </w:t>
            </w:r>
          </w:p>
        </w:tc>
      </w:tr>
      <w:tr w:rsidR="00433B47" w:rsidRPr="00AE6913" w14:paraId="0D29E424" w14:textId="77777777" w:rsidTr="00433B47">
        <w:tc>
          <w:tcPr>
            <w:tcW w:w="3539" w:type="dxa"/>
          </w:tcPr>
          <w:p w14:paraId="1E866FD1" w14:textId="77777777" w:rsidR="00433B47" w:rsidRPr="00AE6913" w:rsidRDefault="00433B47" w:rsidP="00433B47">
            <w:pPr>
              <w:keepNext/>
              <w:spacing w:before="60" w:after="60"/>
              <w:rPr>
                <w:color w:val="000000"/>
                <w:sz w:val="21"/>
                <w:szCs w:val="21"/>
              </w:rPr>
            </w:pPr>
            <w:r w:rsidRPr="00AE6913">
              <w:rPr>
                <w:color w:val="000000"/>
                <w:sz w:val="21"/>
                <w:szCs w:val="21"/>
              </w:rPr>
              <w:t>Financial implications are moderately uncertain</w:t>
            </w:r>
          </w:p>
        </w:tc>
        <w:tc>
          <w:tcPr>
            <w:tcW w:w="5477" w:type="dxa"/>
          </w:tcPr>
          <w:p w14:paraId="267C648B" w14:textId="77777777" w:rsidR="00433B47" w:rsidRPr="00AE6913" w:rsidRDefault="00433B47" w:rsidP="00433B47">
            <w:pPr>
              <w:keepNext/>
              <w:spacing w:before="60" w:after="60"/>
              <w:rPr>
                <w:color w:val="000000"/>
                <w:sz w:val="21"/>
                <w:szCs w:val="21"/>
              </w:rPr>
            </w:pPr>
            <w:r w:rsidRPr="00AE6913">
              <w:rPr>
                <w:color w:val="000000"/>
                <w:sz w:val="21"/>
                <w:szCs w:val="21"/>
              </w:rPr>
              <w:t>The financial implications are driven by growth rates in testing and the assumptions about offset from current services. There is moderate uncertainty in both of these estimates.</w:t>
            </w:r>
          </w:p>
        </w:tc>
      </w:tr>
    </w:tbl>
    <w:p w14:paraId="02DB2E77" w14:textId="77777777" w:rsidR="006A0D97" w:rsidRDefault="00F56D7F" w:rsidP="00F22A75">
      <w:pPr>
        <w:spacing w:before="240" w:after="120"/>
        <w:rPr>
          <w:b/>
        </w:rPr>
      </w:pPr>
      <w:r w:rsidRPr="00F56D7F">
        <w:rPr>
          <w:b/>
        </w:rPr>
        <w:t>ESC discussion</w:t>
      </w:r>
    </w:p>
    <w:p w14:paraId="2D923591" w14:textId="77777777" w:rsidR="00433B47" w:rsidRPr="00AE6913" w:rsidRDefault="00433B47" w:rsidP="00433B47">
      <w:pPr>
        <w:spacing w:after="240"/>
        <w:rPr>
          <w:color w:val="000000"/>
        </w:rPr>
      </w:pPr>
      <w:r w:rsidRPr="00AE6913">
        <w:rPr>
          <w:color w:val="000000"/>
        </w:rPr>
        <w:t>ESC noted that this application is for a new Medicare Benefits Schedule (MBS) listing for an antibody test to investigate the presence of neuromyelitis optica spectrum disorder (NMOSD) by detecting aquaporin 4 antibodies (AQP4-Abs) in serum and/or cerebrospinal fluid (CSF). AQP4-Ab testing is currently claimed under generic MBS item numbers 71119 or 71165.</w:t>
      </w:r>
    </w:p>
    <w:p w14:paraId="5D1DC734" w14:textId="77777777" w:rsidR="00433B47" w:rsidRPr="00AE6913" w:rsidRDefault="00433B47" w:rsidP="00433B47">
      <w:pPr>
        <w:spacing w:after="240"/>
        <w:rPr>
          <w:color w:val="000000"/>
        </w:rPr>
      </w:pPr>
      <w:r w:rsidRPr="00AE6913">
        <w:rPr>
          <w:color w:val="000000"/>
        </w:rPr>
        <w:t>ESC noted that no public consultation feedback was received for this application</w:t>
      </w:r>
      <w:r>
        <w:rPr>
          <w:color w:val="000000"/>
        </w:rPr>
        <w:t xml:space="preserve">, but </w:t>
      </w:r>
      <w:r>
        <w:t>letters were received from two specialist organisations during the PICO confirmation development stage, which supported the availability of AQP4-Ab and MOG-Ab testing on the MBS.</w:t>
      </w:r>
    </w:p>
    <w:p w14:paraId="5A700A54" w14:textId="015AA2A0" w:rsidR="00433B47" w:rsidRPr="00AE6913" w:rsidRDefault="00433B47" w:rsidP="00433B47">
      <w:pPr>
        <w:spacing w:after="240"/>
        <w:rPr>
          <w:color w:val="000000"/>
        </w:rPr>
      </w:pPr>
      <w:r w:rsidRPr="00AE6913">
        <w:rPr>
          <w:color w:val="000000"/>
        </w:rPr>
        <w:t xml:space="preserve">ESC considered the </w:t>
      </w:r>
      <w:r w:rsidR="00E87E72">
        <w:rPr>
          <w:color w:val="000000"/>
        </w:rPr>
        <w:t xml:space="preserve">proposed </w:t>
      </w:r>
      <w:r w:rsidRPr="00AE6913">
        <w:rPr>
          <w:color w:val="000000"/>
        </w:rPr>
        <w:t xml:space="preserve">MBS item descriptor to be appropriate, and that repeating testing if there is clinical inconsistency with the test result is also appropriate. </w:t>
      </w:r>
      <w:r>
        <w:rPr>
          <w:color w:val="000000"/>
        </w:rPr>
        <w:t xml:space="preserve">ESC considered that the current MBS item descriptor appropriately does not include repeat testing for the purposes of monitoring disease activity after diagnosis is confirmed, reflecting the lack of evidence to testing for this purpose. </w:t>
      </w:r>
      <w:r w:rsidRPr="00AE6913">
        <w:rPr>
          <w:color w:val="000000"/>
        </w:rPr>
        <w:t xml:space="preserve">ESC considered that repeat testing should be included in the economic model (this is not included in the current model), but agreed that these costs would </w:t>
      </w:r>
      <w:r>
        <w:rPr>
          <w:color w:val="000000"/>
        </w:rPr>
        <w:t xml:space="preserve">likely </w:t>
      </w:r>
      <w:r w:rsidRPr="00AE6913">
        <w:rPr>
          <w:color w:val="000000"/>
        </w:rPr>
        <w:t>be insignificant.</w:t>
      </w:r>
    </w:p>
    <w:p w14:paraId="17491CB3" w14:textId="5A664B2B" w:rsidR="00433B47" w:rsidRDefault="00433B47" w:rsidP="00433B47">
      <w:pPr>
        <w:spacing w:after="240"/>
        <w:rPr>
          <w:color w:val="000000"/>
        </w:rPr>
      </w:pPr>
      <w:r w:rsidRPr="00AE6913">
        <w:rPr>
          <w:color w:val="000000"/>
        </w:rPr>
        <w:t>ESC noted the limited evidence on clinical validity of AQP4 or myelin oligo</w:t>
      </w:r>
      <w:r>
        <w:rPr>
          <w:color w:val="000000"/>
        </w:rPr>
        <w:t>dendrocyte glycoprotein (MOG) antibody</w:t>
      </w:r>
      <w:r w:rsidRPr="00AE6913">
        <w:rPr>
          <w:color w:val="000000"/>
        </w:rPr>
        <w:t xml:space="preserve"> testing, especially </w:t>
      </w:r>
      <w:r>
        <w:rPr>
          <w:color w:val="000000"/>
        </w:rPr>
        <w:t xml:space="preserve">on the proportion of tests which are </w:t>
      </w:r>
      <w:r w:rsidRPr="00AE6913">
        <w:rPr>
          <w:color w:val="000000"/>
        </w:rPr>
        <w:t xml:space="preserve">false positives. </w:t>
      </w:r>
      <w:r>
        <w:rPr>
          <w:color w:val="000000"/>
        </w:rPr>
        <w:t xml:space="preserve">In general the diagnostic accuracy of AQP4 testing is likely to be overestimated as the clinical reference standard incorporates the AQP4 test result (incorporation bias). Despite the DCAR’s clinical assumption of no </w:t>
      </w:r>
      <w:r w:rsidRPr="0078531F">
        <w:rPr>
          <w:color w:val="000000"/>
        </w:rPr>
        <w:t>AQP4</w:t>
      </w:r>
      <w:r>
        <w:rPr>
          <w:color w:val="000000"/>
        </w:rPr>
        <w:t xml:space="preserve">-Ab false positives (i.e. </w:t>
      </w:r>
      <w:r w:rsidRPr="00281F42">
        <w:rPr>
          <w:color w:val="000000"/>
        </w:rPr>
        <w:t>AQP4</w:t>
      </w:r>
      <w:r>
        <w:rPr>
          <w:color w:val="000000"/>
        </w:rPr>
        <w:t xml:space="preserve">-Ab seropositivity is considered diagnostic for the condition), there were some estimates of </w:t>
      </w:r>
      <w:r w:rsidRPr="00AE6913">
        <w:rPr>
          <w:color w:val="000000"/>
        </w:rPr>
        <w:t xml:space="preserve"> </w:t>
      </w:r>
      <w:r>
        <w:rPr>
          <w:color w:val="000000"/>
        </w:rPr>
        <w:t xml:space="preserve">specificity that were less than 100% reflecting that </w:t>
      </w:r>
      <w:r w:rsidRPr="00AE6913">
        <w:rPr>
          <w:color w:val="000000"/>
        </w:rPr>
        <w:t>false positive</w:t>
      </w:r>
      <w:r>
        <w:rPr>
          <w:color w:val="000000"/>
        </w:rPr>
        <w:t xml:space="preserve"> results are possible</w:t>
      </w:r>
      <w:r w:rsidRPr="00AE6913">
        <w:rPr>
          <w:color w:val="000000"/>
        </w:rPr>
        <w:t xml:space="preserve">. </w:t>
      </w:r>
      <w:r>
        <w:rPr>
          <w:color w:val="000000"/>
        </w:rPr>
        <w:t xml:space="preserve">The 2015 international </w:t>
      </w:r>
      <w:r>
        <w:rPr>
          <w:color w:val="000000"/>
        </w:rPr>
        <w:lastRenderedPageBreak/>
        <w:t xml:space="preserve">consensus guidelines do not directly equate AQP4-Ab seropositivity with diagnosis. </w:t>
      </w:r>
      <w:r w:rsidRPr="00AE6913">
        <w:rPr>
          <w:color w:val="000000"/>
        </w:rPr>
        <w:t xml:space="preserve">ESC considered using concordance estimates as a proxy </w:t>
      </w:r>
      <w:r>
        <w:rPr>
          <w:color w:val="000000"/>
        </w:rPr>
        <w:t xml:space="preserve">for the minimum false positive rates could also be </w:t>
      </w:r>
      <w:r w:rsidRPr="00AE6913">
        <w:rPr>
          <w:color w:val="000000"/>
        </w:rPr>
        <w:t xml:space="preserve">appropriate. </w:t>
      </w:r>
      <w:r>
        <w:rPr>
          <w:color w:val="000000"/>
        </w:rPr>
        <w:t xml:space="preserve">Although it is clinically accepted that MOG-Ab tests may be positive in conditions other than NMOSD, the lack of a clinical reference standard for MOG-Ab </w:t>
      </w:r>
      <w:r w:rsidRPr="00281F42">
        <w:rPr>
          <w:color w:val="000000"/>
          <w:lang w:val="en-US"/>
        </w:rPr>
        <w:t xml:space="preserve">testing </w:t>
      </w:r>
      <w:r>
        <w:rPr>
          <w:color w:val="000000"/>
          <w:lang w:val="en-US"/>
        </w:rPr>
        <w:t>meant there was no evidence on diagnostic</w:t>
      </w:r>
      <w:r w:rsidRPr="00281F42">
        <w:rPr>
          <w:color w:val="000000"/>
          <w:lang w:val="en-US"/>
        </w:rPr>
        <w:t xml:space="preserve"> accuracy</w:t>
      </w:r>
      <w:r>
        <w:rPr>
          <w:color w:val="000000"/>
          <w:lang w:val="en-US"/>
        </w:rPr>
        <w:t>.</w:t>
      </w:r>
      <w:r w:rsidRPr="00281F42">
        <w:rPr>
          <w:color w:val="000000"/>
          <w:lang w:val="en-US"/>
        </w:rPr>
        <w:t xml:space="preserve"> </w:t>
      </w:r>
      <w:r w:rsidRPr="00AE6913">
        <w:rPr>
          <w:color w:val="000000"/>
        </w:rPr>
        <w:t xml:space="preserve">Including MOG-Ab </w:t>
      </w:r>
      <w:r>
        <w:rPr>
          <w:color w:val="000000"/>
        </w:rPr>
        <w:t xml:space="preserve">in the diagnostic test pathway, </w:t>
      </w:r>
      <w:r w:rsidRPr="00AE6913">
        <w:rPr>
          <w:color w:val="000000"/>
        </w:rPr>
        <w:t>and allowing repeat testing of AQP4</w:t>
      </w:r>
      <w:r>
        <w:rPr>
          <w:color w:val="000000"/>
        </w:rPr>
        <w:t>,</w:t>
      </w:r>
      <w:r w:rsidRPr="00AE6913">
        <w:rPr>
          <w:color w:val="000000"/>
        </w:rPr>
        <w:t xml:space="preserve"> w</w:t>
      </w:r>
      <w:r w:rsidR="00E87E72">
        <w:rPr>
          <w:color w:val="000000"/>
        </w:rPr>
        <w:t>ould</w:t>
      </w:r>
      <w:r w:rsidRPr="00AE6913">
        <w:rPr>
          <w:color w:val="000000"/>
        </w:rPr>
        <w:t xml:space="preserve"> </w:t>
      </w:r>
      <w:r>
        <w:rPr>
          <w:color w:val="000000"/>
        </w:rPr>
        <w:t xml:space="preserve">tend to </w:t>
      </w:r>
      <w:r w:rsidR="00E87E72">
        <w:rPr>
          <w:color w:val="000000"/>
        </w:rPr>
        <w:t xml:space="preserve">both </w:t>
      </w:r>
      <w:r w:rsidRPr="00AE6913">
        <w:rPr>
          <w:color w:val="000000"/>
        </w:rPr>
        <w:t xml:space="preserve">increase </w:t>
      </w:r>
      <w:r>
        <w:rPr>
          <w:color w:val="000000"/>
        </w:rPr>
        <w:t>clinical sensitivity (and decrease the false negative rate)</w:t>
      </w:r>
      <w:r w:rsidRPr="00AE6913">
        <w:rPr>
          <w:color w:val="000000"/>
        </w:rPr>
        <w:t xml:space="preserve">, </w:t>
      </w:r>
      <w:r w:rsidR="00E87E72">
        <w:rPr>
          <w:color w:val="000000"/>
        </w:rPr>
        <w:t xml:space="preserve">and </w:t>
      </w:r>
      <w:r>
        <w:rPr>
          <w:color w:val="000000"/>
        </w:rPr>
        <w:t>decreas</w:t>
      </w:r>
      <w:r w:rsidR="00E87E72">
        <w:rPr>
          <w:color w:val="000000"/>
        </w:rPr>
        <w:t>e</w:t>
      </w:r>
      <w:r>
        <w:rPr>
          <w:color w:val="000000"/>
        </w:rPr>
        <w:t xml:space="preserve"> specificity (and</w:t>
      </w:r>
      <w:r w:rsidRPr="00AE6913">
        <w:rPr>
          <w:color w:val="000000"/>
        </w:rPr>
        <w:t xml:space="preserve"> increas</w:t>
      </w:r>
      <w:r w:rsidR="00E87E72">
        <w:rPr>
          <w:color w:val="000000"/>
        </w:rPr>
        <w:t>e</w:t>
      </w:r>
      <w:r w:rsidRPr="00AE6913">
        <w:rPr>
          <w:color w:val="000000"/>
        </w:rPr>
        <w:t xml:space="preserve"> the false positive</w:t>
      </w:r>
      <w:r>
        <w:rPr>
          <w:color w:val="000000"/>
        </w:rPr>
        <w:t xml:space="preserve"> rate). </w:t>
      </w:r>
      <w:r w:rsidRPr="00AE6913">
        <w:rPr>
          <w:color w:val="000000"/>
        </w:rPr>
        <w:t xml:space="preserve">False negative results </w:t>
      </w:r>
      <w:r>
        <w:rPr>
          <w:color w:val="000000"/>
        </w:rPr>
        <w:t>could cause misdiagnosis with MS and other conditions and could</w:t>
      </w:r>
      <w:r w:rsidRPr="00AE6913">
        <w:rPr>
          <w:color w:val="000000"/>
        </w:rPr>
        <w:t xml:space="preserve"> result in </w:t>
      </w:r>
      <w:r>
        <w:rPr>
          <w:color w:val="000000"/>
        </w:rPr>
        <w:t xml:space="preserve">delayed diagnosis and treatment of NMOSD as well as </w:t>
      </w:r>
      <w:r w:rsidRPr="00AE6913">
        <w:rPr>
          <w:color w:val="000000"/>
        </w:rPr>
        <w:t xml:space="preserve">a patient </w:t>
      </w:r>
      <w:r>
        <w:rPr>
          <w:color w:val="000000"/>
        </w:rPr>
        <w:t xml:space="preserve">incorrectly </w:t>
      </w:r>
      <w:r w:rsidRPr="00AE6913">
        <w:rPr>
          <w:color w:val="000000"/>
        </w:rPr>
        <w:t>receiving potentially harmful MS treatments.</w:t>
      </w:r>
      <w:r>
        <w:rPr>
          <w:color w:val="000000"/>
        </w:rPr>
        <w:t xml:space="preserve"> Conversely, false positive results could</w:t>
      </w:r>
      <w:r w:rsidRPr="00AE6913">
        <w:rPr>
          <w:color w:val="000000"/>
        </w:rPr>
        <w:t xml:space="preserve"> </w:t>
      </w:r>
      <w:r>
        <w:rPr>
          <w:color w:val="000000"/>
        </w:rPr>
        <w:t xml:space="preserve">cause misdiagnosis with </w:t>
      </w:r>
      <w:r w:rsidRPr="00AE6913">
        <w:rPr>
          <w:color w:val="000000"/>
        </w:rPr>
        <w:t>NMOSD</w:t>
      </w:r>
      <w:r w:rsidRPr="00AE6913" w:rsidDel="0078531F">
        <w:rPr>
          <w:color w:val="000000"/>
        </w:rPr>
        <w:t xml:space="preserve"> </w:t>
      </w:r>
      <w:r>
        <w:rPr>
          <w:color w:val="000000"/>
        </w:rPr>
        <w:t>and cause</w:t>
      </w:r>
      <w:r w:rsidRPr="00AE6913">
        <w:rPr>
          <w:color w:val="000000"/>
        </w:rPr>
        <w:t xml:space="preserve"> delayed diagnosis and treatment of multiple sclerosis (MS) and other conditions</w:t>
      </w:r>
      <w:r>
        <w:rPr>
          <w:color w:val="000000"/>
        </w:rPr>
        <w:t>, but this possibility was not considered in the DCAR</w:t>
      </w:r>
      <w:r w:rsidRPr="00AE6913">
        <w:rPr>
          <w:color w:val="000000"/>
        </w:rPr>
        <w:t>.</w:t>
      </w:r>
    </w:p>
    <w:p w14:paraId="7B9B3A3B" w14:textId="75C0A529" w:rsidR="00433B47" w:rsidRDefault="00433B47" w:rsidP="00433B47">
      <w:pPr>
        <w:rPr>
          <w:color w:val="000000"/>
        </w:rPr>
      </w:pPr>
      <w:r>
        <w:rPr>
          <w:color w:val="000000"/>
        </w:rPr>
        <w:t xml:space="preserve">ESC noted that the linked evidence approach taken in the DCAR assumed the </w:t>
      </w:r>
      <w:r w:rsidRPr="006E30B4">
        <w:rPr>
          <w:color w:val="000000"/>
        </w:rPr>
        <w:t>same spectrum of disease in trials/studies used to estimate therapeutic effectiveness applies to Australian clinical population</w:t>
      </w:r>
      <w:r>
        <w:rPr>
          <w:color w:val="000000"/>
        </w:rPr>
        <w:t xml:space="preserve">. However the low rates of </w:t>
      </w:r>
      <w:r w:rsidRPr="006E30B4">
        <w:rPr>
          <w:color w:val="000000"/>
        </w:rPr>
        <w:t xml:space="preserve">AQP4-Ab </w:t>
      </w:r>
      <w:r>
        <w:rPr>
          <w:color w:val="000000"/>
        </w:rPr>
        <w:t>positivity from the Australian clinical pathology laboratory data suggests broader testing in the Australian clinical population. The potentially broader spectrum of disease which includes milder cases and more ambiguous cases, could mean that the</w:t>
      </w:r>
      <w:r w:rsidRPr="006E30B4">
        <w:rPr>
          <w:color w:val="000000"/>
        </w:rPr>
        <w:t xml:space="preserve"> therapeutic effectiveness in </w:t>
      </w:r>
      <w:r>
        <w:rPr>
          <w:color w:val="000000"/>
        </w:rPr>
        <w:t>the Australian clinical population is lower than that assumed in the DCAR econom</w:t>
      </w:r>
      <w:r w:rsidR="00F22A75">
        <w:rPr>
          <w:color w:val="000000"/>
        </w:rPr>
        <w:t>ic model.</w:t>
      </w:r>
    </w:p>
    <w:p w14:paraId="7F01ACBE" w14:textId="7BA066E8" w:rsidR="00E87E72" w:rsidRPr="00AE6913" w:rsidRDefault="00433B47" w:rsidP="00F22A75">
      <w:pPr>
        <w:spacing w:before="240"/>
        <w:rPr>
          <w:color w:val="000000"/>
        </w:rPr>
      </w:pPr>
      <w:r w:rsidRPr="00AE6913">
        <w:rPr>
          <w:color w:val="000000"/>
        </w:rPr>
        <w:t xml:space="preserve">ESC noted the </w:t>
      </w:r>
      <w:r>
        <w:rPr>
          <w:color w:val="000000"/>
        </w:rPr>
        <w:t>decision tree for Markov modelling</w:t>
      </w:r>
      <w:r w:rsidRPr="00AE6913">
        <w:rPr>
          <w:color w:val="000000"/>
        </w:rPr>
        <w:t xml:space="preserve"> only follows patients </w:t>
      </w:r>
      <w:r w:rsidR="00E87E72">
        <w:rPr>
          <w:color w:val="000000"/>
        </w:rPr>
        <w:t>who</w:t>
      </w:r>
      <w:r w:rsidRPr="00AE6913">
        <w:rPr>
          <w:color w:val="000000"/>
        </w:rPr>
        <w:t xml:space="preserve"> would have tested positive or do test positive</w:t>
      </w:r>
      <w:r>
        <w:rPr>
          <w:color w:val="000000"/>
        </w:rPr>
        <w:t>. The antibody negative arms for both testing and no testing are considered to ‘cancel’ each other from ICER calculations.</w:t>
      </w:r>
      <w:r w:rsidRPr="00AE6913">
        <w:rPr>
          <w:color w:val="000000"/>
        </w:rPr>
        <w:t xml:space="preserve"> ESC agreed with the assumption that the patients who test negative for AQP4-Ab/MOG-Ab face a similar diagnostic challenge and ongoing management of disease pathways irrespective of the modelled arm. However, false negatives are not explicitly modelled, and ESC therefore considered that the downstream costs and health outcomes of these patients would be equal across the two arms, which would offset each other when estimating incremental cost-effectiveness. The model also assumes that any false negatives will eventually be corrected</w:t>
      </w:r>
      <w:r>
        <w:rPr>
          <w:color w:val="000000"/>
        </w:rPr>
        <w:t xml:space="preserve"> with repeat testing as disease progresses</w:t>
      </w:r>
      <w:r w:rsidRPr="00AE6913">
        <w:rPr>
          <w:color w:val="000000"/>
        </w:rPr>
        <w:t>, but this means the benefits of early detection are lost. ESC noted that the model also assumes that all positive results will be treated appropriately. These assumptions all lead to uncertainty in the modelling.</w:t>
      </w:r>
    </w:p>
    <w:p w14:paraId="1CF5E0DC" w14:textId="0BDE41D1" w:rsidR="00433B47" w:rsidRPr="00AE6913" w:rsidRDefault="00433B47" w:rsidP="00F22A75">
      <w:pPr>
        <w:spacing w:before="240" w:after="240"/>
        <w:rPr>
          <w:color w:val="000000"/>
        </w:rPr>
      </w:pPr>
      <w:r w:rsidRPr="00AE6913">
        <w:rPr>
          <w:color w:val="000000"/>
        </w:rPr>
        <w:t xml:space="preserve">ESC noted </w:t>
      </w:r>
      <w:r w:rsidR="00E87E72">
        <w:rPr>
          <w:color w:val="000000"/>
        </w:rPr>
        <w:t>that t</w:t>
      </w:r>
      <w:r>
        <w:rPr>
          <w:color w:val="000000"/>
        </w:rPr>
        <w:t>he economic modelling is dominant</w:t>
      </w:r>
      <w:r w:rsidR="00E87E72">
        <w:rPr>
          <w:color w:val="000000"/>
        </w:rPr>
        <w:t>,</w:t>
      </w:r>
      <w:r>
        <w:rPr>
          <w:color w:val="000000"/>
        </w:rPr>
        <w:t xml:space="preserve"> but additional sensitivity analyses suggest a positive ICER is possible. A key driver of costs in the model is the proportion specified for initial misdiagnosis with MS for those who would have tested seropositive.</w:t>
      </w:r>
    </w:p>
    <w:p w14:paraId="1FC0221A" w14:textId="77777777" w:rsidR="00433B47" w:rsidRPr="00AE6913" w:rsidRDefault="00433B47" w:rsidP="00433B47">
      <w:pPr>
        <w:spacing w:after="240"/>
        <w:rPr>
          <w:color w:val="000000"/>
        </w:rPr>
      </w:pPr>
      <w:r w:rsidRPr="00AE6913">
        <w:rPr>
          <w:color w:val="000000"/>
        </w:rPr>
        <w:t>ESC noted that the net cost to the MBS is sensitive to repeat testing and monitoring, and increasing use from year 1 to 5, making the financial impacts uncertain.</w:t>
      </w:r>
    </w:p>
    <w:p w14:paraId="107922D5" w14:textId="77777777" w:rsidR="00D90A38" w:rsidRPr="00F715D1" w:rsidRDefault="00BC1364" w:rsidP="00F715D1">
      <w:pPr>
        <w:pStyle w:val="Heading1"/>
      </w:pPr>
      <w:r w:rsidRPr="00F715D1">
        <w:t>Other significant factors</w:t>
      </w:r>
    </w:p>
    <w:p w14:paraId="123A1209" w14:textId="607D84F5" w:rsidR="00BC1364" w:rsidRPr="00B63FFD" w:rsidRDefault="00BC1364" w:rsidP="00F715D1">
      <w:pPr>
        <w:spacing w:after="240"/>
        <w:rPr>
          <w:szCs w:val="24"/>
        </w:rPr>
      </w:pPr>
      <w:r w:rsidRPr="00B63FFD">
        <w:rPr>
          <w:szCs w:val="24"/>
        </w:rPr>
        <w:t>Nil</w:t>
      </w:r>
      <w:r w:rsidR="00B63FFD" w:rsidRPr="00B63FFD">
        <w:rPr>
          <w:szCs w:val="24"/>
        </w:rPr>
        <w:t>.</w:t>
      </w:r>
    </w:p>
    <w:p w14:paraId="58D28FC7"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20E29B17" w14:textId="42F48F48" w:rsidR="00BC1364" w:rsidRPr="00465B29" w:rsidRDefault="00465B29" w:rsidP="00F715D1">
      <w:pPr>
        <w:spacing w:after="240"/>
        <w:rPr>
          <w:szCs w:val="24"/>
        </w:rPr>
      </w:pPr>
      <w:r w:rsidRPr="00465B29">
        <w:rPr>
          <w:szCs w:val="24"/>
        </w:rPr>
        <w:t>The Applicant had no comment.</w:t>
      </w:r>
    </w:p>
    <w:p w14:paraId="30647402" w14:textId="77777777" w:rsidR="00BC1364" w:rsidRPr="00F715D1" w:rsidRDefault="00271F18" w:rsidP="00F715D1">
      <w:pPr>
        <w:pStyle w:val="Heading1"/>
      </w:pPr>
      <w:r w:rsidRPr="00F715D1">
        <w:lastRenderedPageBreak/>
        <w:t>Further information on MSAC</w:t>
      </w:r>
    </w:p>
    <w:p w14:paraId="18C3427A"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8"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9"/>
      <w:headerReference w:type="default" r:id="rId20"/>
      <w:footerReference w:type="even" r:id="rId21"/>
      <w:footerReference w:type="default" r:id="rId22"/>
      <w:headerReference w:type="first" r:id="rId23"/>
      <w:footerReference w:type="first" r:id="rId24"/>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68C1" w16cex:dateUtc="2020-08-18T23:30:00Z"/>
  <w16cex:commentExtensible w16cex:durableId="22E7688B" w16cex:dateUtc="2020-08-18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39D6B6" w16cid:durableId="22E768C1"/>
  <w16cid:commentId w16cid:paraId="4CE44C6E" w16cid:durableId="22E7688B"/>
  <w16cid:commentId w16cid:paraId="41A10471" w16cid:durableId="22E767E3"/>
  <w16cid:commentId w16cid:paraId="39C7A3F1" w16cid:durableId="22E767E4"/>
  <w16cid:commentId w16cid:paraId="2C65F45D" w16cid:durableId="22E767E5"/>
  <w16cid:commentId w16cid:paraId="72BDDCE5" w16cid:durableId="22E767E6"/>
  <w16cid:commentId w16cid:paraId="0CD2C225" w16cid:durableId="22E767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9728A" w14:textId="77777777" w:rsidR="009D6016" w:rsidRDefault="009D6016" w:rsidP="00065623">
      <w:r>
        <w:separator/>
      </w:r>
    </w:p>
  </w:endnote>
  <w:endnote w:type="continuationSeparator" w:id="0">
    <w:p w14:paraId="2BE137FB" w14:textId="77777777" w:rsidR="009D6016" w:rsidRDefault="009D601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70CF" w14:textId="77777777" w:rsidR="009D6016" w:rsidRDefault="009D6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F0B04F6" w14:textId="14F4646A" w:rsidR="009D6016" w:rsidRDefault="009D6016">
        <w:pPr>
          <w:pStyle w:val="Footer"/>
          <w:jc w:val="right"/>
        </w:pPr>
        <w:r>
          <w:fldChar w:fldCharType="begin"/>
        </w:r>
        <w:r>
          <w:instrText xml:space="preserve"> PAGE   \* MERGEFORMAT </w:instrText>
        </w:r>
        <w:r>
          <w:fldChar w:fldCharType="separate"/>
        </w:r>
        <w:r w:rsidR="00DB72DE">
          <w:rPr>
            <w:noProof/>
          </w:rPr>
          <w:t>21</w:t>
        </w:r>
        <w:r>
          <w:rPr>
            <w:noProof/>
          </w:rPr>
          <w:fldChar w:fldCharType="end"/>
        </w:r>
      </w:p>
    </w:sdtContent>
  </w:sdt>
  <w:p w14:paraId="74CA35B1" w14:textId="77777777" w:rsidR="009D6016" w:rsidRDefault="009D6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922EC" w14:textId="77777777" w:rsidR="009D6016" w:rsidRDefault="009D6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3EE1" w14:textId="77777777" w:rsidR="009D6016" w:rsidRDefault="009D6016" w:rsidP="00065623">
      <w:r>
        <w:separator/>
      </w:r>
    </w:p>
  </w:footnote>
  <w:footnote w:type="continuationSeparator" w:id="0">
    <w:p w14:paraId="16BFD59D" w14:textId="77777777" w:rsidR="009D6016" w:rsidRDefault="009D6016" w:rsidP="00065623">
      <w:r>
        <w:continuationSeparator/>
      </w:r>
    </w:p>
  </w:footnote>
  <w:footnote w:id="1">
    <w:p w14:paraId="56EAEB32" w14:textId="77777777" w:rsidR="009D6016" w:rsidRDefault="009D6016" w:rsidP="00AC7873">
      <w:pPr>
        <w:pStyle w:val="FootnoteText"/>
      </w:pPr>
      <w:r>
        <w:rPr>
          <w:rStyle w:val="FootnoteReference"/>
        </w:rPr>
        <w:footnoteRef/>
      </w:r>
      <w:r>
        <w:t xml:space="preserve"> </w:t>
      </w:r>
      <w:r w:rsidRPr="00FC7A82">
        <w:t>PCC-Immunology 2018, Report from the  Pathology-Clinical-Committee-Immunology,  Medicare Benefits Schedule Review Taskforce, Department of Health, Commonwealth of Australia, Canberra, Australia.</w:t>
      </w:r>
    </w:p>
  </w:footnote>
  <w:footnote w:id="2">
    <w:p w14:paraId="765217C3" w14:textId="77777777" w:rsidR="009D6016" w:rsidRDefault="009D6016" w:rsidP="00433B47">
      <w:pPr>
        <w:pStyle w:val="FootnoteText"/>
      </w:pPr>
      <w:r>
        <w:rPr>
          <w:rStyle w:val="FootnoteReference"/>
        </w:rPr>
        <w:footnoteRef/>
      </w:r>
      <w:r>
        <w:t xml:space="preserve"> </w:t>
      </w:r>
      <w:proofErr w:type="spellStart"/>
      <w:r w:rsidRPr="00E96A93">
        <w:t>Wingerchuk</w:t>
      </w:r>
      <w:proofErr w:type="spellEnd"/>
      <w:r w:rsidRPr="00E96A93">
        <w:t xml:space="preserve">, DM, </w:t>
      </w:r>
      <w:proofErr w:type="spellStart"/>
      <w:r w:rsidRPr="00E96A93">
        <w:t>Banwell</w:t>
      </w:r>
      <w:proofErr w:type="spellEnd"/>
      <w:r w:rsidRPr="00E96A93">
        <w:t xml:space="preserve">, B, Bennett, JL, </w:t>
      </w:r>
      <w:proofErr w:type="spellStart"/>
      <w:r w:rsidRPr="00E96A93">
        <w:t>Cabre</w:t>
      </w:r>
      <w:proofErr w:type="spellEnd"/>
      <w:r w:rsidRPr="00E96A93">
        <w:t xml:space="preserve">, P, Carroll, WM, </w:t>
      </w:r>
      <w:proofErr w:type="spellStart"/>
      <w:r w:rsidRPr="00E96A93">
        <w:t>Chitnis</w:t>
      </w:r>
      <w:proofErr w:type="spellEnd"/>
      <w:r w:rsidRPr="00E96A93">
        <w:t xml:space="preserve">, T, de </w:t>
      </w:r>
      <w:proofErr w:type="spellStart"/>
      <w:r w:rsidRPr="00E96A93">
        <w:t>Seze</w:t>
      </w:r>
      <w:proofErr w:type="spellEnd"/>
      <w:r w:rsidRPr="00E96A93">
        <w:t xml:space="preserve">, J, </w:t>
      </w:r>
      <w:proofErr w:type="spellStart"/>
      <w:r w:rsidRPr="00E96A93">
        <w:t>Fujihara</w:t>
      </w:r>
      <w:proofErr w:type="spellEnd"/>
      <w:r w:rsidRPr="00E96A93">
        <w:t xml:space="preserve">, K, Greenberg, BM, Jacob, A, </w:t>
      </w:r>
      <w:proofErr w:type="spellStart"/>
      <w:r w:rsidRPr="00E96A93">
        <w:t>Jarius</w:t>
      </w:r>
      <w:proofErr w:type="spellEnd"/>
      <w:r w:rsidRPr="00E96A93">
        <w:t>, S, Lana-</w:t>
      </w:r>
      <w:proofErr w:type="spellStart"/>
      <w:r w:rsidRPr="00E96A93">
        <w:t>Peixoto</w:t>
      </w:r>
      <w:proofErr w:type="spellEnd"/>
      <w:r w:rsidRPr="00E96A93">
        <w:t xml:space="preserve">, M, Levy, M, Simon, JH, </w:t>
      </w:r>
      <w:proofErr w:type="spellStart"/>
      <w:r w:rsidRPr="00E96A93">
        <w:t>Tenembaum</w:t>
      </w:r>
      <w:proofErr w:type="spellEnd"/>
      <w:r w:rsidRPr="00E96A93">
        <w:t xml:space="preserve">, S, </w:t>
      </w:r>
      <w:proofErr w:type="spellStart"/>
      <w:r w:rsidRPr="00E96A93">
        <w:t>Traboulsee</w:t>
      </w:r>
      <w:proofErr w:type="spellEnd"/>
      <w:r w:rsidRPr="00E96A93">
        <w:t xml:space="preserve">, AL, Waters, P, </w:t>
      </w:r>
      <w:proofErr w:type="spellStart"/>
      <w:r w:rsidRPr="00E96A93">
        <w:t>Wellik</w:t>
      </w:r>
      <w:proofErr w:type="spellEnd"/>
      <w:r w:rsidRPr="00E96A93">
        <w:t xml:space="preserve">, KE &amp; </w:t>
      </w:r>
      <w:proofErr w:type="spellStart"/>
      <w:r w:rsidRPr="00E96A93">
        <w:t>Weinshenker</w:t>
      </w:r>
      <w:proofErr w:type="spellEnd"/>
      <w:r w:rsidRPr="00E96A93">
        <w:t xml:space="preserve">, BG 2015, 'International consensus diagnostic criteria for </w:t>
      </w:r>
      <w:proofErr w:type="spellStart"/>
      <w:r w:rsidRPr="00E96A93">
        <w:t>neuromyelitis</w:t>
      </w:r>
      <w:proofErr w:type="spellEnd"/>
      <w:r w:rsidRPr="00E96A93">
        <w:t xml:space="preserve"> </w:t>
      </w:r>
      <w:proofErr w:type="spellStart"/>
      <w:r w:rsidRPr="00E96A93">
        <w:t>optica</w:t>
      </w:r>
      <w:proofErr w:type="spellEnd"/>
      <w:r w:rsidRPr="00E96A93">
        <w:t xml:space="preserve"> spectrum disorders', Neurology, vol. 85, no. 2, pp. 177-189.</w:t>
      </w:r>
    </w:p>
  </w:footnote>
  <w:footnote w:id="3">
    <w:p w14:paraId="46668368" w14:textId="77777777" w:rsidR="009D6016" w:rsidRDefault="009D6016" w:rsidP="00433B47">
      <w:pPr>
        <w:pStyle w:val="FootnoteText"/>
      </w:pPr>
      <w:r>
        <w:rPr>
          <w:rStyle w:val="FootnoteReference"/>
        </w:rPr>
        <w:footnoteRef/>
      </w:r>
      <w:r>
        <w:t xml:space="preserve"> </w:t>
      </w:r>
      <w:r w:rsidRPr="00B52D4B">
        <w:t xml:space="preserve">Gao, F, Chai, B, </w:t>
      </w:r>
      <w:proofErr w:type="spellStart"/>
      <w:r w:rsidRPr="00B52D4B">
        <w:t>Gu</w:t>
      </w:r>
      <w:proofErr w:type="spellEnd"/>
      <w:r w:rsidRPr="00B52D4B">
        <w:t xml:space="preserve">, C, Wu, R, Dong, T, Yao, Y &amp; Zhang, Y 2019, 'Effectiveness of rituximab in </w:t>
      </w:r>
      <w:proofErr w:type="spellStart"/>
      <w:r w:rsidRPr="00B52D4B">
        <w:t>neuromyelitis</w:t>
      </w:r>
      <w:proofErr w:type="spellEnd"/>
      <w:r w:rsidRPr="00B52D4B">
        <w:t xml:space="preserve"> </w:t>
      </w:r>
      <w:proofErr w:type="spellStart"/>
      <w:r w:rsidRPr="00B52D4B">
        <w:t>optica</w:t>
      </w:r>
      <w:proofErr w:type="spellEnd"/>
      <w:r w:rsidRPr="00B52D4B">
        <w:t xml:space="preserve">: a meta-analysis', BMC </w:t>
      </w:r>
      <w:proofErr w:type="spellStart"/>
      <w:r w:rsidRPr="00B52D4B">
        <w:t>Neurol</w:t>
      </w:r>
      <w:proofErr w:type="spellEnd"/>
      <w:r w:rsidRPr="00B52D4B">
        <w:t>, vol. 19, no. 1, Mar 6, pp. 1-7.</w:t>
      </w:r>
    </w:p>
  </w:footnote>
  <w:footnote w:id="4">
    <w:p w14:paraId="65CC1874" w14:textId="77777777" w:rsidR="009D6016" w:rsidRDefault="009D6016" w:rsidP="00433B47">
      <w:pPr>
        <w:pStyle w:val="FootnoteText"/>
      </w:pPr>
      <w:r>
        <w:rPr>
          <w:rStyle w:val="FootnoteReference"/>
        </w:rPr>
        <w:footnoteRef/>
      </w:r>
      <w:r>
        <w:t xml:space="preserve"> </w:t>
      </w:r>
      <w:proofErr w:type="spellStart"/>
      <w:r w:rsidRPr="00B52D4B">
        <w:t>Pittock</w:t>
      </w:r>
      <w:proofErr w:type="spellEnd"/>
      <w:r w:rsidRPr="00B52D4B">
        <w:t xml:space="preserve">, S, </w:t>
      </w:r>
      <w:proofErr w:type="spellStart"/>
      <w:r w:rsidRPr="00B52D4B">
        <w:t>Berthele</w:t>
      </w:r>
      <w:proofErr w:type="spellEnd"/>
      <w:r w:rsidRPr="00B52D4B">
        <w:t xml:space="preserve">, A, </w:t>
      </w:r>
      <w:proofErr w:type="spellStart"/>
      <w:r w:rsidRPr="00B52D4B">
        <w:t>Fujihara</w:t>
      </w:r>
      <w:proofErr w:type="spellEnd"/>
      <w:r w:rsidRPr="00B52D4B">
        <w:t xml:space="preserve">, K, Kim, HJ, Levy, M, Palace, J, Nakashima, I, Terzi, M, </w:t>
      </w:r>
      <w:proofErr w:type="spellStart"/>
      <w:r w:rsidRPr="00B52D4B">
        <w:t>Totolyan</w:t>
      </w:r>
      <w:proofErr w:type="spellEnd"/>
      <w:r w:rsidRPr="00B52D4B">
        <w:t xml:space="preserve">, N, </w:t>
      </w:r>
      <w:proofErr w:type="spellStart"/>
      <w:r w:rsidRPr="00B52D4B">
        <w:t>Viswanathan</w:t>
      </w:r>
      <w:proofErr w:type="spellEnd"/>
      <w:r w:rsidRPr="00B52D4B">
        <w:t xml:space="preserve">, S, Wang, K-C, Pace, A, Fujita, KP, Armstrong, R &amp; </w:t>
      </w:r>
      <w:proofErr w:type="spellStart"/>
      <w:r w:rsidRPr="00B52D4B">
        <w:t>Wingerchuk</w:t>
      </w:r>
      <w:proofErr w:type="spellEnd"/>
      <w:r w:rsidRPr="00B52D4B">
        <w:t>, DM 2019, '</w:t>
      </w:r>
      <w:proofErr w:type="spellStart"/>
      <w:r w:rsidRPr="00B52D4B">
        <w:t>Eculizumab</w:t>
      </w:r>
      <w:proofErr w:type="spellEnd"/>
      <w:r w:rsidRPr="00B52D4B">
        <w:t xml:space="preserve"> in Aquaporin-4–Positive </w:t>
      </w:r>
      <w:proofErr w:type="spellStart"/>
      <w:r w:rsidRPr="00B52D4B">
        <w:t>Neuromyelitis</w:t>
      </w:r>
      <w:proofErr w:type="spellEnd"/>
      <w:r w:rsidRPr="00B52D4B">
        <w:t xml:space="preserve"> </w:t>
      </w:r>
      <w:proofErr w:type="spellStart"/>
      <w:r w:rsidRPr="00B52D4B">
        <w:t>Optica</w:t>
      </w:r>
      <w:proofErr w:type="spellEnd"/>
      <w:r w:rsidRPr="00B52D4B">
        <w:t xml:space="preserve"> Spectrum Disorder', New England Journal of Medicine, vol. 381, no. 7, pp. 614-625.</w:t>
      </w:r>
    </w:p>
  </w:footnote>
  <w:footnote w:id="5">
    <w:p w14:paraId="61D2F4A7" w14:textId="5F4FC546" w:rsidR="009D6016" w:rsidRDefault="009D6016" w:rsidP="00433B47">
      <w:pPr>
        <w:pStyle w:val="FootnoteText"/>
      </w:pPr>
      <w:r>
        <w:rPr>
          <w:rStyle w:val="FootnoteReference"/>
          <w:rFonts w:eastAsiaTheme="majorEastAsia"/>
        </w:rPr>
        <w:footnoteRef/>
      </w:r>
      <w:r>
        <w:t xml:space="preserve"> </w:t>
      </w:r>
      <w:proofErr w:type="gramStart"/>
      <w:r>
        <w:t xml:space="preserve">These results could be considered in light of the results of the ONTT, in which patients with ON were randomised within 8 days of symptom occurrence to </w:t>
      </w:r>
      <w:r w:rsidRPr="00E12765">
        <w:t xml:space="preserve">oral </w:t>
      </w:r>
      <w:hyperlink r:id="rId1" w:history="1">
        <w:r w:rsidRPr="00E12765">
          <w:t>prednisone</w:t>
        </w:r>
      </w:hyperlink>
      <w:r w:rsidRPr="00E12765">
        <w:t xml:space="preserve"> (1 mg/kg per day) for 14 days with a four-day taper, intravenous </w:t>
      </w:r>
      <w:hyperlink r:id="rId2" w:history="1">
        <w:r w:rsidRPr="00E12765">
          <w:t>methylprednisolone</w:t>
        </w:r>
      </w:hyperlink>
      <w:r w:rsidRPr="00E12765">
        <w:t xml:space="preserve"> (250 mg four times per day for three days) followed by oral prednisone (1 mg/kg per day) for 11 days with a four-day tap</w:t>
      </w:r>
      <w:r>
        <w:t>er, or oral placebo for 14 days.</w:t>
      </w:r>
      <w:proofErr w:type="gramEnd"/>
      <w:r>
        <w:t xml:space="preserve"> </w:t>
      </w:r>
      <w:r w:rsidRPr="00E12765">
        <w:t>The primary visual outcomes were visual acuity and contrast sensitivity.</w:t>
      </w:r>
      <w:r>
        <w:t xml:space="preserve"> A summary of results can be found at: </w:t>
      </w:r>
      <w:hyperlink r:id="rId3" w:tooltip="Link to UpToDate web page for Optic neuritis: Prognosis and treatment" w:history="1">
        <w:r w:rsidRPr="0085223A">
          <w:rPr>
            <w:rStyle w:val="Hyperlink"/>
          </w:rPr>
          <w:t>https://www.uptodate.com/contents/optic-neuritis-prognosis-and-treatment</w:t>
        </w:r>
      </w:hyperlink>
      <w:r>
        <w:t xml:space="preserve"> </w:t>
      </w:r>
    </w:p>
  </w:footnote>
  <w:footnote w:id="6">
    <w:p w14:paraId="750094B0" w14:textId="77777777" w:rsidR="009D6016" w:rsidRDefault="009D6016" w:rsidP="00433B47">
      <w:pPr>
        <w:pStyle w:val="FootnoteText"/>
      </w:pPr>
      <w:r>
        <w:rPr>
          <w:rStyle w:val="FootnoteReference"/>
        </w:rPr>
        <w:footnoteRef/>
      </w:r>
      <w:r>
        <w:t xml:space="preserve"> </w:t>
      </w:r>
      <w:proofErr w:type="spellStart"/>
      <w:r w:rsidRPr="00B52D4B">
        <w:t>Drulovic</w:t>
      </w:r>
      <w:proofErr w:type="spellEnd"/>
      <w:r w:rsidRPr="00B52D4B">
        <w:t xml:space="preserve">, J, </w:t>
      </w:r>
      <w:proofErr w:type="spellStart"/>
      <w:r w:rsidRPr="00B52D4B">
        <w:t>Martinovic</w:t>
      </w:r>
      <w:proofErr w:type="spellEnd"/>
      <w:r w:rsidRPr="00B52D4B">
        <w:t xml:space="preserve">, V, </w:t>
      </w:r>
      <w:proofErr w:type="spellStart"/>
      <w:r w:rsidRPr="00B52D4B">
        <w:t>Basuroski</w:t>
      </w:r>
      <w:proofErr w:type="spellEnd"/>
      <w:r w:rsidRPr="00B52D4B">
        <w:t xml:space="preserve">, ID, </w:t>
      </w:r>
      <w:proofErr w:type="spellStart"/>
      <w:r w:rsidRPr="00B52D4B">
        <w:t>Mesaros</w:t>
      </w:r>
      <w:proofErr w:type="spellEnd"/>
      <w:r w:rsidRPr="00B52D4B">
        <w:t xml:space="preserve">, S, </w:t>
      </w:r>
      <w:proofErr w:type="spellStart"/>
      <w:r w:rsidRPr="00B52D4B">
        <w:t>Mader</w:t>
      </w:r>
      <w:proofErr w:type="spellEnd"/>
      <w:r w:rsidRPr="00B52D4B">
        <w:t xml:space="preserve">, S, </w:t>
      </w:r>
      <w:proofErr w:type="spellStart"/>
      <w:r w:rsidRPr="00B52D4B">
        <w:t>Weinshenker</w:t>
      </w:r>
      <w:proofErr w:type="spellEnd"/>
      <w:r w:rsidRPr="00B52D4B">
        <w:t xml:space="preserve">, B &amp; </w:t>
      </w:r>
      <w:proofErr w:type="spellStart"/>
      <w:r w:rsidRPr="00B52D4B">
        <w:t>Pekmezovic</w:t>
      </w:r>
      <w:proofErr w:type="spellEnd"/>
      <w:r w:rsidRPr="00B52D4B">
        <w:t xml:space="preserve">, T 2019, 'Long-term outcome and prognosis in patients with </w:t>
      </w:r>
      <w:proofErr w:type="spellStart"/>
      <w:r w:rsidRPr="00B52D4B">
        <w:t>neuromyelitis</w:t>
      </w:r>
      <w:proofErr w:type="spellEnd"/>
      <w:r w:rsidRPr="00B52D4B">
        <w:t xml:space="preserve"> </w:t>
      </w:r>
      <w:proofErr w:type="spellStart"/>
      <w:r w:rsidRPr="00B52D4B">
        <w:t>optica</w:t>
      </w:r>
      <w:proofErr w:type="spellEnd"/>
      <w:r w:rsidRPr="00B52D4B">
        <w:t xml:space="preserve"> spectrum disorder from Serbia', Multiple Sclerosis and Related Disorders, vol. 36.</w:t>
      </w:r>
    </w:p>
  </w:footnote>
  <w:footnote w:id="7">
    <w:p w14:paraId="325524F7" w14:textId="77777777" w:rsidR="009D6016" w:rsidRDefault="009D6016" w:rsidP="001625E9">
      <w:pPr>
        <w:pStyle w:val="FootnoteText"/>
      </w:pPr>
      <w:r>
        <w:rPr>
          <w:rStyle w:val="FootnoteReference"/>
        </w:rPr>
        <w:footnoteRef/>
      </w:r>
      <w:r>
        <w:t xml:space="preserve"> </w:t>
      </w:r>
      <w:r w:rsidRPr="000A0798">
        <w:t>Thi</w:t>
      </w:r>
      <w:r>
        <w:t>s table is different</w:t>
      </w:r>
      <w:r w:rsidRPr="000A0798">
        <w:t xml:space="preserve"> to table 7 on page 30 of the DCAR. The proportion of MS misdiagnoses </w:t>
      </w:r>
      <w:proofErr w:type="gramStart"/>
      <w:r w:rsidRPr="000A0798">
        <w:t>was adjusted</w:t>
      </w:r>
      <w:proofErr w:type="gramEnd"/>
      <w:r w:rsidRPr="000A0798">
        <w:t xml:space="preserve"> from 64.8% to</w:t>
      </w:r>
      <w:r>
        <w:t xml:space="preserve"> 41.4% to reflect rate of MS misdiagnosis rather than overall misdiagnosis. The overall misdiagnosis number includes misdiagnosis with optic neuritis, the costs of which </w:t>
      </w:r>
      <w:proofErr w:type="gramStart"/>
      <w:r>
        <w:t>is better approximated</w:t>
      </w:r>
      <w:proofErr w:type="gramEnd"/>
      <w:r>
        <w:t xml:space="preserve"> with symptomatic treatment rather than misdiagnosis with MS. </w:t>
      </w:r>
    </w:p>
  </w:footnote>
  <w:footnote w:id="8">
    <w:p w14:paraId="0777E97B" w14:textId="77777777" w:rsidR="009D6016" w:rsidRDefault="009D6016" w:rsidP="001625E9">
      <w:pPr>
        <w:pStyle w:val="FootnoteText"/>
      </w:pPr>
      <w:r>
        <w:rPr>
          <w:rStyle w:val="FootnoteReference"/>
        </w:rPr>
        <w:footnoteRef/>
      </w:r>
      <w:r>
        <w:t xml:space="preserve"> </w:t>
      </w:r>
      <w:r w:rsidRPr="001E4A5A">
        <w:rPr>
          <w:color w:val="212121"/>
          <w:shd w:val="clear" w:color="auto" w:fill="FFFFFF"/>
        </w:rPr>
        <w:t xml:space="preserve">Mealy MA, </w:t>
      </w:r>
      <w:proofErr w:type="spellStart"/>
      <w:r w:rsidRPr="001E4A5A">
        <w:rPr>
          <w:color w:val="212121"/>
          <w:shd w:val="clear" w:color="auto" w:fill="FFFFFF"/>
        </w:rPr>
        <w:t>Wingerchuk</w:t>
      </w:r>
      <w:proofErr w:type="spellEnd"/>
      <w:r w:rsidRPr="001E4A5A">
        <w:rPr>
          <w:color w:val="212121"/>
          <w:shd w:val="clear" w:color="auto" w:fill="FFFFFF"/>
        </w:rPr>
        <w:t xml:space="preserve"> DM, Greenberg BM, Levy M. Epidemiology of </w:t>
      </w:r>
      <w:proofErr w:type="spellStart"/>
      <w:r w:rsidRPr="001E4A5A">
        <w:rPr>
          <w:color w:val="212121"/>
          <w:shd w:val="clear" w:color="auto" w:fill="FFFFFF"/>
        </w:rPr>
        <w:t>neuromyelitis</w:t>
      </w:r>
      <w:proofErr w:type="spellEnd"/>
      <w:r w:rsidRPr="001E4A5A">
        <w:rPr>
          <w:color w:val="212121"/>
          <w:shd w:val="clear" w:color="auto" w:fill="FFFFFF"/>
        </w:rPr>
        <w:t xml:space="preserve"> </w:t>
      </w:r>
      <w:proofErr w:type="spellStart"/>
      <w:r w:rsidRPr="001E4A5A">
        <w:rPr>
          <w:color w:val="212121"/>
          <w:shd w:val="clear" w:color="auto" w:fill="FFFFFF"/>
        </w:rPr>
        <w:t>optica</w:t>
      </w:r>
      <w:proofErr w:type="spellEnd"/>
      <w:r w:rsidRPr="001E4A5A">
        <w:rPr>
          <w:color w:val="212121"/>
          <w:shd w:val="clear" w:color="auto" w:fill="FFFFFF"/>
        </w:rPr>
        <w:t xml:space="preserve"> in the United States: a </w:t>
      </w:r>
      <w:proofErr w:type="spellStart"/>
      <w:r w:rsidRPr="001E4A5A">
        <w:rPr>
          <w:color w:val="212121"/>
          <w:shd w:val="clear" w:color="auto" w:fill="FFFFFF"/>
        </w:rPr>
        <w:t>multicenter</w:t>
      </w:r>
      <w:proofErr w:type="spellEnd"/>
      <w:r w:rsidRPr="001E4A5A">
        <w:rPr>
          <w:color w:val="212121"/>
          <w:shd w:val="clear" w:color="auto" w:fill="FFFFFF"/>
        </w:rPr>
        <w:t xml:space="preserve"> analysis. </w:t>
      </w:r>
      <w:r w:rsidRPr="001E4A5A">
        <w:rPr>
          <w:i/>
          <w:iCs/>
          <w:color w:val="212121"/>
          <w:shd w:val="clear" w:color="auto" w:fill="FFFFFF"/>
        </w:rPr>
        <w:t>Arch Neurol</w:t>
      </w:r>
      <w:r w:rsidRPr="001E4A5A">
        <w:rPr>
          <w:color w:val="212121"/>
          <w:shd w:val="clear" w:color="auto" w:fill="FFFFFF"/>
        </w:rPr>
        <w:t>. 2012</w:t>
      </w:r>
      <w:proofErr w:type="gramStart"/>
      <w:r w:rsidRPr="001E4A5A">
        <w:rPr>
          <w:color w:val="212121"/>
          <w:shd w:val="clear" w:color="auto" w:fill="FFFFFF"/>
        </w:rPr>
        <w:t>;69</w:t>
      </w:r>
      <w:proofErr w:type="gramEnd"/>
      <w:r w:rsidRPr="001E4A5A">
        <w:rPr>
          <w:color w:val="212121"/>
          <w:shd w:val="clear" w:color="auto" w:fill="FFFFFF"/>
        </w:rPr>
        <w:t>(9):1176-1180. doi:10.1001/archneurol.2012.314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B73A8" w14:textId="77777777" w:rsidR="009D6016" w:rsidRDefault="009D6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8F4B" w14:textId="77777777" w:rsidR="009D6016" w:rsidRDefault="009D6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90FB" w14:textId="77777777" w:rsidR="009D6016" w:rsidRDefault="009D6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2625CD"/>
    <w:multiLevelType w:val="hybridMultilevel"/>
    <w:tmpl w:val="D12646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C5C3F"/>
    <w:multiLevelType w:val="hybridMultilevel"/>
    <w:tmpl w:val="6B66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F7516"/>
    <w:multiLevelType w:val="hybridMultilevel"/>
    <w:tmpl w:val="209A1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AA5D25"/>
    <w:multiLevelType w:val="hybridMultilevel"/>
    <w:tmpl w:val="5866D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A71B19"/>
    <w:multiLevelType w:val="hybridMultilevel"/>
    <w:tmpl w:val="6F9ACF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911A2"/>
    <w:multiLevelType w:val="hybridMultilevel"/>
    <w:tmpl w:val="EAAA30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87323"/>
    <w:multiLevelType w:val="hybridMultilevel"/>
    <w:tmpl w:val="8C320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FF57389"/>
    <w:multiLevelType w:val="hybridMultilevel"/>
    <w:tmpl w:val="6DA6F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CF74D3"/>
    <w:multiLevelType w:val="hybridMultilevel"/>
    <w:tmpl w:val="37A63E64"/>
    <w:lvl w:ilvl="0" w:tplc="224AC33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
  </w:num>
  <w:num w:numId="4">
    <w:abstractNumId w:val="21"/>
  </w:num>
  <w:num w:numId="5">
    <w:abstractNumId w:val="13"/>
  </w:num>
  <w:num w:numId="6">
    <w:abstractNumId w:val="20"/>
  </w:num>
  <w:num w:numId="7">
    <w:abstractNumId w:val="26"/>
  </w:num>
  <w:num w:numId="8">
    <w:abstractNumId w:val="14"/>
  </w:num>
  <w:num w:numId="9">
    <w:abstractNumId w:val="32"/>
  </w:num>
  <w:num w:numId="10">
    <w:abstractNumId w:val="0"/>
  </w:num>
  <w:num w:numId="11">
    <w:abstractNumId w:val="24"/>
  </w:num>
  <w:num w:numId="12">
    <w:abstractNumId w:val="27"/>
  </w:num>
  <w:num w:numId="13">
    <w:abstractNumId w:val="4"/>
  </w:num>
  <w:num w:numId="14">
    <w:abstractNumId w:val="31"/>
  </w:num>
  <w:num w:numId="15">
    <w:abstractNumId w:val="23"/>
  </w:num>
  <w:num w:numId="16">
    <w:abstractNumId w:val="28"/>
  </w:num>
  <w:num w:numId="17">
    <w:abstractNumId w:val="15"/>
  </w:num>
  <w:num w:numId="18">
    <w:abstractNumId w:val="17"/>
  </w:num>
  <w:num w:numId="19">
    <w:abstractNumId w:val="30"/>
  </w:num>
  <w:num w:numId="20">
    <w:abstractNumId w:val="29"/>
  </w:num>
  <w:num w:numId="21">
    <w:abstractNumId w:val="3"/>
  </w:num>
  <w:num w:numId="22">
    <w:abstractNumId w:val="11"/>
  </w:num>
  <w:num w:numId="23">
    <w:abstractNumId w:val="2"/>
  </w:num>
  <w:num w:numId="24">
    <w:abstractNumId w:val="10"/>
  </w:num>
  <w:num w:numId="25">
    <w:abstractNumId w:val="6"/>
  </w:num>
  <w:num w:numId="26">
    <w:abstractNumId w:val="12"/>
  </w:num>
  <w:num w:numId="27">
    <w:abstractNumId w:val="22"/>
  </w:num>
  <w:num w:numId="28">
    <w:abstractNumId w:val="33"/>
  </w:num>
  <w:num w:numId="29">
    <w:abstractNumId w:val="18"/>
  </w:num>
  <w:num w:numId="30">
    <w:abstractNumId w:val="25"/>
  </w:num>
  <w:num w:numId="31">
    <w:abstractNumId w:val="7"/>
  </w:num>
  <w:num w:numId="32">
    <w:abstractNumId w:val="9"/>
  </w:num>
  <w:num w:numId="33">
    <w:abstractNumId w:val="1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0C71"/>
    <w:rsid w:val="00011A36"/>
    <w:rsid w:val="0001311B"/>
    <w:rsid w:val="0002235F"/>
    <w:rsid w:val="000267E0"/>
    <w:rsid w:val="000317F2"/>
    <w:rsid w:val="00047606"/>
    <w:rsid w:val="00065623"/>
    <w:rsid w:val="000673BD"/>
    <w:rsid w:val="000756B9"/>
    <w:rsid w:val="00082AF6"/>
    <w:rsid w:val="00096B67"/>
    <w:rsid w:val="00096DAF"/>
    <w:rsid w:val="000C2F47"/>
    <w:rsid w:val="000D2B9A"/>
    <w:rsid w:val="000D34C2"/>
    <w:rsid w:val="000D6C00"/>
    <w:rsid w:val="000E4E04"/>
    <w:rsid w:val="000F14B4"/>
    <w:rsid w:val="000F75DF"/>
    <w:rsid w:val="001023DC"/>
    <w:rsid w:val="001278C4"/>
    <w:rsid w:val="001328FA"/>
    <w:rsid w:val="00136FA1"/>
    <w:rsid w:val="00147AAF"/>
    <w:rsid w:val="001552C0"/>
    <w:rsid w:val="001625E9"/>
    <w:rsid w:val="001640B1"/>
    <w:rsid w:val="00172FF2"/>
    <w:rsid w:val="0018145F"/>
    <w:rsid w:val="001842B7"/>
    <w:rsid w:val="0018435E"/>
    <w:rsid w:val="001B24E6"/>
    <w:rsid w:val="001F79A5"/>
    <w:rsid w:val="002041A1"/>
    <w:rsid w:val="002054F0"/>
    <w:rsid w:val="00226218"/>
    <w:rsid w:val="002278EC"/>
    <w:rsid w:val="00230D6B"/>
    <w:rsid w:val="00231FE8"/>
    <w:rsid w:val="00232068"/>
    <w:rsid w:val="002330F2"/>
    <w:rsid w:val="00240B19"/>
    <w:rsid w:val="00243D9E"/>
    <w:rsid w:val="00253B66"/>
    <w:rsid w:val="00255C34"/>
    <w:rsid w:val="00261DF1"/>
    <w:rsid w:val="00271F18"/>
    <w:rsid w:val="0028237B"/>
    <w:rsid w:val="00282779"/>
    <w:rsid w:val="0028334D"/>
    <w:rsid w:val="002B4279"/>
    <w:rsid w:val="002B7FFA"/>
    <w:rsid w:val="002C2BCF"/>
    <w:rsid w:val="002D2BD2"/>
    <w:rsid w:val="002E5060"/>
    <w:rsid w:val="002F279D"/>
    <w:rsid w:val="002F43B8"/>
    <w:rsid w:val="00311371"/>
    <w:rsid w:val="00335F84"/>
    <w:rsid w:val="00336856"/>
    <w:rsid w:val="0034153A"/>
    <w:rsid w:val="0034554D"/>
    <w:rsid w:val="00350D39"/>
    <w:rsid w:val="00352224"/>
    <w:rsid w:val="003616F4"/>
    <w:rsid w:val="003671E6"/>
    <w:rsid w:val="0037230B"/>
    <w:rsid w:val="00375849"/>
    <w:rsid w:val="00384272"/>
    <w:rsid w:val="00386D67"/>
    <w:rsid w:val="003945B8"/>
    <w:rsid w:val="003C0E09"/>
    <w:rsid w:val="003D7F29"/>
    <w:rsid w:val="003E70F4"/>
    <w:rsid w:val="00405A6B"/>
    <w:rsid w:val="00407B1F"/>
    <w:rsid w:val="0041184F"/>
    <w:rsid w:val="00414C57"/>
    <w:rsid w:val="0041758C"/>
    <w:rsid w:val="00433B47"/>
    <w:rsid w:val="0044192E"/>
    <w:rsid w:val="00442619"/>
    <w:rsid w:val="004539DE"/>
    <w:rsid w:val="004557FA"/>
    <w:rsid w:val="004618C4"/>
    <w:rsid w:val="00465B29"/>
    <w:rsid w:val="004A2CF1"/>
    <w:rsid w:val="004B2A34"/>
    <w:rsid w:val="004B6675"/>
    <w:rsid w:val="004C3035"/>
    <w:rsid w:val="004C307F"/>
    <w:rsid w:val="004E4606"/>
    <w:rsid w:val="004E4BA8"/>
    <w:rsid w:val="004F340F"/>
    <w:rsid w:val="004F7B7C"/>
    <w:rsid w:val="00510359"/>
    <w:rsid w:val="0052243D"/>
    <w:rsid w:val="00532435"/>
    <w:rsid w:val="00550354"/>
    <w:rsid w:val="00550A95"/>
    <w:rsid w:val="00550BD9"/>
    <w:rsid w:val="00553A33"/>
    <w:rsid w:val="00561C04"/>
    <w:rsid w:val="00571236"/>
    <w:rsid w:val="005953A1"/>
    <w:rsid w:val="005A3077"/>
    <w:rsid w:val="005A4362"/>
    <w:rsid w:val="005B1713"/>
    <w:rsid w:val="005B24AB"/>
    <w:rsid w:val="005B5434"/>
    <w:rsid w:val="005D0332"/>
    <w:rsid w:val="005D0D8C"/>
    <w:rsid w:val="005D1BBA"/>
    <w:rsid w:val="005D1EEA"/>
    <w:rsid w:val="006776AE"/>
    <w:rsid w:val="006A0D97"/>
    <w:rsid w:val="006B1F86"/>
    <w:rsid w:val="006B685B"/>
    <w:rsid w:val="006C0A91"/>
    <w:rsid w:val="006F0F03"/>
    <w:rsid w:val="007054BB"/>
    <w:rsid w:val="00707064"/>
    <w:rsid w:val="00724C12"/>
    <w:rsid w:val="00730683"/>
    <w:rsid w:val="00735862"/>
    <w:rsid w:val="0075261F"/>
    <w:rsid w:val="0075468E"/>
    <w:rsid w:val="00757328"/>
    <w:rsid w:val="007665D8"/>
    <w:rsid w:val="00766E36"/>
    <w:rsid w:val="007765F4"/>
    <w:rsid w:val="00776633"/>
    <w:rsid w:val="00782FF3"/>
    <w:rsid w:val="00784D53"/>
    <w:rsid w:val="00790CE9"/>
    <w:rsid w:val="00797797"/>
    <w:rsid w:val="007A63C9"/>
    <w:rsid w:val="007B32D1"/>
    <w:rsid w:val="007B7095"/>
    <w:rsid w:val="007D2469"/>
    <w:rsid w:val="007D24E1"/>
    <w:rsid w:val="007D6288"/>
    <w:rsid w:val="007D63F2"/>
    <w:rsid w:val="007F15BA"/>
    <w:rsid w:val="007F2403"/>
    <w:rsid w:val="007F4CE9"/>
    <w:rsid w:val="007F4E20"/>
    <w:rsid w:val="00813BE0"/>
    <w:rsid w:val="0081560A"/>
    <w:rsid w:val="00822C7E"/>
    <w:rsid w:val="00825055"/>
    <w:rsid w:val="00836C0B"/>
    <w:rsid w:val="00847060"/>
    <w:rsid w:val="00847A36"/>
    <w:rsid w:val="00856A33"/>
    <w:rsid w:val="0086706E"/>
    <w:rsid w:val="0087527B"/>
    <w:rsid w:val="00890FF7"/>
    <w:rsid w:val="00892620"/>
    <w:rsid w:val="008A5A55"/>
    <w:rsid w:val="008B0AEC"/>
    <w:rsid w:val="008C778E"/>
    <w:rsid w:val="008C7D37"/>
    <w:rsid w:val="008D041B"/>
    <w:rsid w:val="008D2379"/>
    <w:rsid w:val="008D5885"/>
    <w:rsid w:val="008E408D"/>
    <w:rsid w:val="008E79AB"/>
    <w:rsid w:val="00923FA2"/>
    <w:rsid w:val="00927513"/>
    <w:rsid w:val="00960420"/>
    <w:rsid w:val="0096060D"/>
    <w:rsid w:val="009666BF"/>
    <w:rsid w:val="00974A50"/>
    <w:rsid w:val="0097585A"/>
    <w:rsid w:val="0098391B"/>
    <w:rsid w:val="009865CB"/>
    <w:rsid w:val="009924B0"/>
    <w:rsid w:val="009942C9"/>
    <w:rsid w:val="009B2EDC"/>
    <w:rsid w:val="009B35C4"/>
    <w:rsid w:val="009B431F"/>
    <w:rsid w:val="009B72D2"/>
    <w:rsid w:val="009C596F"/>
    <w:rsid w:val="009C630A"/>
    <w:rsid w:val="009D6016"/>
    <w:rsid w:val="009E0D98"/>
    <w:rsid w:val="009F5DCE"/>
    <w:rsid w:val="00A068A1"/>
    <w:rsid w:val="00A1207D"/>
    <w:rsid w:val="00A12FD8"/>
    <w:rsid w:val="00A2266B"/>
    <w:rsid w:val="00A27FD7"/>
    <w:rsid w:val="00A346FC"/>
    <w:rsid w:val="00A35682"/>
    <w:rsid w:val="00A461E2"/>
    <w:rsid w:val="00A46D77"/>
    <w:rsid w:val="00A62614"/>
    <w:rsid w:val="00A6376C"/>
    <w:rsid w:val="00A846F2"/>
    <w:rsid w:val="00A84F93"/>
    <w:rsid w:val="00AB1AC5"/>
    <w:rsid w:val="00AB3BFC"/>
    <w:rsid w:val="00AC4F2E"/>
    <w:rsid w:val="00AC6EF8"/>
    <w:rsid w:val="00AC7873"/>
    <w:rsid w:val="00AD0C37"/>
    <w:rsid w:val="00AD385F"/>
    <w:rsid w:val="00AE68EA"/>
    <w:rsid w:val="00AE6E2A"/>
    <w:rsid w:val="00AF2C4F"/>
    <w:rsid w:val="00B00566"/>
    <w:rsid w:val="00B03EAB"/>
    <w:rsid w:val="00B25AFB"/>
    <w:rsid w:val="00B31E9C"/>
    <w:rsid w:val="00B32D27"/>
    <w:rsid w:val="00B35595"/>
    <w:rsid w:val="00B4207C"/>
    <w:rsid w:val="00B51C6D"/>
    <w:rsid w:val="00B63FFD"/>
    <w:rsid w:val="00B83DD2"/>
    <w:rsid w:val="00B86D64"/>
    <w:rsid w:val="00B973BF"/>
    <w:rsid w:val="00BA30BC"/>
    <w:rsid w:val="00BA4AC5"/>
    <w:rsid w:val="00BB1D14"/>
    <w:rsid w:val="00BC1364"/>
    <w:rsid w:val="00BC2667"/>
    <w:rsid w:val="00BC7DE9"/>
    <w:rsid w:val="00BE46FC"/>
    <w:rsid w:val="00BE6047"/>
    <w:rsid w:val="00BE62FA"/>
    <w:rsid w:val="00BF479B"/>
    <w:rsid w:val="00C02577"/>
    <w:rsid w:val="00C06B0B"/>
    <w:rsid w:val="00C1585F"/>
    <w:rsid w:val="00C204FB"/>
    <w:rsid w:val="00C20BEE"/>
    <w:rsid w:val="00C2158D"/>
    <w:rsid w:val="00C353F3"/>
    <w:rsid w:val="00C51C55"/>
    <w:rsid w:val="00C67DD2"/>
    <w:rsid w:val="00C720F4"/>
    <w:rsid w:val="00C725CB"/>
    <w:rsid w:val="00C7456B"/>
    <w:rsid w:val="00C76F5C"/>
    <w:rsid w:val="00C96BAD"/>
    <w:rsid w:val="00CA5173"/>
    <w:rsid w:val="00CA6944"/>
    <w:rsid w:val="00CB0F8E"/>
    <w:rsid w:val="00CB3126"/>
    <w:rsid w:val="00CB75F4"/>
    <w:rsid w:val="00CB7E7D"/>
    <w:rsid w:val="00CC2911"/>
    <w:rsid w:val="00CE5DD1"/>
    <w:rsid w:val="00CF0C6D"/>
    <w:rsid w:val="00CF4E81"/>
    <w:rsid w:val="00CF7307"/>
    <w:rsid w:val="00CF7C68"/>
    <w:rsid w:val="00D124FA"/>
    <w:rsid w:val="00D133DF"/>
    <w:rsid w:val="00D14313"/>
    <w:rsid w:val="00D277B2"/>
    <w:rsid w:val="00D340DE"/>
    <w:rsid w:val="00D55723"/>
    <w:rsid w:val="00D62FAD"/>
    <w:rsid w:val="00D64355"/>
    <w:rsid w:val="00D65DCE"/>
    <w:rsid w:val="00D70450"/>
    <w:rsid w:val="00D81991"/>
    <w:rsid w:val="00D8369C"/>
    <w:rsid w:val="00D83BFD"/>
    <w:rsid w:val="00D862ED"/>
    <w:rsid w:val="00D90A38"/>
    <w:rsid w:val="00D91F2A"/>
    <w:rsid w:val="00D95739"/>
    <w:rsid w:val="00DA0515"/>
    <w:rsid w:val="00DA171E"/>
    <w:rsid w:val="00DA56AA"/>
    <w:rsid w:val="00DA7344"/>
    <w:rsid w:val="00DB5833"/>
    <w:rsid w:val="00DB72DE"/>
    <w:rsid w:val="00DD2858"/>
    <w:rsid w:val="00DE70EA"/>
    <w:rsid w:val="00DF489D"/>
    <w:rsid w:val="00E03E33"/>
    <w:rsid w:val="00E059E0"/>
    <w:rsid w:val="00E157A5"/>
    <w:rsid w:val="00E3642A"/>
    <w:rsid w:val="00E415C4"/>
    <w:rsid w:val="00E50016"/>
    <w:rsid w:val="00E50EAA"/>
    <w:rsid w:val="00E56366"/>
    <w:rsid w:val="00E656D6"/>
    <w:rsid w:val="00E87E72"/>
    <w:rsid w:val="00E977EE"/>
    <w:rsid w:val="00EA036C"/>
    <w:rsid w:val="00EA2F24"/>
    <w:rsid w:val="00EA5C0E"/>
    <w:rsid w:val="00EA67A2"/>
    <w:rsid w:val="00EB630F"/>
    <w:rsid w:val="00EB6B6F"/>
    <w:rsid w:val="00EC4F98"/>
    <w:rsid w:val="00ED31CF"/>
    <w:rsid w:val="00EE2326"/>
    <w:rsid w:val="00EF1834"/>
    <w:rsid w:val="00F12F02"/>
    <w:rsid w:val="00F22A75"/>
    <w:rsid w:val="00F23742"/>
    <w:rsid w:val="00F32E0D"/>
    <w:rsid w:val="00F35134"/>
    <w:rsid w:val="00F37B9C"/>
    <w:rsid w:val="00F4009F"/>
    <w:rsid w:val="00F41812"/>
    <w:rsid w:val="00F56437"/>
    <w:rsid w:val="00F56D7F"/>
    <w:rsid w:val="00F611A2"/>
    <w:rsid w:val="00F6617C"/>
    <w:rsid w:val="00F715D1"/>
    <w:rsid w:val="00F72715"/>
    <w:rsid w:val="00F73333"/>
    <w:rsid w:val="00F76612"/>
    <w:rsid w:val="00F878CB"/>
    <w:rsid w:val="00F95D8F"/>
    <w:rsid w:val="00FB350A"/>
    <w:rsid w:val="00FB49F3"/>
    <w:rsid w:val="00FB4C5D"/>
    <w:rsid w:val="00FB6389"/>
    <w:rsid w:val="00FC4AA7"/>
    <w:rsid w:val="00FD0063"/>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5F8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625E9"/>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nhideWhenUsed/>
    <w:qFormat/>
    <w:locked/>
    <w:rsid w:val="001625E9"/>
    <w:pPr>
      <w:keepNext/>
      <w:keepLines/>
      <w:spacing w:before="20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625E9"/>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3B47"/>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433B4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433B47"/>
    <w:rPr>
      <w:rFonts w:ascii="Arial Narrow" w:eastAsia="Times New Roman" w:hAnsi="Arial Narrow" w:cs="Arial"/>
      <w:b/>
      <w:bCs/>
      <w:iCs/>
      <w:sz w:val="20"/>
      <w:szCs w:val="20"/>
      <w:lang w:eastAsia="en-US"/>
    </w:rPr>
  </w:style>
  <w:style w:type="character" w:customStyle="1" w:styleId="ListParagraphChar">
    <w:name w:val="List Paragraph Char"/>
    <w:aliases w:val="Styl moj Char,Akapit z listą1 Char,Akapit z listą11 Char"/>
    <w:link w:val="ListParagraph"/>
    <w:uiPriority w:val="34"/>
    <w:rsid w:val="00433B47"/>
    <w:rPr>
      <w:rFonts w:eastAsia="Times New Roman"/>
      <w:sz w:val="24"/>
      <w:szCs w:val="20"/>
    </w:rPr>
  </w:style>
  <w:style w:type="paragraph" w:customStyle="1" w:styleId="Tablenotes">
    <w:name w:val="Tablenotes"/>
    <w:basedOn w:val="Normal"/>
    <w:link w:val="TablenotesChar"/>
    <w:autoRedefine/>
    <w:qFormat/>
    <w:rsid w:val="00F4009F"/>
    <w:pPr>
      <w:widowControl w:val="0"/>
      <w:spacing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4009F"/>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rsid w:val="001625E9"/>
    <w:rPr>
      <w:rFonts w:eastAsiaTheme="majorEastAsia" w:cstheme="majorBidi"/>
      <w:sz w:val="24"/>
      <w:szCs w:val="24"/>
      <w:u w:val="single"/>
    </w:rPr>
  </w:style>
  <w:style w:type="paragraph" w:customStyle="1" w:styleId="Tabletext">
    <w:name w:val="Table text"/>
    <w:basedOn w:val="Normal"/>
    <w:link w:val="TabletextChar"/>
    <w:qFormat/>
    <w:rsid w:val="00433B4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433B47"/>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433B4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433B47"/>
    <w:rPr>
      <w:rFonts w:ascii="Arial Narrow" w:eastAsia="Times New Roman" w:hAnsi="Arial Narrow" w:cs="Tahoma"/>
      <w:b/>
      <w:noProof/>
      <w:sz w:val="20"/>
      <w:szCs w:val="20"/>
    </w:rPr>
  </w:style>
  <w:style w:type="paragraph" w:customStyle="1" w:styleId="TableText0">
    <w:name w:val="Table Text"/>
    <w:basedOn w:val="Normal"/>
    <w:link w:val="TableTextChar0"/>
    <w:qFormat/>
    <w:rsid w:val="00433B47"/>
    <w:pPr>
      <w:spacing w:before="40" w:after="40"/>
      <w:contextualSpacing/>
    </w:pPr>
    <w:rPr>
      <w:rFonts w:ascii="Arial Narrow" w:hAnsi="Arial Narrow" w:cs="Tahoma"/>
      <w:sz w:val="20"/>
      <w:szCs w:val="22"/>
      <w:lang w:eastAsia="en-US"/>
    </w:rPr>
  </w:style>
  <w:style w:type="character" w:customStyle="1" w:styleId="TableTextChar0">
    <w:name w:val="Table Text Char"/>
    <w:link w:val="TableText0"/>
    <w:rsid w:val="00433B47"/>
    <w:rPr>
      <w:rFonts w:ascii="Arial Narrow" w:eastAsia="Times New Roman" w:hAnsi="Arial Narrow" w:cs="Tahoma"/>
      <w:sz w:val="20"/>
      <w:lang w:eastAsia="en-US"/>
    </w:rPr>
  </w:style>
  <w:style w:type="character" w:customStyle="1" w:styleId="quality-text">
    <w:name w:val="quality-text"/>
    <w:basedOn w:val="DefaultParagraphFont"/>
    <w:rsid w:val="00433B47"/>
  </w:style>
  <w:style w:type="paragraph" w:customStyle="1" w:styleId="Tablenotes1">
    <w:name w:val="Tablenotes 1"/>
    <w:basedOn w:val="Normal"/>
    <w:link w:val="Tablenotes1Char"/>
    <w:qFormat/>
    <w:rsid w:val="001625E9"/>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1625E9"/>
    <w:rPr>
      <w:rFonts w:ascii="Arial Narrow" w:eastAsia="Times New Roman" w:hAnsi="Arial Narrow" w:cs="Arial"/>
      <w:snapToGrid w:val="0"/>
      <w:sz w:val="18"/>
      <w:szCs w:val="20"/>
      <w:lang w:eastAsia="en-US"/>
    </w:rPr>
  </w:style>
  <w:style w:type="paragraph" w:styleId="NormalWeb">
    <w:name w:val="Normal (Web)"/>
    <w:basedOn w:val="Normal"/>
    <w:uiPriority w:val="99"/>
    <w:unhideWhenUsed/>
    <w:rsid w:val="001625E9"/>
    <w:rPr>
      <w:rFonts w:eastAsiaTheme="minorHAnsi"/>
      <w:szCs w:val="24"/>
    </w:rPr>
  </w:style>
  <w:style w:type="table" w:customStyle="1" w:styleId="TableGrid4">
    <w:name w:val="Table Grid4"/>
    <w:basedOn w:val="TableNormal"/>
    <w:next w:val="TableGrid"/>
    <w:uiPriority w:val="59"/>
    <w:rsid w:val="00AC7873"/>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Text"/>
    <w:basedOn w:val="Normal"/>
    <w:qFormat/>
    <w:rsid w:val="00E56366"/>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E56366"/>
    <w:pPr>
      <w:keepNext/>
      <w:spacing w:before="180"/>
      <w:ind w:left="1080" w:hanging="1080"/>
    </w:pPr>
    <w:rPr>
      <w:b/>
      <w:bCs/>
    </w:rPr>
  </w:style>
  <w:style w:type="paragraph" w:customStyle="1" w:styleId="BoxHeading">
    <w:name w:val="BoxHeading"/>
    <w:basedOn w:val="BoxText"/>
    <w:rsid w:val="00E56366"/>
    <w:pPr>
      <w:keepNext/>
      <w:spacing w:before="120" w:after="60"/>
    </w:pPr>
    <w:rPr>
      <w:b/>
      <w:bCs/>
    </w:rPr>
  </w:style>
  <w:style w:type="paragraph" w:styleId="Revision">
    <w:name w:val="Revision"/>
    <w:hidden/>
    <w:uiPriority w:val="99"/>
    <w:semiHidden/>
    <w:rsid w:val="00B973BF"/>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vsdx"/><Relationship Id="rId18" Type="http://schemas.openxmlformats.org/officeDocument/2006/relationships/hyperlink" Target="http://www.msa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4.emf"/><Relationship Id="rId22" Type="http://schemas.openxmlformats.org/officeDocument/2006/relationships/footer" Target="footer2.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uptodate.com/contents/optic-neuritis-prognosis-and-treatment" TargetMode="External"/><Relationship Id="rId2" Type="http://schemas.openxmlformats.org/officeDocument/2006/relationships/hyperlink" Target="https://www.uptodate.com/contents/methylprednisolone-drug-information?topicRef=5252&amp;source=see_link" TargetMode="External"/><Relationship Id="rId1" Type="http://schemas.openxmlformats.org/officeDocument/2006/relationships/hyperlink" Target="https://www.uptodate.com/contents/prednisone-drug-information?topicRef=5252&amp;source=se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2513-397D-4A84-936A-98E12D41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11497</Words>
  <Characters>65546</Characters>
  <Application>Microsoft Office Word</Application>
  <DocSecurity>0</DocSecurity>
  <Lines>1724</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2020-12-08T00:57:00Z</dcterms:created>
  <dcterms:modified xsi:type="dcterms:W3CDTF">2020-12-08T01:09:00Z</dcterms:modified>
</cp:coreProperties>
</file>