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7EA6" w14:textId="77777777"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t>Population</w:t>
      </w:r>
    </w:p>
    <w:p w14:paraId="3B22E410" w14:textId="1F532AEB" w:rsidR="000802B0" w:rsidRPr="001864E1" w:rsidRDefault="00407B82" w:rsidP="001864E1">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Describe the population in which the proposed health technology is intended to be used:</w:t>
      </w:r>
      <w:bookmarkStart w:id="0" w:name="_Toc95314671"/>
      <w:r w:rsidR="001864E1">
        <w:rPr>
          <w:rFonts w:ascii="Segoe UI" w:eastAsia="Times New Roman" w:hAnsi="Segoe UI"/>
          <w:b/>
          <w:color w:val="000000"/>
          <w:sz w:val="22"/>
        </w:rPr>
        <w:br/>
      </w:r>
      <w:r w:rsidR="000802B0" w:rsidRPr="000802B0">
        <w:rPr>
          <w:rFonts w:ascii="Segoe UI" w:eastAsia="Times New Roman" w:hAnsi="Segoe UI" w:cs="Segoe UI"/>
          <w:bCs/>
          <w:sz w:val="22"/>
          <w:szCs w:val="22"/>
        </w:rPr>
        <w:t xml:space="preserve">Multiple myeloma (MM) is a cytogenetically heterogeneous clonal plasma cell proliferative disorder characterised by an abnormal serum and/or urine immunoglobulin (known as M protein). As MM progresses and patients relapse following initial treatment, the presence of sub-clonal populations of malignant plasma cells becomes increasingly prevalent. Typical clinical features include bone disease (and bone loss) with skeletal pain, impaired renal function, anaemia, fatigue, hypercalcaemia, recurrent and/or persistent bacterial infection, and/or </w:t>
      </w:r>
      <w:proofErr w:type="spellStart"/>
      <w:r w:rsidR="000802B0" w:rsidRPr="000802B0">
        <w:rPr>
          <w:rFonts w:ascii="Segoe UI" w:eastAsia="Times New Roman" w:hAnsi="Segoe UI" w:cs="Segoe UI"/>
          <w:bCs/>
          <w:sz w:val="22"/>
          <w:szCs w:val="22"/>
        </w:rPr>
        <w:t>hyperviscosity</w:t>
      </w:r>
      <w:proofErr w:type="spellEnd"/>
      <w:r w:rsidR="000802B0" w:rsidRPr="000802B0">
        <w:rPr>
          <w:rFonts w:ascii="Segoe UI" w:eastAsia="Times New Roman" w:hAnsi="Segoe UI" w:cs="Segoe UI"/>
          <w:bCs/>
          <w:sz w:val="22"/>
          <w:szCs w:val="22"/>
        </w:rPr>
        <w:t xml:space="preserve"> of the blood (</w:t>
      </w:r>
      <w:r w:rsidR="000802B0" w:rsidRPr="004229E8">
        <w:rPr>
          <w:rFonts w:ascii="Segoe UI" w:eastAsia="Times New Roman" w:hAnsi="Segoe UI" w:cs="Segoe UI"/>
          <w:bCs/>
          <w:color w:val="4472C4" w:themeColor="accent1"/>
          <w:sz w:val="22"/>
          <w:szCs w:val="22"/>
        </w:rPr>
        <w:t>Quach et al 20</w:t>
      </w:r>
      <w:r w:rsidR="004229E8" w:rsidRPr="004229E8">
        <w:rPr>
          <w:rFonts w:ascii="Segoe UI" w:eastAsia="Times New Roman" w:hAnsi="Segoe UI" w:cs="Segoe UI"/>
          <w:bCs/>
          <w:color w:val="4472C4" w:themeColor="accent1"/>
          <w:sz w:val="22"/>
          <w:szCs w:val="22"/>
        </w:rPr>
        <w:t>22</w:t>
      </w:r>
      <w:r w:rsidR="000802B0" w:rsidRPr="000802B0">
        <w:rPr>
          <w:rFonts w:ascii="Segoe UI" w:eastAsia="Times New Roman" w:hAnsi="Segoe UI" w:cs="Segoe UI"/>
          <w:bCs/>
          <w:sz w:val="22"/>
          <w:szCs w:val="22"/>
        </w:rPr>
        <w:t>). Together, these symptoms are associated with significant morbidity and can result in death in patients who are unable to receive or no longer responsive to available therapies.</w:t>
      </w:r>
    </w:p>
    <w:p w14:paraId="6FE9C5A7" w14:textId="4F1562AA" w:rsidR="000802B0" w:rsidRPr="000802B0" w:rsidRDefault="000802B0" w:rsidP="001864E1">
      <w:pPr>
        <w:spacing w:before="120" w:after="240" w:line="240" w:lineRule="auto"/>
        <w:rPr>
          <w:rFonts w:ascii="Segoe UI" w:eastAsia="Times New Roman" w:hAnsi="Segoe UI" w:cs="Segoe UI"/>
          <w:bCs/>
          <w:sz w:val="22"/>
          <w:szCs w:val="22"/>
        </w:rPr>
      </w:pPr>
      <w:r w:rsidRPr="000802B0">
        <w:rPr>
          <w:rFonts w:ascii="Segoe UI" w:eastAsia="Times New Roman" w:hAnsi="Segoe UI" w:cs="Segoe UI"/>
          <w:bCs/>
          <w:sz w:val="22"/>
          <w:szCs w:val="22"/>
        </w:rPr>
        <w:t xml:space="preserve">MM follows a relapsing and remitting course as patients receive multiple lines of therapy. Although current standard treatments for MM may result in remission, most patients will relapse as there is no cure for the disease. The duration of response and remission typically gets shorter with each line of therapy, and is the result of plasma cell clonal evolution, acquiring mutations that can confer high risk features and resistance to standard therapy. Furthermore, there is significant patient attrition at each line, as patients become unsuitable for further therapy and succumb to the disease </w:t>
      </w:r>
      <w:r w:rsidRPr="000802B0">
        <w:rPr>
          <w:rFonts w:ascii="Segoe UI" w:eastAsia="Times New Roman" w:hAnsi="Segoe UI" w:cs="Segoe UI"/>
          <w:sz w:val="22"/>
          <w:szCs w:val="22"/>
        </w:rPr>
        <w:t>(</w:t>
      </w:r>
      <w:r w:rsidRPr="004229E8">
        <w:rPr>
          <w:rFonts w:ascii="Segoe UI" w:eastAsia="Times New Roman" w:hAnsi="Segoe UI" w:cs="Segoe UI"/>
          <w:bCs/>
          <w:color w:val="4472C4" w:themeColor="accent1"/>
          <w:sz w:val="22"/>
          <w:szCs w:val="22"/>
        </w:rPr>
        <w:t>Zhao, Wellard et al. 2019</w:t>
      </w:r>
      <w:r w:rsidRPr="000802B0">
        <w:rPr>
          <w:rFonts w:ascii="Segoe UI" w:eastAsia="Times New Roman" w:hAnsi="Segoe UI" w:cs="Segoe UI"/>
          <w:sz w:val="22"/>
          <w:szCs w:val="22"/>
        </w:rPr>
        <w:t>)</w:t>
      </w:r>
      <w:r w:rsidRPr="000802B0">
        <w:rPr>
          <w:rFonts w:ascii="Segoe UI" w:eastAsia="Times New Roman" w:hAnsi="Segoe UI" w:cs="Segoe UI"/>
          <w:bCs/>
          <w:sz w:val="22"/>
          <w:szCs w:val="22"/>
        </w:rPr>
        <w:t>.</w:t>
      </w:r>
      <w:bookmarkEnd w:id="0"/>
    </w:p>
    <w:p w14:paraId="28E4887A" w14:textId="69EBD66F" w:rsidR="000802B0" w:rsidRDefault="000802B0" w:rsidP="001864E1">
      <w:pPr>
        <w:spacing w:after="0" w:line="240" w:lineRule="auto"/>
        <w:rPr>
          <w:rFonts w:ascii="Segoe UI" w:eastAsia="Times New Roman" w:hAnsi="Segoe UI" w:cs="Segoe UI"/>
          <w:sz w:val="22"/>
          <w:szCs w:val="22"/>
        </w:rPr>
      </w:pPr>
      <w:r w:rsidRPr="000802B0">
        <w:rPr>
          <w:rFonts w:ascii="Segoe UI" w:eastAsia="Times New Roman" w:hAnsi="Segoe UI" w:cs="Segoe UI"/>
          <w:sz w:val="22"/>
          <w:szCs w:val="22"/>
        </w:rPr>
        <w:t xml:space="preserve">This </w:t>
      </w:r>
      <w:r>
        <w:rPr>
          <w:rFonts w:ascii="Segoe UI" w:eastAsia="Times New Roman" w:hAnsi="Segoe UI" w:cs="Segoe UI"/>
          <w:sz w:val="22"/>
          <w:szCs w:val="22"/>
        </w:rPr>
        <w:t>application</w:t>
      </w:r>
      <w:r w:rsidRPr="000802B0">
        <w:rPr>
          <w:rFonts w:ascii="Segoe UI" w:eastAsia="Times New Roman" w:hAnsi="Segoe UI" w:cs="Segoe UI"/>
          <w:sz w:val="22"/>
          <w:szCs w:val="22"/>
        </w:rPr>
        <w:t xml:space="preserve"> focuses on late-stage MM, in particular </w:t>
      </w:r>
      <w:r w:rsidR="004229E8">
        <w:rPr>
          <w:rFonts w:ascii="Segoe UI" w:eastAsia="Times New Roman" w:hAnsi="Segoe UI" w:cs="Segoe UI"/>
          <w:sz w:val="22"/>
          <w:szCs w:val="22"/>
        </w:rPr>
        <w:t>fifth-line plus (</w:t>
      </w:r>
      <w:r w:rsidRPr="000802B0">
        <w:rPr>
          <w:rFonts w:ascii="Segoe UI" w:eastAsia="Times New Roman" w:hAnsi="Segoe UI" w:cs="Segoe UI"/>
          <w:sz w:val="22"/>
          <w:szCs w:val="22"/>
        </w:rPr>
        <w:t>5L+</w:t>
      </w:r>
      <w:r w:rsidR="004229E8">
        <w:rPr>
          <w:rFonts w:ascii="Segoe UI" w:eastAsia="Times New Roman" w:hAnsi="Segoe UI" w:cs="Segoe UI"/>
          <w:sz w:val="22"/>
          <w:szCs w:val="22"/>
        </w:rPr>
        <w:t>)</w:t>
      </w:r>
      <w:r w:rsidRPr="000802B0">
        <w:rPr>
          <w:rFonts w:ascii="Segoe UI" w:eastAsia="Times New Roman" w:hAnsi="Segoe UI" w:cs="Segoe UI"/>
          <w:sz w:val="22"/>
          <w:szCs w:val="22"/>
        </w:rPr>
        <w:t xml:space="preserve"> MM, after a person’s myeloma has been treated with at least four prior lines of therapies</w:t>
      </w:r>
      <w:r w:rsidR="001452A0">
        <w:rPr>
          <w:rFonts w:ascii="Segoe UI" w:eastAsia="Times New Roman" w:hAnsi="Segoe UI" w:cs="Segoe UI"/>
          <w:sz w:val="22"/>
          <w:szCs w:val="22"/>
        </w:rPr>
        <w:t xml:space="preserve"> (including an </w:t>
      </w:r>
      <w:r w:rsidR="004229E8">
        <w:rPr>
          <w:rFonts w:ascii="Segoe UI" w:eastAsia="Times New Roman" w:hAnsi="Segoe UI" w:cs="Segoe UI"/>
          <w:sz w:val="22"/>
          <w:szCs w:val="22"/>
        </w:rPr>
        <w:t>i</w:t>
      </w:r>
      <w:r w:rsidR="004229E8" w:rsidRPr="004229E8">
        <w:rPr>
          <w:rFonts w:ascii="Segoe UI" w:eastAsia="Times New Roman" w:hAnsi="Segoe UI" w:cs="Segoe UI"/>
          <w:sz w:val="22"/>
          <w:szCs w:val="22"/>
        </w:rPr>
        <w:t xml:space="preserve">mmunomodulatory drug </w:t>
      </w:r>
      <w:r w:rsidR="004229E8">
        <w:rPr>
          <w:rFonts w:ascii="Segoe UI" w:eastAsia="Times New Roman" w:hAnsi="Segoe UI" w:cs="Segoe UI"/>
          <w:sz w:val="22"/>
          <w:szCs w:val="22"/>
        </w:rPr>
        <w:t>[</w:t>
      </w:r>
      <w:proofErr w:type="spellStart"/>
      <w:r w:rsidR="001452A0">
        <w:rPr>
          <w:rFonts w:ascii="Segoe UI" w:eastAsia="Times New Roman" w:hAnsi="Segoe UI" w:cs="Segoe UI"/>
          <w:sz w:val="22"/>
          <w:szCs w:val="22"/>
        </w:rPr>
        <w:t>IMiD</w:t>
      </w:r>
      <w:proofErr w:type="spellEnd"/>
      <w:r w:rsidR="004229E8">
        <w:rPr>
          <w:rFonts w:ascii="Segoe UI" w:eastAsia="Times New Roman" w:hAnsi="Segoe UI" w:cs="Segoe UI"/>
          <w:sz w:val="22"/>
          <w:szCs w:val="22"/>
        </w:rPr>
        <w:t>]</w:t>
      </w:r>
      <w:r w:rsidR="001452A0">
        <w:rPr>
          <w:rFonts w:ascii="Segoe UI" w:eastAsia="Times New Roman" w:hAnsi="Segoe UI" w:cs="Segoe UI"/>
          <w:sz w:val="22"/>
          <w:szCs w:val="22"/>
        </w:rPr>
        <w:t xml:space="preserve">, </w:t>
      </w:r>
      <w:r w:rsidR="004229E8">
        <w:rPr>
          <w:rFonts w:ascii="Segoe UI" w:eastAsia="Times New Roman" w:hAnsi="Segoe UI" w:cs="Segoe UI"/>
          <w:sz w:val="22"/>
          <w:szCs w:val="22"/>
        </w:rPr>
        <w:t>p</w:t>
      </w:r>
      <w:r w:rsidR="004229E8" w:rsidRPr="004229E8">
        <w:rPr>
          <w:rFonts w:ascii="Segoe UI" w:eastAsia="Times New Roman" w:hAnsi="Segoe UI" w:cs="Segoe UI"/>
          <w:sz w:val="22"/>
          <w:szCs w:val="22"/>
        </w:rPr>
        <w:t xml:space="preserve">roteosome inhibitor </w:t>
      </w:r>
      <w:r w:rsidR="004229E8">
        <w:rPr>
          <w:rFonts w:ascii="Segoe UI" w:eastAsia="Times New Roman" w:hAnsi="Segoe UI" w:cs="Segoe UI"/>
          <w:sz w:val="22"/>
          <w:szCs w:val="22"/>
        </w:rPr>
        <w:t>[</w:t>
      </w:r>
      <w:r w:rsidR="001452A0">
        <w:rPr>
          <w:rFonts w:ascii="Segoe UI" w:eastAsia="Times New Roman" w:hAnsi="Segoe UI" w:cs="Segoe UI"/>
          <w:sz w:val="22"/>
          <w:szCs w:val="22"/>
        </w:rPr>
        <w:t>PI</w:t>
      </w:r>
      <w:r w:rsidR="004229E8">
        <w:rPr>
          <w:rFonts w:ascii="Segoe UI" w:eastAsia="Times New Roman" w:hAnsi="Segoe UI" w:cs="Segoe UI"/>
          <w:sz w:val="22"/>
          <w:szCs w:val="22"/>
        </w:rPr>
        <w:t>]</w:t>
      </w:r>
      <w:r w:rsidR="001452A0">
        <w:rPr>
          <w:rFonts w:ascii="Segoe UI" w:eastAsia="Times New Roman" w:hAnsi="Segoe UI" w:cs="Segoe UI"/>
          <w:sz w:val="22"/>
          <w:szCs w:val="22"/>
        </w:rPr>
        <w:t xml:space="preserve"> and anti-CD38</w:t>
      </w:r>
      <w:r w:rsidR="004229E8">
        <w:rPr>
          <w:rFonts w:ascii="Segoe UI" w:eastAsia="Times New Roman" w:hAnsi="Segoe UI" w:cs="Segoe UI"/>
          <w:sz w:val="22"/>
          <w:szCs w:val="22"/>
        </w:rPr>
        <w:t xml:space="preserve"> </w:t>
      </w:r>
      <w:r w:rsidR="004229E8" w:rsidRPr="004229E8">
        <w:rPr>
          <w:rFonts w:ascii="Segoe UI" w:eastAsia="Times New Roman" w:hAnsi="Segoe UI" w:cs="Segoe UI"/>
          <w:sz w:val="22"/>
          <w:szCs w:val="22"/>
        </w:rPr>
        <w:t>monoclonal antibody</w:t>
      </w:r>
      <w:r w:rsidR="001452A0">
        <w:rPr>
          <w:rFonts w:ascii="Segoe UI" w:eastAsia="Times New Roman" w:hAnsi="Segoe UI" w:cs="Segoe UI"/>
          <w:sz w:val="22"/>
          <w:szCs w:val="22"/>
        </w:rPr>
        <w:t>)</w:t>
      </w:r>
      <w:r w:rsidRPr="000802B0">
        <w:rPr>
          <w:rFonts w:ascii="Segoe UI" w:eastAsia="Times New Roman" w:hAnsi="Segoe UI" w:cs="Segoe UI"/>
          <w:sz w:val="22"/>
          <w:szCs w:val="22"/>
        </w:rPr>
        <w:t xml:space="preserve">. Compared with the number of patients diagnosed and receiving </w:t>
      </w:r>
      <w:r w:rsidR="004229E8">
        <w:rPr>
          <w:rFonts w:ascii="Segoe UI" w:eastAsia="Times New Roman" w:hAnsi="Segoe UI" w:cs="Segoe UI"/>
          <w:sz w:val="22"/>
          <w:szCs w:val="22"/>
        </w:rPr>
        <w:t>first-line (</w:t>
      </w:r>
      <w:r w:rsidRPr="000802B0">
        <w:rPr>
          <w:rFonts w:ascii="Segoe UI" w:eastAsia="Times New Roman" w:hAnsi="Segoe UI" w:cs="Segoe UI"/>
          <w:sz w:val="22"/>
          <w:szCs w:val="22"/>
        </w:rPr>
        <w:t>1L</w:t>
      </w:r>
      <w:r w:rsidR="004229E8">
        <w:rPr>
          <w:rFonts w:ascii="Segoe UI" w:eastAsia="Times New Roman" w:hAnsi="Segoe UI" w:cs="Segoe UI"/>
          <w:sz w:val="22"/>
          <w:szCs w:val="22"/>
        </w:rPr>
        <w:t>)</w:t>
      </w:r>
      <w:r w:rsidRPr="000802B0">
        <w:rPr>
          <w:rFonts w:ascii="Segoe UI" w:eastAsia="Times New Roman" w:hAnsi="Segoe UI" w:cs="Segoe UI"/>
          <w:sz w:val="22"/>
          <w:szCs w:val="22"/>
        </w:rPr>
        <w:t xml:space="preserve"> treatment for MM, the number of patients reaching the 5L+ MM setting is small and is the result of significant rates of attrition at each line of therapy as patients become unsuitable for further therapy and succumb to the disease (</w:t>
      </w:r>
      <w:r w:rsidRPr="004229E8">
        <w:rPr>
          <w:rFonts w:ascii="Segoe UI" w:eastAsia="Times New Roman" w:hAnsi="Segoe UI" w:cs="Segoe UI"/>
          <w:bCs/>
          <w:color w:val="4472C4" w:themeColor="accent1"/>
          <w:sz w:val="22"/>
          <w:szCs w:val="22"/>
        </w:rPr>
        <w:t>Zhao, Wellard et al. 2019</w:t>
      </w:r>
      <w:r w:rsidRPr="000802B0">
        <w:rPr>
          <w:rFonts w:ascii="Segoe UI" w:eastAsia="Times New Roman" w:hAnsi="Segoe UI" w:cs="Segoe UI"/>
          <w:sz w:val="22"/>
          <w:szCs w:val="22"/>
        </w:rPr>
        <w:t xml:space="preserve">). </w:t>
      </w:r>
      <w:bookmarkStart w:id="1" w:name="_Hlk136606273"/>
      <w:r w:rsidR="001452A0">
        <w:rPr>
          <w:rFonts w:ascii="Segoe UI" w:eastAsia="Times New Roman" w:hAnsi="Segoe UI" w:cs="Segoe UI"/>
          <w:sz w:val="22"/>
          <w:szCs w:val="22"/>
        </w:rPr>
        <w:t xml:space="preserve">In the previous application for </w:t>
      </w:r>
      <w:proofErr w:type="spellStart"/>
      <w:r w:rsidR="001452A0">
        <w:rPr>
          <w:rFonts w:ascii="Segoe UI" w:eastAsia="Times New Roman" w:hAnsi="Segoe UI" w:cs="Segoe UI"/>
          <w:sz w:val="22"/>
          <w:szCs w:val="22"/>
        </w:rPr>
        <w:t>c</w:t>
      </w:r>
      <w:r w:rsidR="001452A0" w:rsidRPr="001452A0">
        <w:rPr>
          <w:rFonts w:ascii="Segoe UI" w:eastAsia="Times New Roman" w:hAnsi="Segoe UI" w:cs="Segoe UI"/>
          <w:sz w:val="22"/>
          <w:szCs w:val="22"/>
        </w:rPr>
        <w:t>iltacabtagene</w:t>
      </w:r>
      <w:proofErr w:type="spellEnd"/>
      <w:r w:rsidR="001452A0" w:rsidRPr="001452A0">
        <w:rPr>
          <w:rFonts w:ascii="Segoe UI" w:eastAsia="Times New Roman" w:hAnsi="Segoe UI" w:cs="Segoe UI"/>
          <w:sz w:val="22"/>
          <w:szCs w:val="22"/>
        </w:rPr>
        <w:t xml:space="preserve"> </w:t>
      </w:r>
      <w:proofErr w:type="spellStart"/>
      <w:r w:rsidR="001452A0" w:rsidRPr="001452A0">
        <w:rPr>
          <w:rFonts w:ascii="Segoe UI" w:eastAsia="Times New Roman" w:hAnsi="Segoe UI" w:cs="Segoe UI"/>
          <w:sz w:val="22"/>
          <w:szCs w:val="22"/>
        </w:rPr>
        <w:t>autoleucel</w:t>
      </w:r>
      <w:proofErr w:type="spellEnd"/>
      <w:r w:rsidR="001452A0" w:rsidRPr="001452A0">
        <w:rPr>
          <w:rFonts w:ascii="Segoe UI" w:eastAsia="Times New Roman" w:hAnsi="Segoe UI" w:cs="Segoe UI"/>
          <w:sz w:val="22"/>
          <w:szCs w:val="22"/>
        </w:rPr>
        <w:t xml:space="preserve"> (</w:t>
      </w:r>
      <w:proofErr w:type="spellStart"/>
      <w:r w:rsidR="001452A0" w:rsidRPr="001452A0">
        <w:rPr>
          <w:rFonts w:ascii="Segoe UI" w:eastAsia="Times New Roman" w:hAnsi="Segoe UI" w:cs="Segoe UI"/>
          <w:sz w:val="22"/>
          <w:szCs w:val="22"/>
        </w:rPr>
        <w:t>cilta-cel</w:t>
      </w:r>
      <w:proofErr w:type="spellEnd"/>
      <w:r w:rsidR="001452A0" w:rsidRPr="001452A0">
        <w:rPr>
          <w:rFonts w:ascii="Segoe UI" w:eastAsia="Times New Roman" w:hAnsi="Segoe UI" w:cs="Segoe UI"/>
          <w:sz w:val="22"/>
          <w:szCs w:val="22"/>
        </w:rPr>
        <w:t xml:space="preserve">) </w:t>
      </w:r>
      <w:r w:rsidR="001452A0">
        <w:rPr>
          <w:rFonts w:ascii="Segoe UI" w:eastAsia="Times New Roman" w:hAnsi="Segoe UI" w:cs="Segoe UI"/>
          <w:sz w:val="22"/>
          <w:szCs w:val="22"/>
        </w:rPr>
        <w:t xml:space="preserve">was for patients with </w:t>
      </w:r>
      <w:r w:rsidR="004229E8">
        <w:rPr>
          <w:rFonts w:ascii="Segoe UI" w:eastAsia="Times New Roman" w:hAnsi="Segoe UI" w:cs="Segoe UI"/>
          <w:sz w:val="22"/>
          <w:szCs w:val="22"/>
        </w:rPr>
        <w:t>fourth-line plus (</w:t>
      </w:r>
      <w:r w:rsidR="001452A0">
        <w:rPr>
          <w:rFonts w:ascii="Segoe UI" w:eastAsia="Times New Roman" w:hAnsi="Segoe UI" w:cs="Segoe UI"/>
          <w:sz w:val="22"/>
          <w:szCs w:val="22"/>
        </w:rPr>
        <w:t>4L+</w:t>
      </w:r>
      <w:r w:rsidR="004229E8">
        <w:rPr>
          <w:rFonts w:ascii="Segoe UI" w:eastAsia="Times New Roman" w:hAnsi="Segoe UI" w:cs="Segoe UI"/>
          <w:sz w:val="22"/>
          <w:szCs w:val="22"/>
        </w:rPr>
        <w:t>)</w:t>
      </w:r>
      <w:r w:rsidR="001452A0">
        <w:rPr>
          <w:rFonts w:ascii="Segoe UI" w:eastAsia="Times New Roman" w:hAnsi="Segoe UI" w:cs="Segoe UI"/>
          <w:sz w:val="22"/>
          <w:szCs w:val="22"/>
        </w:rPr>
        <w:t xml:space="preserve"> MM after a PI, </w:t>
      </w:r>
      <w:proofErr w:type="spellStart"/>
      <w:r w:rsidR="001452A0">
        <w:rPr>
          <w:rFonts w:ascii="Segoe UI" w:eastAsia="Times New Roman" w:hAnsi="Segoe UI" w:cs="Segoe UI"/>
          <w:sz w:val="22"/>
          <w:szCs w:val="22"/>
        </w:rPr>
        <w:t>IMiD</w:t>
      </w:r>
      <w:proofErr w:type="spellEnd"/>
      <w:r w:rsidR="001452A0">
        <w:rPr>
          <w:rFonts w:ascii="Segoe UI" w:eastAsia="Times New Roman" w:hAnsi="Segoe UI" w:cs="Segoe UI"/>
          <w:sz w:val="22"/>
          <w:szCs w:val="22"/>
        </w:rPr>
        <w:t xml:space="preserve"> and anti-CD38. </w:t>
      </w:r>
      <w:r w:rsidR="001452A0" w:rsidRPr="001452A0">
        <w:rPr>
          <w:rFonts w:ascii="Segoe UI" w:eastAsia="Times New Roman" w:hAnsi="Segoe UI" w:cs="Segoe UI"/>
          <w:sz w:val="22"/>
          <w:szCs w:val="22"/>
        </w:rPr>
        <w:t xml:space="preserve">Patients with 5L+ </w:t>
      </w:r>
      <w:r w:rsidR="004229E8">
        <w:rPr>
          <w:rFonts w:ascii="Segoe UI" w:eastAsia="Times New Roman" w:hAnsi="Segoe UI" w:cs="Segoe UI"/>
          <w:sz w:val="22"/>
          <w:szCs w:val="22"/>
        </w:rPr>
        <w:t>relapsed</w:t>
      </w:r>
      <w:r w:rsidR="00CA6DE7">
        <w:rPr>
          <w:rFonts w:ascii="Segoe UI" w:eastAsia="Times New Roman" w:hAnsi="Segoe UI" w:cs="Segoe UI"/>
          <w:sz w:val="22"/>
          <w:szCs w:val="22"/>
        </w:rPr>
        <w:t xml:space="preserve"> or</w:t>
      </w:r>
      <w:r w:rsidR="004229E8">
        <w:rPr>
          <w:rFonts w:ascii="Segoe UI" w:eastAsia="Times New Roman" w:hAnsi="Segoe UI" w:cs="Segoe UI"/>
          <w:sz w:val="22"/>
          <w:szCs w:val="22"/>
        </w:rPr>
        <w:t xml:space="preserve"> refractory </w:t>
      </w:r>
      <w:r w:rsidR="001452A0" w:rsidRPr="001452A0">
        <w:rPr>
          <w:rFonts w:ascii="Segoe UI" w:eastAsia="Times New Roman" w:hAnsi="Segoe UI" w:cs="Segoe UI"/>
          <w:sz w:val="22"/>
          <w:szCs w:val="22"/>
        </w:rPr>
        <w:t xml:space="preserve">MM </w:t>
      </w:r>
      <w:r w:rsidR="004229E8">
        <w:rPr>
          <w:rFonts w:ascii="Segoe UI" w:eastAsia="Times New Roman" w:hAnsi="Segoe UI" w:cs="Segoe UI"/>
          <w:sz w:val="22"/>
          <w:szCs w:val="22"/>
        </w:rPr>
        <w:t xml:space="preserve">(RRMM) </w:t>
      </w:r>
      <w:r w:rsidR="001452A0" w:rsidRPr="001452A0">
        <w:rPr>
          <w:rFonts w:ascii="Segoe UI" w:eastAsia="Times New Roman" w:hAnsi="Segoe UI" w:cs="Segoe UI"/>
          <w:sz w:val="22"/>
          <w:szCs w:val="22"/>
        </w:rPr>
        <w:t>have even fewer treatment options than people with 4L+ RRMM as they have exhausted and become refractory to even more therapies</w:t>
      </w:r>
      <w:r w:rsidR="001452A0">
        <w:rPr>
          <w:rFonts w:ascii="Segoe UI" w:eastAsia="Times New Roman" w:hAnsi="Segoe UI" w:cs="Segoe UI"/>
          <w:sz w:val="22"/>
          <w:szCs w:val="22"/>
        </w:rPr>
        <w:t>, and thus the clinical need is further amplified</w:t>
      </w:r>
      <w:r w:rsidR="001452A0" w:rsidRPr="001452A0">
        <w:rPr>
          <w:rFonts w:ascii="Segoe UI" w:eastAsia="Times New Roman" w:hAnsi="Segoe UI" w:cs="Segoe UI"/>
          <w:sz w:val="22"/>
          <w:szCs w:val="22"/>
        </w:rPr>
        <w:t>.</w:t>
      </w:r>
    </w:p>
    <w:bookmarkEnd w:id="1"/>
    <w:p w14:paraId="5F98B754" w14:textId="77777777" w:rsidR="000802B0" w:rsidRDefault="000802B0" w:rsidP="001864E1">
      <w:pPr>
        <w:spacing w:after="0" w:line="240" w:lineRule="auto"/>
        <w:rPr>
          <w:rFonts w:ascii="Segoe UI" w:eastAsia="Times New Roman" w:hAnsi="Segoe UI" w:cs="Segoe UI"/>
          <w:sz w:val="22"/>
          <w:szCs w:val="22"/>
        </w:rPr>
      </w:pPr>
    </w:p>
    <w:p w14:paraId="28C4D4AF" w14:textId="4A725B87" w:rsidR="000802B0" w:rsidRDefault="000802B0" w:rsidP="001864E1">
      <w:pPr>
        <w:spacing w:after="0" w:line="240" w:lineRule="auto"/>
        <w:rPr>
          <w:rFonts w:ascii="Segoe UI" w:eastAsia="Times New Roman" w:hAnsi="Segoe UI" w:cs="Segoe UI"/>
          <w:sz w:val="22"/>
          <w:szCs w:val="22"/>
        </w:rPr>
      </w:pPr>
      <w:r w:rsidRPr="000802B0">
        <w:rPr>
          <w:rFonts w:ascii="Segoe UI" w:eastAsia="Times New Roman" w:hAnsi="Segoe UI" w:cs="Segoe UI"/>
          <w:sz w:val="22"/>
          <w:szCs w:val="22"/>
        </w:rPr>
        <w:t xml:space="preserve">Several medicines are listed on the PBS for the 5L+ MM treatment setting because of their line agnostic RRMM PBS restrictions including pomalidomide, carfilzomib, lenalidomide, bortezomib, </w:t>
      </w:r>
      <w:proofErr w:type="spellStart"/>
      <w:r>
        <w:rPr>
          <w:rFonts w:ascii="Segoe UI" w:eastAsia="Times New Roman" w:hAnsi="Segoe UI" w:cs="Segoe UI"/>
          <w:sz w:val="22"/>
          <w:szCs w:val="22"/>
        </w:rPr>
        <w:t>selinexor</w:t>
      </w:r>
      <w:proofErr w:type="spellEnd"/>
      <w:r>
        <w:rPr>
          <w:rFonts w:ascii="Segoe UI" w:eastAsia="Times New Roman" w:hAnsi="Segoe UI" w:cs="Segoe UI"/>
          <w:sz w:val="22"/>
          <w:szCs w:val="22"/>
        </w:rPr>
        <w:t xml:space="preserve">, </w:t>
      </w:r>
      <w:proofErr w:type="spellStart"/>
      <w:r w:rsidRPr="000802B0">
        <w:rPr>
          <w:rFonts w:ascii="Segoe UI" w:eastAsia="Times New Roman" w:hAnsi="Segoe UI" w:cs="Segoe UI"/>
          <w:sz w:val="22"/>
          <w:szCs w:val="22"/>
        </w:rPr>
        <w:t>elotuzumab</w:t>
      </w:r>
      <w:proofErr w:type="spellEnd"/>
      <w:r w:rsidRPr="000802B0">
        <w:rPr>
          <w:rFonts w:ascii="Segoe UI" w:eastAsia="Times New Roman" w:hAnsi="Segoe UI" w:cs="Segoe UI"/>
          <w:sz w:val="22"/>
          <w:szCs w:val="22"/>
        </w:rPr>
        <w:t xml:space="preserve"> and thalidomide. However, many patients are refractory to these treatments by this stage of the disease and thus have exhausted these options, and if re-treated are unable to induce a meaningful response to therapy. This highlights the substantial unmet need for the later line MM population who have very limited treatment options. Thus, despite medicines being available for prescription, there is a significant lack of effective treatment options for this population. By the time patients reach 5L therapy they have previously been treated with most of these therapies</w:t>
      </w:r>
      <w:r>
        <w:rPr>
          <w:rFonts w:ascii="Segoe UI" w:eastAsia="Times New Roman" w:hAnsi="Segoe UI" w:cs="Segoe UI"/>
          <w:sz w:val="22"/>
          <w:szCs w:val="22"/>
        </w:rPr>
        <w:t>, or these classes of medicine</w:t>
      </w:r>
      <w:r w:rsidRPr="000802B0">
        <w:rPr>
          <w:rFonts w:ascii="Segoe UI" w:eastAsia="Times New Roman" w:hAnsi="Segoe UI" w:cs="Segoe UI"/>
          <w:sz w:val="22"/>
          <w:szCs w:val="22"/>
        </w:rPr>
        <w:t xml:space="preserve">. Further, as the duration of response and remission typically gets shorter with each line of therapy, the benefits of currently available therapies in the 5L+ MM setting are very limited. This is seen by short durations of </w:t>
      </w:r>
      <w:r w:rsidR="00CA6DE7">
        <w:rPr>
          <w:rFonts w:ascii="Segoe UI" w:eastAsia="Times New Roman" w:hAnsi="Segoe UI" w:cs="Segoe UI"/>
          <w:sz w:val="22"/>
          <w:szCs w:val="22"/>
        </w:rPr>
        <w:t>progression-free survival (</w:t>
      </w:r>
      <w:r w:rsidRPr="000802B0">
        <w:rPr>
          <w:rFonts w:ascii="Segoe UI" w:eastAsia="Times New Roman" w:hAnsi="Segoe UI" w:cs="Segoe UI"/>
          <w:sz w:val="22"/>
          <w:szCs w:val="22"/>
        </w:rPr>
        <w:t>PFS</w:t>
      </w:r>
      <w:r w:rsidR="00CA6DE7">
        <w:rPr>
          <w:rFonts w:ascii="Segoe UI" w:eastAsia="Times New Roman" w:hAnsi="Segoe UI" w:cs="Segoe UI"/>
          <w:sz w:val="22"/>
          <w:szCs w:val="22"/>
        </w:rPr>
        <w:t>)</w:t>
      </w:r>
      <w:r w:rsidRPr="000802B0">
        <w:rPr>
          <w:rFonts w:ascii="Segoe UI" w:eastAsia="Times New Roman" w:hAnsi="Segoe UI" w:cs="Segoe UI"/>
          <w:sz w:val="22"/>
          <w:szCs w:val="22"/>
        </w:rPr>
        <w:t xml:space="preserve"> and a poor survival prognosis </w:t>
      </w:r>
      <w:r>
        <w:rPr>
          <w:rFonts w:ascii="Segoe UI" w:eastAsia="Times New Roman" w:hAnsi="Segoe UI" w:cs="Segoe UI"/>
          <w:sz w:val="22"/>
          <w:szCs w:val="22"/>
        </w:rPr>
        <w:t xml:space="preserve">as supported by multiple data sources, including clinical trials and </w:t>
      </w:r>
      <w:r w:rsidR="00CA6DE7">
        <w:rPr>
          <w:rFonts w:ascii="Segoe UI" w:eastAsia="Times New Roman" w:hAnsi="Segoe UI" w:cs="Segoe UI"/>
          <w:sz w:val="22"/>
          <w:szCs w:val="22"/>
        </w:rPr>
        <w:t>real-world</w:t>
      </w:r>
      <w:r>
        <w:rPr>
          <w:rFonts w:ascii="Segoe UI" w:eastAsia="Times New Roman" w:hAnsi="Segoe UI" w:cs="Segoe UI"/>
          <w:sz w:val="22"/>
          <w:szCs w:val="22"/>
        </w:rPr>
        <w:t xml:space="preserve"> evidence (which will be submitted as key evidence within ADAR)</w:t>
      </w:r>
      <w:r w:rsidRPr="000802B0">
        <w:rPr>
          <w:rFonts w:ascii="Segoe UI" w:eastAsia="Times New Roman" w:hAnsi="Segoe UI" w:cs="Segoe UI"/>
          <w:sz w:val="22"/>
          <w:szCs w:val="22"/>
        </w:rPr>
        <w:t xml:space="preserve">. </w:t>
      </w:r>
    </w:p>
    <w:p w14:paraId="41DEC8E7" w14:textId="1ACE290D" w:rsidR="001452A0" w:rsidRDefault="001452A0" w:rsidP="001864E1">
      <w:pPr>
        <w:spacing w:after="0" w:line="240" w:lineRule="auto"/>
        <w:rPr>
          <w:rFonts w:ascii="Segoe UI" w:eastAsia="Times New Roman" w:hAnsi="Segoe UI" w:cs="Segoe UI"/>
          <w:sz w:val="22"/>
          <w:szCs w:val="22"/>
        </w:rPr>
      </w:pPr>
    </w:p>
    <w:p w14:paraId="67D9B3C2" w14:textId="2E5921D9" w:rsidR="001452A0" w:rsidRPr="001452A0" w:rsidRDefault="001452A0" w:rsidP="001864E1">
      <w:pPr>
        <w:spacing w:after="0" w:line="240" w:lineRule="auto"/>
        <w:rPr>
          <w:rFonts w:ascii="Segoe UI" w:eastAsia="Times New Roman" w:hAnsi="Segoe UI" w:cs="Segoe UI"/>
          <w:sz w:val="22"/>
          <w:szCs w:val="22"/>
        </w:rPr>
      </w:pPr>
      <w:r w:rsidRPr="001452A0">
        <w:rPr>
          <w:rFonts w:ascii="Segoe UI" w:eastAsia="Times New Roman" w:hAnsi="Segoe UI" w:cs="Segoe UI"/>
          <w:sz w:val="22"/>
          <w:szCs w:val="22"/>
        </w:rPr>
        <w:lastRenderedPageBreak/>
        <w:t xml:space="preserve">Janssen is requesting funding for the 5L+ MM including a PI, </w:t>
      </w:r>
      <w:proofErr w:type="spellStart"/>
      <w:r w:rsidRPr="001452A0">
        <w:rPr>
          <w:rFonts w:ascii="Segoe UI" w:eastAsia="Times New Roman" w:hAnsi="Segoe UI" w:cs="Segoe UI"/>
          <w:sz w:val="22"/>
          <w:szCs w:val="22"/>
        </w:rPr>
        <w:t>IMiD</w:t>
      </w:r>
      <w:proofErr w:type="spellEnd"/>
      <w:r w:rsidRPr="001452A0">
        <w:rPr>
          <w:rFonts w:ascii="Segoe UI" w:eastAsia="Times New Roman" w:hAnsi="Segoe UI" w:cs="Segoe UI"/>
          <w:sz w:val="22"/>
          <w:szCs w:val="22"/>
        </w:rPr>
        <w:t xml:space="preserve"> and anti-CD38, to address the issues raised by the MSAC and the States/Territories in July 2022</w:t>
      </w:r>
      <w:r>
        <w:rPr>
          <w:rFonts w:ascii="Segoe UI" w:eastAsia="Times New Roman" w:hAnsi="Segoe UI" w:cs="Segoe UI"/>
          <w:sz w:val="22"/>
          <w:szCs w:val="22"/>
        </w:rPr>
        <w:t xml:space="preserve"> (MSAC ID 1690)</w:t>
      </w:r>
      <w:r w:rsidRPr="001452A0">
        <w:rPr>
          <w:rFonts w:ascii="Segoe UI" w:eastAsia="Times New Roman" w:hAnsi="Segoe UI" w:cs="Segoe UI"/>
          <w:sz w:val="22"/>
          <w:szCs w:val="22"/>
        </w:rPr>
        <w:t xml:space="preserve">. This positioning intends to facilitate timely access to </w:t>
      </w:r>
      <w:proofErr w:type="spellStart"/>
      <w:r w:rsidRPr="001452A0">
        <w:rPr>
          <w:rFonts w:ascii="Segoe UI" w:eastAsia="Times New Roman" w:hAnsi="Segoe UI" w:cs="Segoe UI"/>
          <w:sz w:val="22"/>
          <w:szCs w:val="22"/>
        </w:rPr>
        <w:t>cilta-cel</w:t>
      </w:r>
      <w:proofErr w:type="spellEnd"/>
      <w:r w:rsidRPr="001452A0">
        <w:rPr>
          <w:rFonts w:ascii="Segoe UI" w:eastAsia="Times New Roman" w:hAnsi="Segoe UI" w:cs="Segoe UI"/>
          <w:sz w:val="22"/>
          <w:szCs w:val="22"/>
        </w:rPr>
        <w:t xml:space="preserve"> for a population with a high clinical need while reducing the overall costs of </w:t>
      </w:r>
      <w:proofErr w:type="spellStart"/>
      <w:r w:rsidRPr="001452A0">
        <w:rPr>
          <w:rFonts w:ascii="Segoe UI" w:eastAsia="Times New Roman" w:hAnsi="Segoe UI" w:cs="Segoe UI"/>
          <w:sz w:val="22"/>
          <w:szCs w:val="22"/>
        </w:rPr>
        <w:t>cilta-cel</w:t>
      </w:r>
      <w:proofErr w:type="spellEnd"/>
      <w:r w:rsidRPr="001452A0">
        <w:rPr>
          <w:rFonts w:ascii="Segoe UI" w:eastAsia="Times New Roman" w:hAnsi="Segoe UI" w:cs="Segoe UI"/>
          <w:sz w:val="22"/>
          <w:szCs w:val="22"/>
        </w:rPr>
        <w:t xml:space="preserve"> to Government and implementation challenges highlighted by the States.</w:t>
      </w:r>
    </w:p>
    <w:p w14:paraId="038C6E16" w14:textId="223CB829" w:rsidR="001452A0" w:rsidRDefault="001452A0" w:rsidP="001864E1">
      <w:pPr>
        <w:spacing w:after="0" w:line="240" w:lineRule="auto"/>
        <w:rPr>
          <w:rFonts w:ascii="Segoe UI" w:eastAsia="Times New Roman" w:hAnsi="Segoe UI" w:cs="Segoe UI"/>
          <w:sz w:val="22"/>
          <w:szCs w:val="22"/>
        </w:rPr>
      </w:pPr>
    </w:p>
    <w:p w14:paraId="0E71CD39" w14:textId="60D79E89" w:rsidR="001864E1" w:rsidRDefault="001864E1" w:rsidP="001864E1">
      <w:pPr>
        <w:spacing w:after="0" w:line="240" w:lineRule="auto"/>
        <w:rPr>
          <w:rFonts w:ascii="Segoe UI" w:eastAsia="Times New Roman" w:hAnsi="Segoe UI" w:cs="Segoe UI"/>
          <w:sz w:val="22"/>
          <w:szCs w:val="22"/>
        </w:rPr>
      </w:pPr>
      <w:r w:rsidRPr="001864E1">
        <w:rPr>
          <w:rFonts w:ascii="Segoe UI" w:eastAsia="Times New Roman" w:hAnsi="Segoe UI" w:cs="Segoe UI"/>
          <w:sz w:val="22"/>
          <w:szCs w:val="22"/>
          <w:highlight w:val="black"/>
        </w:rPr>
        <w:t>XXXXXXXXXXXX</w:t>
      </w:r>
      <w:r>
        <w:rPr>
          <w:rFonts w:ascii="Segoe UI" w:eastAsia="Times New Roman" w:hAnsi="Segoe UI" w:cs="Segoe UI"/>
          <w:sz w:val="22"/>
          <w:szCs w:val="22"/>
          <w:highlight w:val="black"/>
        </w:rPr>
        <w:tab/>
      </w:r>
      <w:r>
        <w:rPr>
          <w:rFonts w:ascii="Segoe UI" w:eastAsia="Times New Roman" w:hAnsi="Segoe UI" w:cs="Segoe UI"/>
          <w:sz w:val="22"/>
          <w:szCs w:val="22"/>
          <w:highlight w:val="black"/>
        </w:rPr>
        <w:tab/>
      </w:r>
      <w:r>
        <w:rPr>
          <w:rFonts w:ascii="Segoe UI" w:eastAsia="Times New Roman" w:hAnsi="Segoe UI" w:cs="Segoe UI"/>
          <w:sz w:val="22"/>
          <w:szCs w:val="22"/>
          <w:highlight w:val="black"/>
        </w:rPr>
        <w:tab/>
      </w:r>
      <w:r>
        <w:rPr>
          <w:rFonts w:ascii="Segoe UI" w:eastAsia="Times New Roman" w:hAnsi="Segoe UI" w:cs="Segoe UI"/>
          <w:sz w:val="22"/>
          <w:szCs w:val="22"/>
          <w:highlight w:val="black"/>
        </w:rPr>
        <w:tab/>
      </w:r>
      <w:r>
        <w:rPr>
          <w:rFonts w:ascii="Segoe UI" w:eastAsia="Times New Roman" w:hAnsi="Segoe UI" w:cs="Segoe UI"/>
          <w:sz w:val="22"/>
          <w:szCs w:val="22"/>
          <w:highlight w:val="black"/>
        </w:rPr>
        <w:tab/>
      </w:r>
      <w:r>
        <w:rPr>
          <w:rFonts w:ascii="Segoe UI" w:eastAsia="Times New Roman" w:hAnsi="Segoe UI" w:cs="Segoe UI"/>
          <w:sz w:val="22"/>
          <w:szCs w:val="22"/>
          <w:highlight w:val="black"/>
        </w:rPr>
        <w:tab/>
      </w:r>
      <w:r>
        <w:rPr>
          <w:rFonts w:ascii="Segoe UI" w:eastAsia="Times New Roman" w:hAnsi="Segoe UI" w:cs="Segoe UI"/>
          <w:sz w:val="22"/>
          <w:szCs w:val="22"/>
          <w:highlight w:val="black"/>
        </w:rPr>
        <w:tab/>
      </w:r>
      <w:r>
        <w:rPr>
          <w:rFonts w:ascii="Segoe UI" w:eastAsia="Times New Roman" w:hAnsi="Segoe UI" w:cs="Segoe UI"/>
          <w:sz w:val="22"/>
          <w:szCs w:val="22"/>
          <w:highlight w:val="black"/>
        </w:rPr>
        <w:tab/>
      </w:r>
      <w:r>
        <w:rPr>
          <w:rFonts w:ascii="Segoe UI" w:eastAsia="Times New Roman" w:hAnsi="Segoe UI" w:cs="Segoe UI"/>
          <w:sz w:val="22"/>
          <w:szCs w:val="22"/>
          <w:highlight w:val="black"/>
        </w:rPr>
        <w:tab/>
      </w:r>
      <w:r>
        <w:rPr>
          <w:rFonts w:ascii="Segoe UI" w:eastAsia="Times New Roman" w:hAnsi="Segoe UI" w:cs="Segoe UI"/>
          <w:sz w:val="22"/>
          <w:szCs w:val="22"/>
          <w:highlight w:val="black"/>
        </w:rPr>
        <w:tab/>
        <w:t xml:space="preserve">           </w:t>
      </w:r>
      <w:r w:rsidRPr="001864E1">
        <w:rPr>
          <w:rFonts w:ascii="Segoe UI" w:eastAsia="Times New Roman" w:hAnsi="Segoe UI" w:cs="Segoe UI"/>
          <w:sz w:val="22"/>
          <w:szCs w:val="22"/>
          <w:highlight w:val="black"/>
        </w:rPr>
        <w:t>X</w:t>
      </w:r>
    </w:p>
    <w:p w14:paraId="3F74E5A0" w14:textId="36DB9DAD" w:rsidR="000802B0" w:rsidRDefault="000802B0" w:rsidP="001864E1">
      <w:pPr>
        <w:spacing w:after="0" w:line="240" w:lineRule="auto"/>
        <w:rPr>
          <w:rFonts w:ascii="Segoe UI" w:eastAsia="Times New Roman" w:hAnsi="Segoe UI" w:cs="Segoe UI"/>
          <w:sz w:val="22"/>
          <w:szCs w:val="22"/>
        </w:rPr>
      </w:pPr>
    </w:p>
    <w:p w14:paraId="2C556C8B" w14:textId="221FF7DF" w:rsidR="00407B82" w:rsidRPr="00407B82" w:rsidRDefault="00407B82" w:rsidP="001864E1">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Specify any characteristics of patients with the medical condition, or suspected of, who are proposed to be eligible for the proposed health technology, describing how a patient would be investigated, </w:t>
      </w:r>
      <w:proofErr w:type="gramStart"/>
      <w:r w:rsidRPr="00407B82">
        <w:rPr>
          <w:rFonts w:ascii="Segoe UI" w:eastAsia="Times New Roman" w:hAnsi="Segoe UI"/>
          <w:b/>
          <w:color w:val="000000"/>
          <w:sz w:val="22"/>
        </w:rPr>
        <w:t>managed</w:t>
      </w:r>
      <w:proofErr w:type="gramEnd"/>
      <w:r w:rsidRPr="00407B82">
        <w:rPr>
          <w:rFonts w:ascii="Segoe UI" w:eastAsia="Times New Roman" w:hAnsi="Segoe UI"/>
          <w:b/>
          <w:color w:val="000000"/>
          <w:sz w:val="22"/>
        </w:rPr>
        <w:t xml:space="preserve"> and referred within the Australian health care system in the lead up to being considered eligible for the technology:</w:t>
      </w:r>
    </w:p>
    <w:p w14:paraId="4DC58ADA" w14:textId="77777777" w:rsidR="001B1EE0" w:rsidRPr="00715936" w:rsidRDefault="001B1EE0" w:rsidP="001864E1">
      <w:pPr>
        <w:spacing w:after="0" w:line="240" w:lineRule="auto"/>
        <w:rPr>
          <w:rFonts w:ascii="Segoe UI" w:eastAsia="Times New Roman" w:hAnsi="Segoe UI" w:cs="Segoe UI"/>
          <w:i/>
          <w:iCs/>
          <w:sz w:val="22"/>
          <w:szCs w:val="22"/>
        </w:rPr>
      </w:pPr>
      <w:r w:rsidRPr="00715936">
        <w:rPr>
          <w:rFonts w:ascii="Segoe UI" w:eastAsia="Times New Roman" w:hAnsi="Segoe UI" w:cs="Segoe UI"/>
          <w:i/>
          <w:iCs/>
          <w:sz w:val="22"/>
          <w:szCs w:val="22"/>
        </w:rPr>
        <w:t xml:space="preserve">Referral for </w:t>
      </w:r>
      <w:proofErr w:type="spellStart"/>
      <w:r w:rsidRPr="00715936">
        <w:rPr>
          <w:rFonts w:ascii="Segoe UI" w:eastAsia="Times New Roman" w:hAnsi="Segoe UI" w:cs="Segoe UI"/>
          <w:i/>
          <w:iCs/>
          <w:sz w:val="22"/>
          <w:szCs w:val="22"/>
        </w:rPr>
        <w:t>cilta-cel</w:t>
      </w:r>
      <w:proofErr w:type="spellEnd"/>
    </w:p>
    <w:p w14:paraId="66E9DA17" w14:textId="5653BF1E" w:rsidR="00407B82" w:rsidRPr="00715936" w:rsidRDefault="001B1EE0" w:rsidP="001864E1">
      <w:pPr>
        <w:spacing w:after="0" w:line="240" w:lineRule="auto"/>
        <w:rPr>
          <w:rFonts w:asciiTheme="minorHAnsi" w:eastAsia="Times New Roman" w:hAnsiTheme="minorHAnsi" w:cs="Calibri"/>
          <w:sz w:val="22"/>
          <w:szCs w:val="22"/>
        </w:rPr>
      </w:pPr>
      <w:r w:rsidRPr="00715936">
        <w:rPr>
          <w:rFonts w:ascii="Segoe UI" w:eastAsia="Times New Roman" w:hAnsi="Segoe UI" w:cs="Segoe UI"/>
          <w:sz w:val="22"/>
          <w:szCs w:val="22"/>
        </w:rPr>
        <w:t xml:space="preserve">Patients will be monitored by their haematologists throughout MM treatment to determine remission and relapse status (determined using objective measurement of response, as per the PBAC rules for continuation and cessation. If patients reach the </w:t>
      </w:r>
      <w:r w:rsidR="00210096" w:rsidRPr="00715936">
        <w:rPr>
          <w:rFonts w:ascii="Segoe UI" w:eastAsia="Times New Roman" w:hAnsi="Segoe UI" w:cs="Segoe UI"/>
          <w:sz w:val="22"/>
          <w:szCs w:val="22"/>
        </w:rPr>
        <w:t>fifth</w:t>
      </w:r>
      <w:r w:rsidRPr="00715936">
        <w:rPr>
          <w:rFonts w:ascii="Segoe UI" w:eastAsia="Times New Roman" w:hAnsi="Segoe UI" w:cs="Segoe UI"/>
          <w:sz w:val="22"/>
          <w:szCs w:val="22"/>
        </w:rPr>
        <w:t xml:space="preserve"> line setting, they may be assessed for eligibility for </w:t>
      </w:r>
      <w:proofErr w:type="spellStart"/>
      <w:r w:rsidRPr="00715936">
        <w:rPr>
          <w:rFonts w:ascii="Segoe UI" w:eastAsia="Times New Roman" w:hAnsi="Segoe UI" w:cs="Segoe UI"/>
          <w:sz w:val="22"/>
          <w:szCs w:val="22"/>
        </w:rPr>
        <w:t>cilta-cel</w:t>
      </w:r>
      <w:proofErr w:type="spellEnd"/>
      <w:r w:rsidRPr="00715936">
        <w:rPr>
          <w:rFonts w:ascii="Segoe UI" w:eastAsia="Times New Roman" w:hAnsi="Segoe UI" w:cs="Segoe UI"/>
          <w:sz w:val="22"/>
          <w:szCs w:val="22"/>
        </w:rPr>
        <w:t xml:space="preserve"> and referred to a treating public hospital by their haematologist or haematological oncologist. Further, patient selection and referral decisions will be determined by a multi-disciplinary team (MDT).</w:t>
      </w:r>
      <w:r w:rsidR="00715936">
        <w:rPr>
          <w:rFonts w:ascii="Segoe UI" w:eastAsia="Times New Roman" w:hAnsi="Segoe UI" w:cs="Segoe UI"/>
          <w:sz w:val="22"/>
          <w:szCs w:val="22"/>
        </w:rPr>
        <w:t xml:space="preserve"> Additional information will be provided within the ADAR.</w:t>
      </w:r>
    </w:p>
    <w:p w14:paraId="34608623" w14:textId="77777777" w:rsidR="00407B82" w:rsidRPr="00407B82" w:rsidRDefault="00407B82" w:rsidP="001864E1">
      <w:pPr>
        <w:spacing w:after="0" w:line="240" w:lineRule="auto"/>
        <w:rPr>
          <w:rFonts w:ascii="Segoe UI" w:eastAsia="Times New Roman" w:hAnsi="Segoe UI"/>
          <w:b/>
          <w:color w:val="000000"/>
          <w:sz w:val="22"/>
        </w:rPr>
      </w:pPr>
    </w:p>
    <w:p w14:paraId="7606C820" w14:textId="77777777" w:rsidR="00407B82" w:rsidRPr="00407B82" w:rsidRDefault="00407B82" w:rsidP="001864E1">
      <w:pPr>
        <w:spacing w:after="0" w:line="240" w:lineRule="auto"/>
        <w:rPr>
          <w:rFonts w:ascii="Segoe UI" w:eastAsia="Times New Roman" w:hAnsi="Segoe UI"/>
          <w:b/>
          <w:color w:val="000000"/>
          <w:sz w:val="22"/>
        </w:rPr>
      </w:pPr>
      <w:r w:rsidRPr="00715936">
        <w:rPr>
          <w:rFonts w:ascii="Segoe UI" w:eastAsia="Times New Roman" w:hAnsi="Segoe UI"/>
          <w:b/>
          <w:color w:val="000000"/>
          <w:sz w:val="22"/>
        </w:rPr>
        <w:t>Provide a rationale for the specifics of the eligible population:</w:t>
      </w:r>
    </w:p>
    <w:p w14:paraId="490A9404" w14:textId="2EE94603" w:rsidR="00210096" w:rsidRPr="00715936" w:rsidRDefault="009E24F8" w:rsidP="001864E1">
      <w:pPr>
        <w:spacing w:after="0" w:line="240" w:lineRule="auto"/>
        <w:rPr>
          <w:rFonts w:ascii="Segoe UI" w:eastAsia="Times New Roman" w:hAnsi="Segoe UI" w:cs="Segoe UI"/>
          <w:sz w:val="22"/>
          <w:szCs w:val="22"/>
        </w:rPr>
      </w:pPr>
      <w:bookmarkStart w:id="2" w:name="_Hlk77754131"/>
      <w:r>
        <w:rPr>
          <w:rFonts w:ascii="Segoe UI" w:eastAsia="Times New Roman" w:hAnsi="Segoe UI" w:cs="Segoe UI"/>
          <w:sz w:val="22"/>
          <w:szCs w:val="22"/>
        </w:rPr>
        <w:t>T</w:t>
      </w:r>
      <w:r w:rsidR="00715936" w:rsidRPr="00715936">
        <w:rPr>
          <w:rFonts w:ascii="Segoe UI" w:eastAsia="Times New Roman" w:hAnsi="Segoe UI" w:cs="Segoe UI"/>
          <w:sz w:val="22"/>
          <w:szCs w:val="22"/>
        </w:rPr>
        <w:t xml:space="preserve">he previous application for </w:t>
      </w:r>
      <w:proofErr w:type="spellStart"/>
      <w:r w:rsidR="00715936" w:rsidRPr="00715936">
        <w:rPr>
          <w:rFonts w:ascii="Segoe UI" w:eastAsia="Times New Roman" w:hAnsi="Segoe UI" w:cs="Segoe UI"/>
          <w:sz w:val="22"/>
          <w:szCs w:val="22"/>
        </w:rPr>
        <w:t>ciltacabtagene</w:t>
      </w:r>
      <w:proofErr w:type="spellEnd"/>
      <w:r w:rsidR="00715936" w:rsidRPr="00715936">
        <w:rPr>
          <w:rFonts w:ascii="Segoe UI" w:eastAsia="Times New Roman" w:hAnsi="Segoe UI" w:cs="Segoe UI"/>
          <w:sz w:val="22"/>
          <w:szCs w:val="22"/>
        </w:rPr>
        <w:t xml:space="preserve"> </w:t>
      </w:r>
      <w:proofErr w:type="spellStart"/>
      <w:r w:rsidR="00715936" w:rsidRPr="00715936">
        <w:rPr>
          <w:rFonts w:ascii="Segoe UI" w:eastAsia="Times New Roman" w:hAnsi="Segoe UI" w:cs="Segoe UI"/>
          <w:sz w:val="22"/>
          <w:szCs w:val="22"/>
        </w:rPr>
        <w:t>autoleucel</w:t>
      </w:r>
      <w:proofErr w:type="spellEnd"/>
      <w:r w:rsidR="00715936" w:rsidRPr="00715936">
        <w:rPr>
          <w:rFonts w:ascii="Segoe UI" w:eastAsia="Times New Roman" w:hAnsi="Segoe UI" w:cs="Segoe UI"/>
          <w:sz w:val="22"/>
          <w:szCs w:val="22"/>
        </w:rPr>
        <w:t xml:space="preserve"> (</w:t>
      </w:r>
      <w:proofErr w:type="spellStart"/>
      <w:r w:rsidR="00715936" w:rsidRPr="00715936">
        <w:rPr>
          <w:rFonts w:ascii="Segoe UI" w:eastAsia="Times New Roman" w:hAnsi="Segoe UI" w:cs="Segoe UI"/>
          <w:sz w:val="22"/>
          <w:szCs w:val="22"/>
        </w:rPr>
        <w:t>cilta-cel</w:t>
      </w:r>
      <w:proofErr w:type="spellEnd"/>
      <w:r w:rsidR="00715936" w:rsidRPr="00715936">
        <w:rPr>
          <w:rFonts w:ascii="Segoe UI" w:eastAsia="Times New Roman" w:hAnsi="Segoe UI" w:cs="Segoe UI"/>
          <w:sz w:val="22"/>
          <w:szCs w:val="22"/>
        </w:rPr>
        <w:t xml:space="preserve">) was for patients with 4L+ MM after a PI, </w:t>
      </w:r>
      <w:proofErr w:type="spellStart"/>
      <w:r w:rsidR="00715936" w:rsidRPr="00715936">
        <w:rPr>
          <w:rFonts w:ascii="Segoe UI" w:eastAsia="Times New Roman" w:hAnsi="Segoe UI" w:cs="Segoe UI"/>
          <w:sz w:val="22"/>
          <w:szCs w:val="22"/>
        </w:rPr>
        <w:t>IMiD</w:t>
      </w:r>
      <w:proofErr w:type="spellEnd"/>
      <w:r w:rsidR="00715936" w:rsidRPr="00715936">
        <w:rPr>
          <w:rFonts w:ascii="Segoe UI" w:eastAsia="Times New Roman" w:hAnsi="Segoe UI" w:cs="Segoe UI"/>
          <w:sz w:val="22"/>
          <w:szCs w:val="22"/>
        </w:rPr>
        <w:t xml:space="preserve"> and anti-CD38. Patients with 5L+ RRMM have even fewer treatment options than people with 4L+ RRMM as they have exhausted and become refractory to even more therapies, and thus the clinical need is further amplified. </w:t>
      </w:r>
      <w:bookmarkEnd w:id="2"/>
      <w:r w:rsidR="00715936" w:rsidRPr="00715936">
        <w:rPr>
          <w:rFonts w:ascii="Segoe UI" w:eastAsia="Times New Roman" w:hAnsi="Segoe UI" w:cs="Segoe UI"/>
          <w:sz w:val="22"/>
          <w:szCs w:val="22"/>
        </w:rPr>
        <w:t xml:space="preserve">Janssen is requesting funding for the 5L+ MM including a PI, </w:t>
      </w:r>
      <w:proofErr w:type="spellStart"/>
      <w:r w:rsidR="00715936" w:rsidRPr="00715936">
        <w:rPr>
          <w:rFonts w:ascii="Segoe UI" w:eastAsia="Times New Roman" w:hAnsi="Segoe UI" w:cs="Segoe UI"/>
          <w:sz w:val="22"/>
          <w:szCs w:val="22"/>
        </w:rPr>
        <w:t>IMiD</w:t>
      </w:r>
      <w:proofErr w:type="spellEnd"/>
      <w:r w:rsidR="00715936" w:rsidRPr="00715936">
        <w:rPr>
          <w:rFonts w:ascii="Segoe UI" w:eastAsia="Times New Roman" w:hAnsi="Segoe UI" w:cs="Segoe UI"/>
          <w:sz w:val="22"/>
          <w:szCs w:val="22"/>
        </w:rPr>
        <w:t xml:space="preserve"> and anti-CD38, to address the issues raised by the MSAC and the States/Territories in July 2022 (MSAC ID 1690). This positioning intends to facilitate timely access to </w:t>
      </w:r>
      <w:proofErr w:type="spellStart"/>
      <w:r w:rsidR="00715936" w:rsidRPr="00715936">
        <w:rPr>
          <w:rFonts w:ascii="Segoe UI" w:eastAsia="Times New Roman" w:hAnsi="Segoe UI" w:cs="Segoe UI"/>
          <w:sz w:val="22"/>
          <w:szCs w:val="22"/>
        </w:rPr>
        <w:t>cilta-cel</w:t>
      </w:r>
      <w:proofErr w:type="spellEnd"/>
      <w:r w:rsidR="00715936" w:rsidRPr="00715936">
        <w:rPr>
          <w:rFonts w:ascii="Segoe UI" w:eastAsia="Times New Roman" w:hAnsi="Segoe UI" w:cs="Segoe UI"/>
          <w:sz w:val="22"/>
          <w:szCs w:val="22"/>
        </w:rPr>
        <w:t xml:space="preserve"> for a population with a high clinical need while reducing the overall costs of </w:t>
      </w:r>
      <w:proofErr w:type="spellStart"/>
      <w:r w:rsidR="00715936" w:rsidRPr="00715936">
        <w:rPr>
          <w:rFonts w:ascii="Segoe UI" w:eastAsia="Times New Roman" w:hAnsi="Segoe UI" w:cs="Segoe UI"/>
          <w:sz w:val="22"/>
          <w:szCs w:val="22"/>
        </w:rPr>
        <w:t>cilta-cel</w:t>
      </w:r>
      <w:proofErr w:type="spellEnd"/>
      <w:r w:rsidR="00715936" w:rsidRPr="00715936">
        <w:rPr>
          <w:rFonts w:ascii="Segoe UI" w:eastAsia="Times New Roman" w:hAnsi="Segoe UI" w:cs="Segoe UI"/>
          <w:sz w:val="22"/>
          <w:szCs w:val="22"/>
        </w:rPr>
        <w:t xml:space="preserve"> to Government and implementation challenges highlighted by the States.</w:t>
      </w:r>
    </w:p>
    <w:p w14:paraId="03BD8095" w14:textId="77777777" w:rsidR="00407B82" w:rsidRPr="00407B82" w:rsidRDefault="00407B82" w:rsidP="001864E1">
      <w:pPr>
        <w:spacing w:after="0" w:line="240" w:lineRule="auto"/>
        <w:rPr>
          <w:rFonts w:asciiTheme="minorHAnsi" w:eastAsia="Times New Roman" w:hAnsiTheme="minorHAnsi" w:cs="Calibri"/>
          <w:color w:val="000000"/>
          <w:sz w:val="22"/>
          <w:szCs w:val="22"/>
        </w:rPr>
      </w:pPr>
    </w:p>
    <w:p w14:paraId="17FA7F37" w14:textId="21EE8ADE" w:rsidR="00407B82" w:rsidRPr="001864E1" w:rsidRDefault="00407B82" w:rsidP="001864E1">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Are there any prerequisite tests?</w:t>
      </w:r>
    </w:p>
    <w:p w14:paraId="147D20D2" w14:textId="683D1DA8" w:rsidR="00407B82" w:rsidRPr="001864E1" w:rsidRDefault="00407B82" w:rsidP="001864E1">
      <w:pPr>
        <w:spacing w:after="120" w:line="240" w:lineRule="auto"/>
        <w:rPr>
          <w:rFonts w:ascii="Segoe UI" w:eastAsia="Times New Roman" w:hAnsi="Segoe UI"/>
          <w:bCs/>
          <w:color w:val="000000"/>
          <w:sz w:val="22"/>
        </w:rPr>
      </w:pPr>
      <w:r w:rsidRPr="001864E1">
        <w:rPr>
          <w:rFonts w:ascii="Segoe UI" w:eastAsia="Times New Roman" w:hAnsi="Segoe UI"/>
          <w:bCs/>
          <w:color w:val="000000"/>
          <w:sz w:val="22"/>
        </w:rPr>
        <w:t>No</w:t>
      </w:r>
    </w:p>
    <w:p w14:paraId="6D045672" w14:textId="77777777" w:rsidR="001864E1" w:rsidRPr="001864E1" w:rsidRDefault="00407B82" w:rsidP="001864E1">
      <w:pPr>
        <w:spacing w:after="0" w:line="240" w:lineRule="auto"/>
        <w:rPr>
          <w:rFonts w:ascii="Segoe UI" w:eastAsia="Times New Roman" w:hAnsi="Segoe UI"/>
          <w:b/>
          <w:color w:val="000000"/>
          <w:sz w:val="22"/>
        </w:rPr>
      </w:pPr>
      <w:r w:rsidRPr="001864E1">
        <w:rPr>
          <w:rFonts w:ascii="Segoe UI" w:eastAsia="Times New Roman" w:hAnsi="Segoe UI"/>
          <w:b/>
          <w:color w:val="000000"/>
          <w:sz w:val="22"/>
        </w:rPr>
        <w:t xml:space="preserve">Are the prerequisite tests MBS funded? </w:t>
      </w:r>
    </w:p>
    <w:p w14:paraId="53C477DF" w14:textId="5A7555DD" w:rsidR="00407B82" w:rsidRPr="001864E1" w:rsidRDefault="0039212C" w:rsidP="001864E1">
      <w:pPr>
        <w:spacing w:after="120" w:line="240" w:lineRule="auto"/>
        <w:rPr>
          <w:rFonts w:ascii="Segoe UI" w:eastAsia="Times New Roman" w:hAnsi="Segoe UI"/>
          <w:bCs/>
          <w:color w:val="000000"/>
          <w:sz w:val="22"/>
        </w:rPr>
      </w:pPr>
      <w:r w:rsidRPr="001864E1">
        <w:rPr>
          <w:rFonts w:ascii="Segoe UI" w:eastAsia="Times New Roman" w:hAnsi="Segoe UI"/>
          <w:bCs/>
          <w:color w:val="000000"/>
          <w:sz w:val="22"/>
        </w:rPr>
        <w:t>N/A</w:t>
      </w:r>
    </w:p>
    <w:p w14:paraId="5FD42284" w14:textId="77777777" w:rsidR="001864E1" w:rsidRPr="001864E1" w:rsidRDefault="00407B82" w:rsidP="00407B82">
      <w:pPr>
        <w:spacing w:after="0" w:line="240" w:lineRule="auto"/>
        <w:rPr>
          <w:rFonts w:ascii="Segoe UI" w:eastAsia="Times New Roman" w:hAnsi="Segoe UI"/>
          <w:b/>
          <w:color w:val="000000"/>
          <w:sz w:val="22"/>
        </w:rPr>
      </w:pPr>
      <w:r w:rsidRPr="001864E1">
        <w:rPr>
          <w:rFonts w:ascii="Segoe UI" w:eastAsia="Times New Roman" w:hAnsi="Segoe UI"/>
          <w:b/>
          <w:color w:val="000000"/>
          <w:sz w:val="22"/>
        </w:rPr>
        <w:t>Please provide details to fund the prerequisite tests:</w:t>
      </w:r>
      <w:r w:rsidR="0039212C" w:rsidRPr="001864E1">
        <w:rPr>
          <w:rFonts w:ascii="Segoe UI" w:eastAsia="Times New Roman" w:hAnsi="Segoe UI"/>
          <w:b/>
          <w:color w:val="000000"/>
          <w:sz w:val="22"/>
        </w:rPr>
        <w:t xml:space="preserve"> </w:t>
      </w:r>
    </w:p>
    <w:p w14:paraId="76BDC6B8" w14:textId="4AE9D1F3" w:rsidR="00407B82" w:rsidRPr="001864E1" w:rsidRDefault="0039212C" w:rsidP="001864E1">
      <w:pPr>
        <w:spacing w:after="120" w:line="240" w:lineRule="auto"/>
        <w:rPr>
          <w:rFonts w:ascii="Segoe UI" w:eastAsia="Times New Roman" w:hAnsi="Segoe UI"/>
          <w:bCs/>
          <w:color w:val="000000"/>
          <w:sz w:val="22"/>
        </w:rPr>
      </w:pPr>
      <w:r w:rsidRPr="001864E1">
        <w:rPr>
          <w:rFonts w:ascii="Segoe UI" w:eastAsia="Times New Roman" w:hAnsi="Segoe UI"/>
          <w:bCs/>
          <w:color w:val="000000"/>
          <w:sz w:val="22"/>
        </w:rPr>
        <w:t>N/A</w:t>
      </w:r>
    </w:p>
    <w:p w14:paraId="0C3D1899" w14:textId="77777777" w:rsidR="00407B82" w:rsidRPr="00407B82" w:rsidRDefault="00407B82" w:rsidP="001864E1">
      <w:pPr>
        <w:spacing w:before="240"/>
        <w:rPr>
          <w:rFonts w:ascii="Segoe UI" w:eastAsia="Times New Roman" w:hAnsi="Segoe UI"/>
          <w:b/>
          <w:color w:val="000000"/>
          <w:sz w:val="32"/>
        </w:rPr>
      </w:pPr>
      <w:r w:rsidRPr="00407B82">
        <w:rPr>
          <w:rFonts w:ascii="Segoe UI" w:eastAsia="Times New Roman" w:hAnsi="Segoe UI"/>
          <w:b/>
          <w:color w:val="000000"/>
          <w:sz w:val="32"/>
        </w:rPr>
        <w:t>Intervention</w:t>
      </w:r>
    </w:p>
    <w:p w14:paraId="5DA51C7E" w14:textId="7673D5AE"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Name of the proposed health technology:</w:t>
      </w:r>
    </w:p>
    <w:p w14:paraId="2242FD92" w14:textId="19D4A721" w:rsidR="00407B82" w:rsidRPr="00407B82" w:rsidRDefault="0039212C" w:rsidP="00407B82">
      <w:pPr>
        <w:spacing w:after="0" w:line="240" w:lineRule="auto"/>
        <w:rPr>
          <w:rFonts w:asciiTheme="minorHAnsi" w:eastAsia="Times New Roman" w:hAnsiTheme="minorHAnsi" w:cs="Calibri"/>
          <w:color w:val="000000"/>
          <w:sz w:val="22"/>
          <w:szCs w:val="22"/>
        </w:rPr>
      </w:pPr>
      <w:proofErr w:type="spellStart"/>
      <w:r w:rsidRPr="0039212C">
        <w:rPr>
          <w:rFonts w:ascii="Segoe UI" w:eastAsia="Times New Roman" w:hAnsi="Segoe UI" w:cs="Segoe UI"/>
          <w:sz w:val="22"/>
          <w:szCs w:val="22"/>
        </w:rPr>
        <w:t>Ciltacabtagene</w:t>
      </w:r>
      <w:proofErr w:type="spellEnd"/>
      <w:r w:rsidRPr="0039212C">
        <w:rPr>
          <w:rFonts w:ascii="Segoe UI" w:eastAsia="Times New Roman" w:hAnsi="Segoe UI" w:cs="Segoe UI"/>
          <w:sz w:val="22"/>
          <w:szCs w:val="22"/>
        </w:rPr>
        <w:t xml:space="preserve"> </w:t>
      </w:r>
      <w:proofErr w:type="spellStart"/>
      <w:r w:rsidRPr="0039212C">
        <w:rPr>
          <w:rFonts w:ascii="Segoe UI" w:eastAsia="Times New Roman" w:hAnsi="Segoe UI" w:cs="Segoe UI"/>
          <w:sz w:val="22"/>
          <w:szCs w:val="22"/>
        </w:rPr>
        <w:t>autoleucel</w:t>
      </w:r>
      <w:proofErr w:type="spellEnd"/>
      <w:r w:rsidRPr="0039212C">
        <w:rPr>
          <w:rFonts w:ascii="Segoe UI" w:eastAsia="Times New Roman" w:hAnsi="Segoe UI" w:cs="Segoe UI"/>
          <w:sz w:val="22"/>
          <w:szCs w:val="22"/>
        </w:rPr>
        <w:t xml:space="preserve"> (</w:t>
      </w:r>
      <w:proofErr w:type="spellStart"/>
      <w:r w:rsidRPr="0039212C">
        <w:rPr>
          <w:rFonts w:ascii="Segoe UI" w:eastAsia="Times New Roman" w:hAnsi="Segoe UI" w:cs="Segoe UI"/>
          <w:sz w:val="22"/>
          <w:szCs w:val="22"/>
        </w:rPr>
        <w:t>cilta-cel</w:t>
      </w:r>
      <w:proofErr w:type="spellEnd"/>
      <w:r w:rsidRPr="0039212C">
        <w:rPr>
          <w:rFonts w:ascii="Segoe UI" w:eastAsia="Times New Roman" w:hAnsi="Segoe UI" w:cs="Segoe UI"/>
          <w:sz w:val="22"/>
          <w:szCs w:val="22"/>
        </w:rPr>
        <w:t>)</w:t>
      </w:r>
    </w:p>
    <w:p w14:paraId="7F067DD0" w14:textId="77777777" w:rsidR="00407B82" w:rsidRPr="00407B82" w:rsidRDefault="00407B82" w:rsidP="00407B82">
      <w:pPr>
        <w:spacing w:after="0" w:line="240" w:lineRule="auto"/>
        <w:rPr>
          <w:rFonts w:ascii="Segoe UI" w:eastAsia="Times New Roman" w:hAnsi="Segoe UI"/>
          <w:b/>
          <w:color w:val="000000"/>
          <w:sz w:val="22"/>
        </w:rPr>
      </w:pPr>
    </w:p>
    <w:p w14:paraId="5558272D" w14:textId="3F1B7C56" w:rsidR="00635E9F" w:rsidRPr="001864E1" w:rsidRDefault="00407B82" w:rsidP="001864E1">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Describe the key components and clinical steps involved in delivering the proposed health technology</w:t>
      </w:r>
      <w:r w:rsidR="001864E1">
        <w:rPr>
          <w:rFonts w:ascii="Segoe UI" w:eastAsia="Times New Roman" w:hAnsi="Segoe UI"/>
          <w:b/>
          <w:color w:val="000000"/>
          <w:sz w:val="22"/>
        </w:rPr>
        <w:t>:</w:t>
      </w:r>
      <w:r w:rsidR="001864E1">
        <w:rPr>
          <w:rFonts w:ascii="Segoe UI" w:eastAsia="Times New Roman" w:hAnsi="Segoe UI"/>
          <w:b/>
          <w:color w:val="000000"/>
          <w:sz w:val="22"/>
        </w:rPr>
        <w:br/>
      </w:r>
      <w:proofErr w:type="spellStart"/>
      <w:r w:rsidR="00715936" w:rsidRPr="00A45719">
        <w:rPr>
          <w:rFonts w:ascii="Segoe UI" w:eastAsia="Times New Roman" w:hAnsi="Segoe UI" w:cs="Segoe UI"/>
          <w:sz w:val="22"/>
          <w:szCs w:val="22"/>
        </w:rPr>
        <w:t>Cilta-cel</w:t>
      </w:r>
      <w:proofErr w:type="spellEnd"/>
      <w:r w:rsidR="00715936" w:rsidRPr="00A45719">
        <w:rPr>
          <w:rFonts w:ascii="Segoe UI" w:eastAsia="Times New Roman" w:hAnsi="Segoe UI" w:cs="Segoe UI"/>
          <w:sz w:val="22"/>
          <w:szCs w:val="22"/>
        </w:rPr>
        <w:t xml:space="preserve"> is a B cell maturation antigen (BCMA)-directed genetically modified autologous T cell </w:t>
      </w:r>
      <w:r w:rsidR="00715936" w:rsidRPr="00A45719">
        <w:rPr>
          <w:rFonts w:ascii="Segoe UI" w:eastAsia="Times New Roman" w:hAnsi="Segoe UI" w:cs="Segoe UI"/>
          <w:sz w:val="22"/>
          <w:szCs w:val="22"/>
        </w:rPr>
        <w:lastRenderedPageBreak/>
        <w:t xml:space="preserve">immunotherapy. </w:t>
      </w:r>
      <w:proofErr w:type="spellStart"/>
      <w:r w:rsidR="00635E9F" w:rsidRPr="00A45719">
        <w:rPr>
          <w:rFonts w:ascii="Segoe UI" w:eastAsia="Times New Roman" w:hAnsi="Segoe UI" w:cs="Segoe UI"/>
          <w:sz w:val="22"/>
          <w:szCs w:val="22"/>
        </w:rPr>
        <w:t>Cilta-cel</w:t>
      </w:r>
      <w:proofErr w:type="spellEnd"/>
      <w:r w:rsidR="00635E9F" w:rsidRPr="00A45719">
        <w:rPr>
          <w:rFonts w:ascii="Segoe UI" w:eastAsia="Times New Roman" w:hAnsi="Segoe UI" w:cs="Segoe UI"/>
          <w:sz w:val="22"/>
          <w:szCs w:val="22"/>
        </w:rPr>
        <w:t xml:space="preserve"> is prepared from the patient’s peripheral blood mononuclear cells, which are obtained via a standard leukapheresis procedure. A replication incompetent lentiviral vector is used to introduce an anti-BCMA </w:t>
      </w:r>
      <w:r w:rsidR="004C1192" w:rsidRPr="00A45719">
        <w:rPr>
          <w:rFonts w:ascii="Segoe UI" w:eastAsia="Calibri" w:hAnsi="Segoe UI" w:cs="Segoe UI"/>
          <w:sz w:val="22"/>
          <w:szCs w:val="22"/>
        </w:rPr>
        <w:t xml:space="preserve">chimeric antigen receptor </w:t>
      </w:r>
      <w:r w:rsidR="004C1192">
        <w:rPr>
          <w:rFonts w:ascii="Segoe UI" w:eastAsia="Calibri" w:hAnsi="Segoe UI" w:cs="Segoe UI"/>
          <w:sz w:val="22"/>
          <w:szCs w:val="22"/>
        </w:rPr>
        <w:t>(</w:t>
      </w:r>
      <w:r w:rsidR="00635E9F" w:rsidRPr="00A45719">
        <w:rPr>
          <w:rFonts w:ascii="Segoe UI" w:eastAsia="Times New Roman" w:hAnsi="Segoe UI" w:cs="Segoe UI"/>
          <w:sz w:val="22"/>
          <w:szCs w:val="22"/>
        </w:rPr>
        <w:t>CAR</w:t>
      </w:r>
      <w:r w:rsidR="004C1192">
        <w:rPr>
          <w:rFonts w:ascii="Segoe UI" w:eastAsia="Times New Roman" w:hAnsi="Segoe UI" w:cs="Segoe UI"/>
          <w:sz w:val="22"/>
          <w:szCs w:val="22"/>
        </w:rPr>
        <w:t>)</w:t>
      </w:r>
      <w:r w:rsidR="00635E9F" w:rsidRPr="00A45719">
        <w:rPr>
          <w:rFonts w:ascii="Segoe UI" w:eastAsia="Times New Roman" w:hAnsi="Segoe UI" w:cs="Segoe UI"/>
          <w:sz w:val="22"/>
          <w:szCs w:val="22"/>
        </w:rPr>
        <w:t xml:space="preserve"> gene into patient derived human T-cells. </w:t>
      </w:r>
    </w:p>
    <w:p w14:paraId="5696FF0A" w14:textId="3B380762" w:rsidR="00A45719" w:rsidRPr="00A45719" w:rsidRDefault="00A45719" w:rsidP="001864E1">
      <w:pPr>
        <w:spacing w:before="120" w:after="240" w:line="240" w:lineRule="auto"/>
        <w:rPr>
          <w:rFonts w:ascii="Segoe UI" w:eastAsia="Times New Roman" w:hAnsi="Segoe UI" w:cs="Segoe UI"/>
          <w:sz w:val="22"/>
          <w:szCs w:val="22"/>
        </w:rPr>
      </w:pPr>
      <w:r w:rsidRPr="00A45719">
        <w:rPr>
          <w:rFonts w:ascii="Segoe UI" w:eastAsia="Times New Roman" w:hAnsi="Segoe UI" w:cs="Segoe UI"/>
          <w:sz w:val="22"/>
          <w:szCs w:val="22"/>
        </w:rPr>
        <w:t xml:space="preserve">Treatment with </w:t>
      </w:r>
      <w:proofErr w:type="spellStart"/>
      <w:r w:rsidRPr="00A45719">
        <w:rPr>
          <w:rFonts w:ascii="Segoe UI" w:eastAsia="Times New Roman" w:hAnsi="Segoe UI" w:cs="Segoe UI"/>
          <w:sz w:val="22"/>
          <w:szCs w:val="22"/>
        </w:rPr>
        <w:t>cilta-cel</w:t>
      </w:r>
      <w:proofErr w:type="spellEnd"/>
      <w:r w:rsidRPr="00A45719">
        <w:rPr>
          <w:rFonts w:ascii="Segoe UI" w:eastAsia="Times New Roman" w:hAnsi="Segoe UI" w:cs="Segoe UI"/>
          <w:sz w:val="22"/>
          <w:szCs w:val="22"/>
        </w:rPr>
        <w:t xml:space="preserve"> initially is likely to be limited to a small number of key specialist public hospital centres across the Australian states and territories. Several hospitals are currently trial centres for </w:t>
      </w:r>
      <w:proofErr w:type="spellStart"/>
      <w:r w:rsidRPr="00A45719">
        <w:rPr>
          <w:rFonts w:ascii="Segoe UI" w:eastAsia="Times New Roman" w:hAnsi="Segoe UI" w:cs="Segoe UI"/>
          <w:sz w:val="22"/>
          <w:szCs w:val="22"/>
        </w:rPr>
        <w:t>cilta-cel</w:t>
      </w:r>
      <w:proofErr w:type="spellEnd"/>
      <w:r w:rsidRPr="00A45719">
        <w:rPr>
          <w:rFonts w:ascii="Segoe UI" w:eastAsia="Times New Roman" w:hAnsi="Segoe UI" w:cs="Segoe UI"/>
          <w:sz w:val="22"/>
          <w:szCs w:val="22"/>
        </w:rPr>
        <w:t xml:space="preserve"> and three of these are also delivering Kymriah®, and thus would have relevant clinical experience and protocols for delivering this medical service. Further, </w:t>
      </w:r>
      <w:proofErr w:type="spellStart"/>
      <w:r w:rsidRPr="00A45719">
        <w:rPr>
          <w:rFonts w:ascii="Segoe UI" w:eastAsia="Times New Roman" w:hAnsi="Segoe UI" w:cs="Segoe UI"/>
          <w:sz w:val="22"/>
          <w:szCs w:val="22"/>
        </w:rPr>
        <w:t>cilta-cel</w:t>
      </w:r>
      <w:proofErr w:type="spellEnd"/>
      <w:r w:rsidRPr="00A45719">
        <w:rPr>
          <w:rFonts w:ascii="Segoe UI" w:eastAsia="Times New Roman" w:hAnsi="Segoe UI" w:cs="Segoe UI"/>
          <w:sz w:val="22"/>
          <w:szCs w:val="22"/>
        </w:rPr>
        <w:t xml:space="preserve"> will be prescribed and delivered by physicians experienced in the treatment of haematological malignancies (i.e., MM) in selected accredited treatment centres. There will be some form of accreditation of clinical sites and prescribers required to deliver </w:t>
      </w:r>
      <w:proofErr w:type="spellStart"/>
      <w:r w:rsidRPr="00A45719">
        <w:rPr>
          <w:rFonts w:ascii="Segoe UI" w:eastAsia="Times New Roman" w:hAnsi="Segoe UI" w:cs="Segoe UI"/>
          <w:sz w:val="22"/>
          <w:szCs w:val="22"/>
        </w:rPr>
        <w:t>cilta-cel</w:t>
      </w:r>
      <w:proofErr w:type="spellEnd"/>
      <w:r w:rsidRPr="00A45719">
        <w:rPr>
          <w:rFonts w:ascii="Segoe UI" w:eastAsia="Times New Roman" w:hAnsi="Segoe UI" w:cs="Segoe UI"/>
          <w:sz w:val="22"/>
          <w:szCs w:val="22"/>
        </w:rPr>
        <w:t xml:space="preserve">. </w:t>
      </w:r>
    </w:p>
    <w:p w14:paraId="79C3162B" w14:textId="77777777" w:rsidR="00A45719" w:rsidRPr="00A45719" w:rsidRDefault="00A45719" w:rsidP="001864E1">
      <w:pPr>
        <w:spacing w:before="120" w:after="240" w:line="240" w:lineRule="auto"/>
        <w:rPr>
          <w:rFonts w:ascii="Segoe UI" w:eastAsia="Times New Roman" w:hAnsi="Segoe UI" w:cs="Segoe UI"/>
          <w:sz w:val="22"/>
          <w:szCs w:val="22"/>
        </w:rPr>
      </w:pPr>
      <w:r w:rsidRPr="00A45719">
        <w:rPr>
          <w:rFonts w:ascii="Segoe UI" w:eastAsia="Times New Roman" w:hAnsi="Segoe UI" w:cs="Segoe UI"/>
          <w:sz w:val="22"/>
          <w:szCs w:val="22"/>
        </w:rPr>
        <w:t xml:space="preserve">Further, patient selection and referral decisions will be determined by institution, </w:t>
      </w:r>
      <w:proofErr w:type="gramStart"/>
      <w:r w:rsidRPr="00A45719">
        <w:rPr>
          <w:rFonts w:ascii="Segoe UI" w:eastAsia="Times New Roman" w:hAnsi="Segoe UI" w:cs="Segoe UI"/>
          <w:sz w:val="22"/>
          <w:szCs w:val="22"/>
        </w:rPr>
        <w:t>state</w:t>
      </w:r>
      <w:proofErr w:type="gramEnd"/>
      <w:r w:rsidRPr="00A45719">
        <w:rPr>
          <w:rFonts w:ascii="Segoe UI" w:eastAsia="Times New Roman" w:hAnsi="Segoe UI" w:cs="Segoe UI"/>
          <w:sz w:val="22"/>
          <w:szCs w:val="22"/>
        </w:rPr>
        <w:t xml:space="preserve"> and National </w:t>
      </w:r>
      <w:proofErr w:type="spellStart"/>
      <w:r w:rsidRPr="00A45719">
        <w:rPr>
          <w:rFonts w:ascii="Segoe UI" w:eastAsia="Times New Roman" w:hAnsi="Segoe UI" w:cs="Segoe UI"/>
          <w:sz w:val="22"/>
          <w:szCs w:val="22"/>
        </w:rPr>
        <w:t>Multi Disciplinary</w:t>
      </w:r>
      <w:proofErr w:type="spellEnd"/>
      <w:r w:rsidRPr="00A45719">
        <w:rPr>
          <w:rFonts w:ascii="Segoe UI" w:eastAsia="Times New Roman" w:hAnsi="Segoe UI" w:cs="Segoe UI"/>
          <w:sz w:val="22"/>
          <w:szCs w:val="22"/>
        </w:rPr>
        <w:t xml:space="preserve"> Teams (MDT) which will ensure suitable patients who can tolerate CAR-T therapy are identified and prioritised for treatment. This level of decision making and consideration by MDTs will lead to better patient selection and achievement of optimal patient outcomes aligned to those seen in CARTITUDE-1.</w:t>
      </w:r>
    </w:p>
    <w:p w14:paraId="0F54584B" w14:textId="68D59630" w:rsidR="00A45719" w:rsidRPr="00A45719" w:rsidRDefault="00A45719" w:rsidP="001864E1">
      <w:pPr>
        <w:spacing w:before="120" w:after="240" w:line="240" w:lineRule="auto"/>
        <w:rPr>
          <w:rFonts w:ascii="Segoe UI" w:eastAsia="Times New Roman" w:hAnsi="Segoe UI" w:cs="Segoe UI"/>
          <w:sz w:val="22"/>
          <w:szCs w:val="22"/>
        </w:rPr>
      </w:pPr>
      <w:r w:rsidRPr="00A45719">
        <w:rPr>
          <w:rFonts w:ascii="Segoe UI" w:eastAsia="Times New Roman" w:hAnsi="Segoe UI" w:cs="Segoe UI"/>
          <w:sz w:val="22"/>
          <w:szCs w:val="22"/>
        </w:rPr>
        <w:t xml:space="preserve">Consistent with other CAR-Ts considered by MSAC, it is proposed that the use of </w:t>
      </w:r>
      <w:proofErr w:type="spellStart"/>
      <w:r w:rsidRPr="00A45719">
        <w:rPr>
          <w:rFonts w:ascii="Segoe UI" w:eastAsia="Times New Roman" w:hAnsi="Segoe UI" w:cs="Segoe UI"/>
          <w:sz w:val="22"/>
          <w:szCs w:val="22"/>
        </w:rPr>
        <w:t>cilta-cel</w:t>
      </w:r>
      <w:proofErr w:type="spellEnd"/>
      <w:r w:rsidRPr="00A45719">
        <w:rPr>
          <w:rFonts w:ascii="Segoe UI" w:eastAsia="Times New Roman" w:hAnsi="Segoe UI" w:cs="Segoe UI"/>
          <w:sz w:val="22"/>
          <w:szCs w:val="22"/>
        </w:rPr>
        <w:t xml:space="preserve"> will be limited to one successful infusion per lifetime (</w:t>
      </w:r>
      <w:r w:rsidR="00A876B4">
        <w:rPr>
          <w:rFonts w:ascii="Segoe UI" w:eastAsia="Times New Roman" w:hAnsi="Segoe UI" w:cs="Segoe UI"/>
          <w:sz w:val="22"/>
          <w:szCs w:val="22"/>
        </w:rPr>
        <w:t>a</w:t>
      </w:r>
      <w:r w:rsidR="00A876B4" w:rsidRPr="00AB4C54">
        <w:rPr>
          <w:rFonts w:ascii="Segoe UI" w:eastAsia="Times New Roman" w:hAnsi="Segoe UI" w:cs="Segoe UI"/>
          <w:sz w:val="22"/>
          <w:szCs w:val="22"/>
        </w:rPr>
        <w:t xml:space="preserve"> successful infusion is when the patient with RRMM has been infused with the optimal </w:t>
      </w:r>
      <w:proofErr w:type="spellStart"/>
      <w:r w:rsidR="00A876B4" w:rsidRPr="00AB4C54">
        <w:rPr>
          <w:rFonts w:ascii="Segoe UI" w:eastAsia="Times New Roman" w:hAnsi="Segoe UI" w:cs="Segoe UI"/>
          <w:sz w:val="22"/>
          <w:szCs w:val="22"/>
        </w:rPr>
        <w:t>cilta-cel</w:t>
      </w:r>
      <w:proofErr w:type="spellEnd"/>
      <w:r w:rsidR="00A876B4" w:rsidRPr="00AB4C54">
        <w:rPr>
          <w:rFonts w:ascii="Segoe UI" w:eastAsia="Times New Roman" w:hAnsi="Segoe UI" w:cs="Segoe UI"/>
          <w:sz w:val="22"/>
          <w:szCs w:val="22"/>
        </w:rPr>
        <w:t xml:space="preserve"> dosage as per the TGA recommend dose</w:t>
      </w:r>
      <w:r w:rsidRPr="00A45719">
        <w:rPr>
          <w:rFonts w:ascii="Segoe UI" w:eastAsia="Times New Roman" w:hAnsi="Segoe UI" w:cs="Segoe UI"/>
          <w:sz w:val="22"/>
          <w:szCs w:val="22"/>
        </w:rPr>
        <w:t>).</w:t>
      </w:r>
    </w:p>
    <w:p w14:paraId="064F5841" w14:textId="276C7995" w:rsidR="00B3569E" w:rsidRPr="00A45719" w:rsidRDefault="00B3569E" w:rsidP="001864E1">
      <w:pPr>
        <w:spacing w:before="120" w:after="240" w:line="240" w:lineRule="auto"/>
        <w:rPr>
          <w:rFonts w:ascii="Segoe UI" w:eastAsia="Times New Roman" w:hAnsi="Segoe UI" w:cs="Segoe UI"/>
          <w:sz w:val="22"/>
          <w:szCs w:val="22"/>
        </w:rPr>
      </w:pPr>
      <w:r w:rsidRPr="00A45719">
        <w:rPr>
          <w:rFonts w:ascii="Segoe UI" w:eastAsia="Times New Roman" w:hAnsi="Segoe UI" w:cs="Segoe UI"/>
          <w:sz w:val="22"/>
          <w:szCs w:val="22"/>
        </w:rPr>
        <w:t xml:space="preserve">The steps involved and resources used at each step are similar for </w:t>
      </w:r>
      <w:proofErr w:type="spellStart"/>
      <w:r w:rsidRPr="00A45719">
        <w:rPr>
          <w:rFonts w:ascii="Segoe UI" w:eastAsia="Times New Roman" w:hAnsi="Segoe UI" w:cs="Segoe UI"/>
          <w:sz w:val="22"/>
          <w:szCs w:val="22"/>
        </w:rPr>
        <w:t>cilta-cel</w:t>
      </w:r>
      <w:proofErr w:type="spellEnd"/>
      <w:r w:rsidRPr="00A45719">
        <w:rPr>
          <w:rFonts w:ascii="Segoe UI" w:eastAsia="Times New Roman" w:hAnsi="Segoe UI" w:cs="Segoe UI"/>
          <w:sz w:val="22"/>
          <w:szCs w:val="22"/>
        </w:rPr>
        <w:t xml:space="preserve"> to previously approved CAR-Ts</w:t>
      </w:r>
      <w:r w:rsidR="00A45719">
        <w:rPr>
          <w:rFonts w:ascii="Segoe UI" w:eastAsia="Times New Roman" w:hAnsi="Segoe UI" w:cs="Segoe UI"/>
          <w:sz w:val="22"/>
          <w:szCs w:val="22"/>
        </w:rPr>
        <w:t xml:space="preserve">, and is consistent with the steps outlined in the previous application for </w:t>
      </w:r>
      <w:proofErr w:type="spellStart"/>
      <w:r w:rsidR="00A45719">
        <w:rPr>
          <w:rFonts w:ascii="Segoe UI" w:eastAsia="Times New Roman" w:hAnsi="Segoe UI" w:cs="Segoe UI"/>
          <w:sz w:val="22"/>
          <w:szCs w:val="22"/>
        </w:rPr>
        <w:t>cilta-cel</w:t>
      </w:r>
      <w:proofErr w:type="spellEnd"/>
      <w:r w:rsidR="00A45719">
        <w:rPr>
          <w:rFonts w:ascii="Segoe UI" w:eastAsia="Times New Roman" w:hAnsi="Segoe UI" w:cs="Segoe UI"/>
          <w:sz w:val="22"/>
          <w:szCs w:val="22"/>
        </w:rPr>
        <w:t xml:space="preserve"> (ID 1690)</w:t>
      </w:r>
      <w:r w:rsidRPr="00A45719">
        <w:rPr>
          <w:rFonts w:ascii="Segoe UI" w:eastAsia="Times New Roman" w:hAnsi="Segoe UI" w:cs="Segoe UI"/>
          <w:sz w:val="22"/>
          <w:szCs w:val="22"/>
        </w:rPr>
        <w:t xml:space="preserve">. </w:t>
      </w:r>
      <w:r w:rsidR="00A45719">
        <w:rPr>
          <w:rFonts w:ascii="Segoe UI" w:eastAsia="Times New Roman" w:hAnsi="Segoe UI" w:cs="Segoe UI"/>
          <w:sz w:val="22"/>
          <w:szCs w:val="22"/>
        </w:rPr>
        <w:t>Further details will be presented within the ADAR.</w:t>
      </w:r>
    </w:p>
    <w:p w14:paraId="2CF965CB" w14:textId="1FD68223" w:rsidR="00B3569E" w:rsidRPr="00A45719" w:rsidRDefault="00B3569E" w:rsidP="001864E1">
      <w:pPr>
        <w:spacing w:before="120" w:after="240" w:line="240" w:lineRule="auto"/>
        <w:rPr>
          <w:rFonts w:ascii="Segoe UI" w:eastAsia="Calibri" w:hAnsi="Segoe UI" w:cs="Segoe UI"/>
          <w:sz w:val="22"/>
          <w:szCs w:val="22"/>
        </w:rPr>
      </w:pPr>
      <w:r w:rsidRPr="00A45719">
        <w:rPr>
          <w:rFonts w:ascii="Segoe UI" w:eastAsia="Calibri" w:hAnsi="Segoe UI" w:cs="Segoe UI"/>
          <w:b/>
          <w:bCs/>
          <w:sz w:val="22"/>
          <w:szCs w:val="22"/>
        </w:rPr>
        <w:t>Step 1 – Referral:</w:t>
      </w:r>
      <w:r w:rsidRPr="00A45719">
        <w:rPr>
          <w:rFonts w:ascii="Segoe UI" w:eastAsia="Calibri" w:hAnsi="Segoe UI" w:cs="Segoe UI"/>
          <w:sz w:val="22"/>
          <w:szCs w:val="22"/>
        </w:rPr>
        <w:t xml:space="preserve"> Patient eligibility for CAR-T will be discussed at Standard Tumour Stream MDT meetings. After this a national CAR-T patient prioritisation meeting will occur with the MDT. These meetings may include CAR-T specialists, national treating and referring centre clinical representatives, CAR-T fellows, CART nurse consultants, research nurses, apheresis nurses, cell logistics project managers and the CAR-T program managers.</w:t>
      </w:r>
    </w:p>
    <w:p w14:paraId="76C2EEB7" w14:textId="102123B4" w:rsidR="00B3569E" w:rsidRPr="00A45719" w:rsidRDefault="00B3569E" w:rsidP="001864E1">
      <w:pPr>
        <w:spacing w:before="120" w:after="240" w:line="240" w:lineRule="auto"/>
        <w:rPr>
          <w:rFonts w:ascii="Segoe UI" w:eastAsia="Calibri" w:hAnsi="Segoe UI" w:cs="Segoe UI"/>
          <w:sz w:val="22"/>
          <w:szCs w:val="22"/>
        </w:rPr>
      </w:pPr>
      <w:r w:rsidRPr="00A45719">
        <w:rPr>
          <w:rFonts w:ascii="Segoe UI" w:eastAsia="Calibri" w:hAnsi="Segoe UI" w:cs="Segoe UI"/>
          <w:b/>
          <w:bCs/>
          <w:sz w:val="22"/>
          <w:szCs w:val="22"/>
        </w:rPr>
        <w:t>Step 2 – Apheresis:</w:t>
      </w:r>
      <w:r w:rsidRPr="00A45719">
        <w:rPr>
          <w:rFonts w:ascii="Segoe UI" w:eastAsia="Calibri" w:hAnsi="Segoe UI" w:cs="Segoe UI"/>
          <w:sz w:val="22"/>
          <w:szCs w:val="22"/>
        </w:rPr>
        <w:t xml:space="preserve"> Once diagnosed as eligible and suitable for </w:t>
      </w:r>
      <w:proofErr w:type="spellStart"/>
      <w:r w:rsidRPr="00A45719">
        <w:rPr>
          <w:rFonts w:ascii="Segoe UI" w:eastAsia="Calibri" w:hAnsi="Segoe UI" w:cs="Segoe UI"/>
          <w:sz w:val="22"/>
          <w:szCs w:val="22"/>
        </w:rPr>
        <w:t>cilta-cel</w:t>
      </w:r>
      <w:proofErr w:type="spellEnd"/>
      <w:r w:rsidRPr="00A45719">
        <w:rPr>
          <w:rFonts w:ascii="Segoe UI" w:eastAsia="Calibri" w:hAnsi="Segoe UI" w:cs="Segoe UI"/>
          <w:sz w:val="22"/>
          <w:szCs w:val="22"/>
        </w:rPr>
        <w:t xml:space="preserve">, the patients will undergo a standard apheresis process to collect white blood cells (WBC). Prior to this process, patients will typically undergo preparation for apheresis and confirm suitability. The T cells from apheresis will be collected for transduction and undergo expansion to manufacture </w:t>
      </w:r>
      <w:proofErr w:type="spellStart"/>
      <w:r w:rsidRPr="00A45719">
        <w:rPr>
          <w:rFonts w:ascii="Segoe UI" w:eastAsia="Calibri" w:hAnsi="Segoe UI" w:cs="Segoe UI"/>
          <w:sz w:val="22"/>
          <w:szCs w:val="22"/>
        </w:rPr>
        <w:t>cilta-cel</w:t>
      </w:r>
      <w:proofErr w:type="spellEnd"/>
      <w:r w:rsidRPr="00A45719">
        <w:rPr>
          <w:rFonts w:ascii="Segoe UI" w:eastAsia="Calibri" w:hAnsi="Segoe UI" w:cs="Segoe UI"/>
          <w:sz w:val="22"/>
          <w:szCs w:val="22"/>
        </w:rPr>
        <w:t xml:space="preserve">. Two apheresis collections may be performed to attain this target and is typically performed over 1-2 days. </w:t>
      </w:r>
    </w:p>
    <w:p w14:paraId="31FD7834" w14:textId="77777777" w:rsidR="00B3569E" w:rsidRPr="00A45719" w:rsidRDefault="00B3569E" w:rsidP="001864E1">
      <w:pPr>
        <w:spacing w:before="120" w:after="240" w:line="240" w:lineRule="auto"/>
        <w:rPr>
          <w:rFonts w:ascii="Segoe UI" w:eastAsia="Calibri" w:hAnsi="Segoe UI" w:cs="Segoe UI"/>
          <w:sz w:val="22"/>
          <w:szCs w:val="22"/>
        </w:rPr>
      </w:pPr>
      <w:r w:rsidRPr="00A45719">
        <w:rPr>
          <w:rFonts w:ascii="Segoe UI" w:eastAsia="Calibri" w:hAnsi="Segoe UI" w:cs="Segoe UI"/>
          <w:b/>
          <w:bCs/>
          <w:sz w:val="22"/>
          <w:szCs w:val="22"/>
        </w:rPr>
        <w:t xml:space="preserve">Step 3 – Bridging therapy: </w:t>
      </w:r>
      <w:r w:rsidRPr="00A45719">
        <w:rPr>
          <w:rFonts w:ascii="Segoe UI" w:eastAsia="Calibri" w:hAnsi="Segoe UI" w:cs="Segoe UI"/>
          <w:sz w:val="22"/>
          <w:szCs w:val="22"/>
        </w:rPr>
        <w:t xml:space="preserve">Most patients receive bridging therapy as per clinical indication to maintain disease stability during the period of production of </w:t>
      </w:r>
      <w:proofErr w:type="spellStart"/>
      <w:r w:rsidRPr="00A45719">
        <w:rPr>
          <w:rFonts w:ascii="Segoe UI" w:eastAsia="Calibri" w:hAnsi="Segoe UI" w:cs="Segoe UI"/>
          <w:sz w:val="22"/>
          <w:szCs w:val="22"/>
        </w:rPr>
        <w:t>cilta-cel</w:t>
      </w:r>
      <w:proofErr w:type="spellEnd"/>
      <w:r w:rsidRPr="00A45719">
        <w:rPr>
          <w:rFonts w:ascii="Segoe UI" w:eastAsia="Calibri" w:hAnsi="Segoe UI" w:cs="Segoe UI"/>
          <w:sz w:val="22"/>
          <w:szCs w:val="22"/>
        </w:rPr>
        <w:t>. Following cell collection, a patient’s status will be maintained until the cells are manufactured and delivered back to the treatment site by bridging therapy. The clinical goal of bridging therapy is to achieve disease control of the myeloma ahead of CAR-T infusion.</w:t>
      </w:r>
    </w:p>
    <w:p w14:paraId="63F9371C" w14:textId="79639E05" w:rsidR="00B3569E" w:rsidRPr="00A45719" w:rsidRDefault="00C25870" w:rsidP="001864E1">
      <w:pPr>
        <w:spacing w:before="120" w:after="240" w:line="240" w:lineRule="auto"/>
        <w:rPr>
          <w:rFonts w:ascii="Segoe UI" w:eastAsia="Calibri" w:hAnsi="Segoe UI" w:cs="Segoe UI"/>
          <w:sz w:val="22"/>
          <w:szCs w:val="22"/>
        </w:rPr>
      </w:pPr>
      <w:r w:rsidRPr="00A45719">
        <w:rPr>
          <w:rFonts w:ascii="Segoe UI" w:eastAsia="Calibri" w:hAnsi="Segoe UI" w:cs="Segoe UI"/>
          <w:sz w:val="22"/>
          <w:szCs w:val="22"/>
        </w:rPr>
        <w:t>I</w:t>
      </w:r>
      <w:r w:rsidR="00B3569E" w:rsidRPr="00A45719">
        <w:rPr>
          <w:rFonts w:ascii="Segoe UI" w:eastAsia="Calibri" w:hAnsi="Segoe UI" w:cs="Segoe UI"/>
          <w:sz w:val="22"/>
          <w:szCs w:val="22"/>
        </w:rPr>
        <w:t xml:space="preserve">t is anticipated that on average around 2 cycles of bridging therapy will be required for each patient receiving </w:t>
      </w:r>
      <w:proofErr w:type="spellStart"/>
      <w:r w:rsidR="00B3569E" w:rsidRPr="00A45719">
        <w:rPr>
          <w:rFonts w:ascii="Segoe UI" w:eastAsia="Calibri" w:hAnsi="Segoe UI" w:cs="Segoe UI"/>
          <w:sz w:val="22"/>
          <w:szCs w:val="22"/>
        </w:rPr>
        <w:t>cilta-cel</w:t>
      </w:r>
      <w:proofErr w:type="spellEnd"/>
      <w:r w:rsidR="00B3569E" w:rsidRPr="00A45719">
        <w:rPr>
          <w:rFonts w:ascii="Segoe UI" w:eastAsia="Calibri" w:hAnsi="Segoe UI" w:cs="Segoe UI"/>
          <w:sz w:val="22"/>
          <w:szCs w:val="22"/>
        </w:rPr>
        <w:t xml:space="preserve"> based on local expert clinical advice. Relevant bridging therapies in Australia are anticipated to include pomalidomide plus dexamethasone, carfilzomib plus </w:t>
      </w:r>
      <w:r w:rsidR="00B3569E" w:rsidRPr="00A45719">
        <w:rPr>
          <w:rFonts w:ascii="Segoe UI" w:eastAsia="Calibri" w:hAnsi="Segoe UI" w:cs="Segoe UI"/>
          <w:sz w:val="22"/>
          <w:szCs w:val="22"/>
        </w:rPr>
        <w:lastRenderedPageBreak/>
        <w:t xml:space="preserve">dexamethasone, bortezomib plus dexamethasone, </w:t>
      </w:r>
      <w:proofErr w:type="spellStart"/>
      <w:r w:rsidR="00A45719">
        <w:rPr>
          <w:rFonts w:ascii="Segoe UI" w:eastAsia="Calibri" w:hAnsi="Segoe UI" w:cs="Segoe UI"/>
          <w:sz w:val="22"/>
          <w:szCs w:val="22"/>
        </w:rPr>
        <w:t>selinexor</w:t>
      </w:r>
      <w:proofErr w:type="spellEnd"/>
      <w:r w:rsidR="00A45719">
        <w:rPr>
          <w:rFonts w:ascii="Segoe UI" w:eastAsia="Calibri" w:hAnsi="Segoe UI" w:cs="Segoe UI"/>
          <w:sz w:val="22"/>
          <w:szCs w:val="22"/>
        </w:rPr>
        <w:t xml:space="preserve">, </w:t>
      </w:r>
      <w:proofErr w:type="spellStart"/>
      <w:r w:rsidR="00B3569E" w:rsidRPr="00A45719">
        <w:rPr>
          <w:rFonts w:ascii="Segoe UI" w:eastAsia="Calibri" w:hAnsi="Segoe UI" w:cs="Segoe UI"/>
          <w:sz w:val="22"/>
          <w:szCs w:val="22"/>
        </w:rPr>
        <w:t>elotuzumab</w:t>
      </w:r>
      <w:proofErr w:type="spellEnd"/>
      <w:r w:rsidR="00B3569E" w:rsidRPr="00A45719">
        <w:rPr>
          <w:rFonts w:ascii="Segoe UI" w:eastAsia="Calibri" w:hAnsi="Segoe UI" w:cs="Segoe UI"/>
          <w:sz w:val="22"/>
          <w:szCs w:val="22"/>
        </w:rPr>
        <w:t xml:space="preserve"> or dexamethasone monotherapy.</w:t>
      </w:r>
    </w:p>
    <w:p w14:paraId="7E3F44E5" w14:textId="286E8CAB" w:rsidR="00B3569E" w:rsidRPr="00A45719" w:rsidRDefault="00B3569E" w:rsidP="001864E1">
      <w:pPr>
        <w:spacing w:before="120" w:after="240" w:line="240" w:lineRule="auto"/>
        <w:rPr>
          <w:rFonts w:ascii="Segoe UI" w:eastAsia="Calibri" w:hAnsi="Segoe UI" w:cs="Segoe UI"/>
          <w:sz w:val="22"/>
          <w:szCs w:val="22"/>
        </w:rPr>
      </w:pPr>
      <w:r w:rsidRPr="00A45719">
        <w:rPr>
          <w:rFonts w:ascii="Segoe UI" w:eastAsia="Calibri" w:hAnsi="Segoe UI" w:cs="Segoe UI"/>
          <w:b/>
          <w:bCs/>
          <w:sz w:val="22"/>
          <w:szCs w:val="22"/>
        </w:rPr>
        <w:t xml:space="preserve">Step 4 – Manufacture of </w:t>
      </w:r>
      <w:proofErr w:type="spellStart"/>
      <w:r w:rsidRPr="00A45719">
        <w:rPr>
          <w:rFonts w:ascii="Segoe UI" w:eastAsia="Calibri" w:hAnsi="Segoe UI" w:cs="Segoe UI"/>
          <w:b/>
          <w:bCs/>
          <w:sz w:val="22"/>
          <w:szCs w:val="22"/>
        </w:rPr>
        <w:t>cilta-cel</w:t>
      </w:r>
      <w:proofErr w:type="spellEnd"/>
      <w:r w:rsidRPr="00A45719">
        <w:rPr>
          <w:rFonts w:ascii="Segoe UI" w:eastAsia="Calibri" w:hAnsi="Segoe UI" w:cs="Segoe UI"/>
          <w:b/>
          <w:bCs/>
          <w:sz w:val="22"/>
          <w:szCs w:val="22"/>
        </w:rPr>
        <w:t>:</w:t>
      </w:r>
      <w:r w:rsidRPr="00A45719">
        <w:rPr>
          <w:rFonts w:ascii="Segoe UI" w:eastAsia="Calibri" w:hAnsi="Segoe UI" w:cs="Segoe UI"/>
          <w:sz w:val="22"/>
          <w:szCs w:val="22"/>
        </w:rPr>
        <w:t xml:space="preserve"> The mononuclear cells are enriched for T-cells and genetically modified ex vivo by transduction with a replication incompetent lentiviral vector to express a chimeric antigen receptor (CAR) comprising an anti-BCMA targeting domain. The transduced anti-BCMA CAR T-cells are expanded in cell culture, washed, formulated into a </w:t>
      </w:r>
      <w:proofErr w:type="gramStart"/>
      <w:r w:rsidRPr="00A45719">
        <w:rPr>
          <w:rFonts w:ascii="Segoe UI" w:eastAsia="Calibri" w:hAnsi="Segoe UI" w:cs="Segoe UI"/>
          <w:sz w:val="22"/>
          <w:szCs w:val="22"/>
        </w:rPr>
        <w:t>suspension</w:t>
      </w:r>
      <w:proofErr w:type="gramEnd"/>
      <w:r w:rsidRPr="00A45719">
        <w:rPr>
          <w:rFonts w:ascii="Segoe UI" w:eastAsia="Calibri" w:hAnsi="Segoe UI" w:cs="Segoe UI"/>
          <w:sz w:val="22"/>
          <w:szCs w:val="22"/>
        </w:rPr>
        <w:t xml:space="preserve"> and cryopreserved. Once the CAR-T product is manufactured, it will undergo full QA release at Raritan</w:t>
      </w:r>
      <w:r w:rsidR="00C25870" w:rsidRPr="00A45719">
        <w:rPr>
          <w:rFonts w:ascii="Segoe UI" w:eastAsia="Calibri" w:hAnsi="Segoe UI" w:cs="Segoe UI"/>
          <w:sz w:val="22"/>
          <w:szCs w:val="22"/>
        </w:rPr>
        <w:t xml:space="preserve"> in the United States and</w:t>
      </w:r>
      <w:r w:rsidRPr="00A45719">
        <w:rPr>
          <w:rFonts w:ascii="Segoe UI" w:eastAsia="Calibri" w:hAnsi="Segoe UI" w:cs="Segoe UI"/>
          <w:sz w:val="22"/>
          <w:szCs w:val="22"/>
        </w:rPr>
        <w:t xml:space="preserve"> then cold chain transported directly to hospital in Australia.</w:t>
      </w:r>
    </w:p>
    <w:p w14:paraId="5C43040B" w14:textId="277919C4" w:rsidR="00B3569E" w:rsidRPr="00A45719" w:rsidRDefault="00B3569E" w:rsidP="001864E1">
      <w:pPr>
        <w:spacing w:before="120" w:after="240" w:line="240" w:lineRule="auto"/>
        <w:rPr>
          <w:rFonts w:ascii="Segoe UI" w:eastAsia="Calibri" w:hAnsi="Segoe UI" w:cs="Segoe UI"/>
          <w:sz w:val="22"/>
          <w:szCs w:val="22"/>
        </w:rPr>
      </w:pPr>
      <w:r w:rsidRPr="00A45719">
        <w:rPr>
          <w:rFonts w:ascii="Segoe UI" w:eastAsia="Calibri" w:hAnsi="Segoe UI" w:cs="Segoe UI"/>
          <w:b/>
          <w:bCs/>
          <w:sz w:val="22"/>
          <w:szCs w:val="22"/>
        </w:rPr>
        <w:t>Step 5 – Conditioning (lymphodepletion):</w:t>
      </w:r>
      <w:r w:rsidRPr="00A45719">
        <w:rPr>
          <w:rFonts w:ascii="Segoe UI" w:eastAsia="Calibri" w:hAnsi="Segoe UI" w:cs="Segoe UI"/>
          <w:sz w:val="22"/>
          <w:szCs w:val="22"/>
        </w:rPr>
        <w:t xml:space="preserve"> Approximately 4 to 5 weeks after apheresis, after the completion of manufacture and quality testing of </w:t>
      </w:r>
      <w:proofErr w:type="spellStart"/>
      <w:r w:rsidRPr="00A45719">
        <w:rPr>
          <w:rFonts w:ascii="Segoe UI" w:eastAsia="Calibri" w:hAnsi="Segoe UI" w:cs="Segoe UI"/>
          <w:sz w:val="22"/>
          <w:szCs w:val="22"/>
        </w:rPr>
        <w:t>cilta-cel</w:t>
      </w:r>
      <w:proofErr w:type="spellEnd"/>
      <w:r w:rsidRPr="00A45719">
        <w:rPr>
          <w:rFonts w:ascii="Segoe UI" w:eastAsia="Calibri" w:hAnsi="Segoe UI" w:cs="Segoe UI"/>
          <w:sz w:val="22"/>
          <w:szCs w:val="22"/>
        </w:rPr>
        <w:t>, the patients are subjected to a conditioning regimen of IV cyclophosphamide 300 mg/m</w:t>
      </w:r>
      <w:r w:rsidRPr="00A45719">
        <w:rPr>
          <w:rFonts w:ascii="Segoe UI" w:eastAsia="Calibri" w:hAnsi="Segoe UI" w:cs="Segoe UI"/>
          <w:sz w:val="22"/>
          <w:szCs w:val="22"/>
          <w:vertAlign w:val="superscript"/>
        </w:rPr>
        <w:t>2</w:t>
      </w:r>
      <w:r w:rsidRPr="00A45719">
        <w:rPr>
          <w:rFonts w:ascii="Segoe UI" w:eastAsia="Calibri" w:hAnsi="Segoe UI" w:cs="Segoe UI"/>
          <w:sz w:val="22"/>
          <w:szCs w:val="22"/>
        </w:rPr>
        <w:t xml:space="preserve"> and fludarabine 30 mg/m</w:t>
      </w:r>
      <w:r w:rsidRPr="00A45719">
        <w:rPr>
          <w:rFonts w:ascii="Segoe UI" w:eastAsia="Calibri" w:hAnsi="Segoe UI" w:cs="Segoe UI"/>
          <w:sz w:val="22"/>
          <w:szCs w:val="22"/>
          <w:vertAlign w:val="superscript"/>
        </w:rPr>
        <w:t>2</w:t>
      </w:r>
      <w:r w:rsidRPr="00A45719">
        <w:rPr>
          <w:rFonts w:ascii="Segoe UI" w:eastAsia="Calibri" w:hAnsi="Segoe UI" w:cs="Segoe UI"/>
          <w:sz w:val="22"/>
          <w:szCs w:val="22"/>
        </w:rPr>
        <w:t xml:space="preserve"> at three daily doses. The conditioning regimen will lead to lymphodepletion and help promote </w:t>
      </w:r>
      <w:proofErr w:type="spellStart"/>
      <w:r w:rsidRPr="00A45719">
        <w:rPr>
          <w:rFonts w:ascii="Segoe UI" w:eastAsia="Calibri" w:hAnsi="Segoe UI" w:cs="Segoe UI"/>
          <w:sz w:val="22"/>
          <w:szCs w:val="22"/>
        </w:rPr>
        <w:t>cilta-cel</w:t>
      </w:r>
      <w:proofErr w:type="spellEnd"/>
      <w:r w:rsidRPr="00A45719">
        <w:rPr>
          <w:rFonts w:ascii="Segoe UI" w:eastAsia="Calibri" w:hAnsi="Segoe UI" w:cs="Segoe UI"/>
          <w:sz w:val="22"/>
          <w:szCs w:val="22"/>
        </w:rPr>
        <w:t xml:space="preserve"> cell expansion in the patients.</w:t>
      </w:r>
    </w:p>
    <w:p w14:paraId="7FD9C803" w14:textId="6BDE3B15" w:rsidR="00B3569E" w:rsidRPr="00A45719" w:rsidRDefault="00B3569E" w:rsidP="001864E1">
      <w:pPr>
        <w:spacing w:before="120" w:after="240" w:line="240" w:lineRule="auto"/>
        <w:rPr>
          <w:rFonts w:ascii="Segoe UI" w:eastAsia="Calibri" w:hAnsi="Segoe UI" w:cs="Segoe UI"/>
          <w:sz w:val="22"/>
          <w:szCs w:val="22"/>
        </w:rPr>
      </w:pPr>
      <w:r w:rsidRPr="00A45719">
        <w:rPr>
          <w:rFonts w:ascii="Segoe UI" w:eastAsia="Calibri" w:hAnsi="Segoe UI" w:cs="Segoe UI"/>
          <w:b/>
          <w:bCs/>
          <w:sz w:val="22"/>
          <w:szCs w:val="22"/>
        </w:rPr>
        <w:t xml:space="preserve">Step 6 – </w:t>
      </w:r>
      <w:proofErr w:type="spellStart"/>
      <w:r w:rsidRPr="00A45719">
        <w:rPr>
          <w:rFonts w:ascii="Segoe UI" w:eastAsia="Calibri" w:hAnsi="Segoe UI" w:cs="Segoe UI"/>
          <w:b/>
          <w:bCs/>
          <w:sz w:val="22"/>
          <w:szCs w:val="22"/>
        </w:rPr>
        <w:t>Cilta-cel</w:t>
      </w:r>
      <w:proofErr w:type="spellEnd"/>
      <w:r w:rsidRPr="00A45719">
        <w:rPr>
          <w:rFonts w:ascii="Segoe UI" w:eastAsia="Calibri" w:hAnsi="Segoe UI" w:cs="Segoe UI"/>
          <w:b/>
          <w:bCs/>
          <w:sz w:val="22"/>
          <w:szCs w:val="22"/>
        </w:rPr>
        <w:t xml:space="preserve"> infusion:</w:t>
      </w:r>
      <w:r w:rsidRPr="00A45719">
        <w:rPr>
          <w:rFonts w:ascii="Segoe UI" w:eastAsia="Calibri" w:hAnsi="Segoe UI" w:cs="Segoe UI"/>
          <w:sz w:val="22"/>
          <w:szCs w:val="22"/>
        </w:rPr>
        <w:t xml:space="preserve"> </w:t>
      </w:r>
      <w:proofErr w:type="spellStart"/>
      <w:r w:rsidRPr="00A45719">
        <w:rPr>
          <w:rFonts w:ascii="Segoe UI" w:eastAsia="Calibri" w:hAnsi="Segoe UI" w:cs="Segoe UI"/>
          <w:sz w:val="22"/>
          <w:szCs w:val="22"/>
        </w:rPr>
        <w:t>Cilta-cel</w:t>
      </w:r>
      <w:proofErr w:type="spellEnd"/>
      <w:r w:rsidRPr="00A45719">
        <w:rPr>
          <w:rFonts w:ascii="Segoe UI" w:eastAsia="Calibri" w:hAnsi="Segoe UI" w:cs="Segoe UI"/>
          <w:sz w:val="22"/>
          <w:szCs w:val="22"/>
        </w:rPr>
        <w:t xml:space="preserve"> is a single infusion product. </w:t>
      </w:r>
      <w:proofErr w:type="spellStart"/>
      <w:r w:rsidRPr="00A45719">
        <w:rPr>
          <w:rFonts w:ascii="Segoe UI" w:eastAsia="Calibri" w:hAnsi="Segoe UI" w:cs="Segoe UI"/>
          <w:sz w:val="22"/>
          <w:szCs w:val="22"/>
        </w:rPr>
        <w:t>Cilta-cel</w:t>
      </w:r>
      <w:proofErr w:type="spellEnd"/>
      <w:r w:rsidRPr="00A45719">
        <w:rPr>
          <w:rFonts w:ascii="Segoe UI" w:eastAsia="Calibri" w:hAnsi="Segoe UI" w:cs="Segoe UI"/>
          <w:sz w:val="22"/>
          <w:szCs w:val="22"/>
        </w:rPr>
        <w:t xml:space="preserve"> will be administered 5 to 7 days in the after start of the conditioning regimen at a public hospital. Treatment will be prescribed and monitored by an experienced haematologist working in a multidisciplinary team specialising in the provision of CAR-T cell therapy and </w:t>
      </w:r>
      <w:proofErr w:type="gramStart"/>
      <w:r w:rsidRPr="00A45719">
        <w:rPr>
          <w:rFonts w:ascii="Segoe UI" w:eastAsia="Calibri" w:hAnsi="Segoe UI" w:cs="Segoe UI"/>
          <w:sz w:val="22"/>
          <w:szCs w:val="22"/>
        </w:rPr>
        <w:t>whom</w:t>
      </w:r>
      <w:proofErr w:type="gramEnd"/>
      <w:r w:rsidRPr="00A45719">
        <w:rPr>
          <w:rFonts w:ascii="Segoe UI" w:eastAsia="Calibri" w:hAnsi="Segoe UI" w:cs="Segoe UI"/>
          <w:sz w:val="22"/>
          <w:szCs w:val="22"/>
        </w:rPr>
        <w:t xml:space="preserve"> have undergone appropriate accreditation and training.</w:t>
      </w:r>
    </w:p>
    <w:p w14:paraId="60DB04D0" w14:textId="77777777" w:rsidR="00B3569E" w:rsidRPr="00A45719" w:rsidRDefault="00B3569E" w:rsidP="001864E1">
      <w:pPr>
        <w:spacing w:before="120" w:after="240" w:line="240" w:lineRule="auto"/>
        <w:rPr>
          <w:rFonts w:ascii="Segoe UI" w:eastAsia="Calibri" w:hAnsi="Segoe UI" w:cs="Segoe UI"/>
          <w:sz w:val="22"/>
          <w:szCs w:val="22"/>
        </w:rPr>
      </w:pPr>
      <w:r w:rsidRPr="00A45719">
        <w:rPr>
          <w:rFonts w:ascii="Segoe UI" w:eastAsia="Calibri" w:hAnsi="Segoe UI" w:cs="Segoe UI"/>
          <w:sz w:val="22"/>
          <w:szCs w:val="22"/>
        </w:rPr>
        <w:t xml:space="preserve">Pre-infusion medications are administered to all patients (30 to 60 minutes) prior to </w:t>
      </w:r>
      <w:proofErr w:type="spellStart"/>
      <w:r w:rsidRPr="00A45719">
        <w:rPr>
          <w:rFonts w:ascii="Segoe UI" w:eastAsia="Calibri" w:hAnsi="Segoe UI" w:cs="Segoe UI"/>
          <w:sz w:val="22"/>
          <w:szCs w:val="22"/>
        </w:rPr>
        <w:t>cilta-cel</w:t>
      </w:r>
      <w:proofErr w:type="spellEnd"/>
      <w:r w:rsidRPr="00A45719">
        <w:rPr>
          <w:rFonts w:ascii="Segoe UI" w:eastAsia="Calibri" w:hAnsi="Segoe UI" w:cs="Segoe UI"/>
          <w:sz w:val="22"/>
          <w:szCs w:val="22"/>
        </w:rPr>
        <w:t xml:space="preserve"> infusion which include antipyretics and an antihistamine. Further, before the infusion and during the recovery period, tocilizumab (for managing cytokine release syndrome [CRS]) and emergency equipment will need to be available for use if needed.</w:t>
      </w:r>
    </w:p>
    <w:p w14:paraId="3703BCE0" w14:textId="215DF857" w:rsidR="00B3569E" w:rsidRPr="00A45719" w:rsidRDefault="00B3569E" w:rsidP="001864E1">
      <w:pPr>
        <w:spacing w:before="120" w:after="240" w:line="240" w:lineRule="auto"/>
        <w:rPr>
          <w:rFonts w:ascii="Segoe UI" w:eastAsia="Calibri" w:hAnsi="Segoe UI" w:cs="Segoe UI"/>
          <w:sz w:val="22"/>
          <w:szCs w:val="22"/>
        </w:rPr>
      </w:pPr>
      <w:r w:rsidRPr="00A45719">
        <w:rPr>
          <w:rFonts w:ascii="Segoe UI" w:eastAsia="Calibri" w:hAnsi="Segoe UI" w:cs="Segoe UI"/>
          <w:sz w:val="22"/>
          <w:szCs w:val="22"/>
        </w:rPr>
        <w:t xml:space="preserve">The patients will be evaluated for safety on the day of </w:t>
      </w:r>
      <w:proofErr w:type="spellStart"/>
      <w:r w:rsidRPr="00A45719">
        <w:rPr>
          <w:rFonts w:ascii="Segoe UI" w:eastAsia="Calibri" w:hAnsi="Segoe UI" w:cs="Segoe UI"/>
          <w:sz w:val="22"/>
          <w:szCs w:val="22"/>
        </w:rPr>
        <w:t>cilta-cel</w:t>
      </w:r>
      <w:proofErr w:type="spellEnd"/>
      <w:r w:rsidRPr="00A45719">
        <w:rPr>
          <w:rFonts w:ascii="Segoe UI" w:eastAsia="Calibri" w:hAnsi="Segoe UI" w:cs="Segoe UI"/>
          <w:sz w:val="22"/>
          <w:szCs w:val="22"/>
        </w:rPr>
        <w:t xml:space="preserve"> infusion</w:t>
      </w:r>
      <w:r w:rsidR="00BA2774" w:rsidRPr="00A45719">
        <w:rPr>
          <w:rFonts w:ascii="Segoe UI" w:eastAsia="Calibri" w:hAnsi="Segoe UI" w:cs="Segoe UI"/>
          <w:sz w:val="22"/>
          <w:szCs w:val="22"/>
        </w:rPr>
        <w:t xml:space="preserve"> in case the infusion needs to be delayed</w:t>
      </w:r>
      <w:r w:rsidRPr="00A45719">
        <w:rPr>
          <w:rFonts w:ascii="Segoe UI" w:eastAsia="Calibri" w:hAnsi="Segoe UI" w:cs="Segoe UI"/>
          <w:sz w:val="22"/>
          <w:szCs w:val="22"/>
        </w:rPr>
        <w:t xml:space="preserve">. </w:t>
      </w:r>
    </w:p>
    <w:p w14:paraId="2571B724" w14:textId="54413D08" w:rsidR="00B3569E" w:rsidRPr="00A45719" w:rsidRDefault="00B3569E" w:rsidP="001864E1">
      <w:pPr>
        <w:spacing w:before="120" w:after="240" w:line="240" w:lineRule="auto"/>
        <w:rPr>
          <w:rFonts w:ascii="Segoe UI" w:eastAsia="Calibri" w:hAnsi="Segoe UI" w:cs="Segoe UI"/>
          <w:sz w:val="22"/>
          <w:szCs w:val="22"/>
          <w:highlight w:val="yellow"/>
        </w:rPr>
      </w:pPr>
      <w:r w:rsidRPr="00A45719">
        <w:rPr>
          <w:rFonts w:ascii="Segoe UI" w:eastAsia="Calibri" w:hAnsi="Segoe UI" w:cs="Segoe UI"/>
          <w:b/>
          <w:bCs/>
          <w:sz w:val="22"/>
          <w:szCs w:val="22"/>
        </w:rPr>
        <w:t>Step 7 – Monitoring after infusion:</w:t>
      </w:r>
      <w:r w:rsidRPr="00A45719">
        <w:rPr>
          <w:rFonts w:ascii="Segoe UI" w:eastAsia="Calibri" w:hAnsi="Segoe UI" w:cs="Segoe UI"/>
          <w:sz w:val="22"/>
          <w:szCs w:val="22"/>
        </w:rPr>
        <w:t xml:space="preserve"> Following the infusion, there will be a period of monitoring required. </w:t>
      </w:r>
      <w:r w:rsidR="00BA2774" w:rsidRPr="00A45719">
        <w:rPr>
          <w:rFonts w:ascii="Segoe UI" w:eastAsia="Calibri" w:hAnsi="Segoe UI" w:cs="Segoe UI"/>
          <w:sz w:val="22"/>
          <w:szCs w:val="22"/>
        </w:rPr>
        <w:t>M</w:t>
      </w:r>
      <w:r w:rsidRPr="00A45719">
        <w:rPr>
          <w:rFonts w:ascii="Segoe UI" w:eastAsia="Calibri" w:hAnsi="Segoe UI" w:cs="Segoe UI"/>
          <w:sz w:val="22"/>
          <w:szCs w:val="22"/>
        </w:rPr>
        <w:t xml:space="preserve">onitoring requirements for </w:t>
      </w:r>
      <w:proofErr w:type="spellStart"/>
      <w:r w:rsidRPr="00A45719">
        <w:rPr>
          <w:rFonts w:ascii="Segoe UI" w:eastAsia="Calibri" w:hAnsi="Segoe UI" w:cs="Segoe UI"/>
          <w:sz w:val="22"/>
          <w:szCs w:val="22"/>
        </w:rPr>
        <w:t>cilta-cel</w:t>
      </w:r>
      <w:proofErr w:type="spellEnd"/>
      <w:r w:rsidRPr="00A45719">
        <w:rPr>
          <w:rFonts w:ascii="Segoe UI" w:eastAsia="Calibri" w:hAnsi="Segoe UI" w:cs="Segoe UI"/>
          <w:sz w:val="22"/>
          <w:szCs w:val="22"/>
        </w:rPr>
        <w:t xml:space="preserve"> are not expected to be significantly different from any other CAR-T therapies, including those considered by MSAC (</w:t>
      </w:r>
      <w:proofErr w:type="gramStart"/>
      <w:r w:rsidRPr="00A45719">
        <w:rPr>
          <w:rFonts w:ascii="Segoe UI" w:eastAsia="Calibri" w:hAnsi="Segoe UI" w:cs="Segoe UI"/>
          <w:sz w:val="22"/>
          <w:szCs w:val="22"/>
        </w:rPr>
        <w:t>i.e.</w:t>
      </w:r>
      <w:proofErr w:type="gramEnd"/>
      <w:r w:rsidRPr="00A45719">
        <w:rPr>
          <w:rFonts w:ascii="Segoe UI" w:eastAsia="Calibri" w:hAnsi="Segoe UI" w:cs="Segoe UI"/>
          <w:sz w:val="22"/>
          <w:szCs w:val="22"/>
        </w:rPr>
        <w:t xml:space="preserve"> Kymriah</w:t>
      </w:r>
      <w:r w:rsidRPr="00A45719">
        <w:rPr>
          <w:rFonts w:ascii="Segoe UI" w:eastAsia="Calibri" w:hAnsi="Segoe UI" w:cs="Segoe UI"/>
          <w:sz w:val="22"/>
          <w:szCs w:val="22"/>
          <w:vertAlign w:val="superscript"/>
        </w:rPr>
        <w:t>®</w:t>
      </w:r>
      <w:r w:rsidRPr="00A45719">
        <w:rPr>
          <w:rFonts w:ascii="Segoe UI" w:eastAsia="Calibri" w:hAnsi="Segoe UI" w:cs="Segoe UI"/>
          <w:sz w:val="22"/>
          <w:szCs w:val="22"/>
        </w:rPr>
        <w:t xml:space="preserve"> and </w:t>
      </w:r>
      <w:proofErr w:type="spellStart"/>
      <w:r w:rsidRPr="00A45719">
        <w:rPr>
          <w:rFonts w:ascii="Segoe UI" w:eastAsia="Calibri" w:hAnsi="Segoe UI" w:cs="Segoe UI"/>
          <w:sz w:val="22"/>
          <w:szCs w:val="22"/>
        </w:rPr>
        <w:t>Yescarta</w:t>
      </w:r>
      <w:proofErr w:type="spellEnd"/>
      <w:r w:rsidRPr="00A45719">
        <w:rPr>
          <w:rFonts w:ascii="Segoe UI" w:eastAsia="Calibri" w:hAnsi="Segoe UI" w:cs="Segoe UI"/>
          <w:sz w:val="22"/>
          <w:szCs w:val="22"/>
          <w:vertAlign w:val="superscript"/>
        </w:rPr>
        <w:t>®</w:t>
      </w:r>
      <w:r w:rsidRPr="00A45719">
        <w:rPr>
          <w:rFonts w:ascii="Segoe UI" w:eastAsia="Calibri" w:hAnsi="Segoe UI" w:cs="Segoe UI"/>
          <w:sz w:val="22"/>
          <w:szCs w:val="22"/>
        </w:rPr>
        <w:t xml:space="preserve">). </w:t>
      </w:r>
    </w:p>
    <w:p w14:paraId="168BAAC9" w14:textId="65CF2CAD" w:rsidR="00B3569E" w:rsidRPr="00A45719" w:rsidRDefault="00B3569E" w:rsidP="001864E1">
      <w:pPr>
        <w:spacing w:before="120" w:after="240" w:line="240" w:lineRule="auto"/>
        <w:rPr>
          <w:rFonts w:ascii="Segoe UI" w:eastAsia="Calibri" w:hAnsi="Segoe UI" w:cs="Segoe UI"/>
          <w:sz w:val="22"/>
          <w:szCs w:val="22"/>
        </w:rPr>
      </w:pPr>
      <w:r w:rsidRPr="00A45719">
        <w:rPr>
          <w:rFonts w:ascii="Segoe UI" w:eastAsia="Calibri" w:hAnsi="Segoe UI" w:cs="Segoe UI"/>
          <w:sz w:val="22"/>
          <w:szCs w:val="22"/>
        </w:rPr>
        <w:t xml:space="preserve">The setting of post infusion care for </w:t>
      </w:r>
      <w:proofErr w:type="spellStart"/>
      <w:r w:rsidRPr="00A45719">
        <w:rPr>
          <w:rFonts w:ascii="Segoe UI" w:eastAsia="Calibri" w:hAnsi="Segoe UI" w:cs="Segoe UI"/>
          <w:sz w:val="22"/>
          <w:szCs w:val="22"/>
        </w:rPr>
        <w:t>cilta-cel</w:t>
      </w:r>
      <w:proofErr w:type="spellEnd"/>
      <w:r w:rsidRPr="00A45719">
        <w:rPr>
          <w:rFonts w:ascii="Segoe UI" w:eastAsia="Calibri" w:hAnsi="Segoe UI" w:cs="Segoe UI"/>
          <w:sz w:val="22"/>
          <w:szCs w:val="22"/>
        </w:rPr>
        <w:t xml:space="preserve"> can vary by patient, by site and by the experience and capacity of the treating clinician and team. As such, patients are managed in both the inpatient and outpatient settings, consistent with other CAR-Ts currently funded in Australia. </w:t>
      </w:r>
    </w:p>
    <w:p w14:paraId="0723982C" w14:textId="57F1E1B5" w:rsidR="00B3569E" w:rsidRPr="00A45719" w:rsidRDefault="00B3569E" w:rsidP="001864E1">
      <w:pPr>
        <w:spacing w:before="120" w:after="240" w:line="240" w:lineRule="auto"/>
        <w:rPr>
          <w:rFonts w:ascii="Segoe UI" w:eastAsia="Calibri" w:hAnsi="Segoe UI" w:cs="Segoe UI"/>
          <w:sz w:val="22"/>
          <w:szCs w:val="22"/>
        </w:rPr>
      </w:pPr>
      <w:r w:rsidRPr="00A45719">
        <w:rPr>
          <w:rFonts w:ascii="Segoe UI" w:eastAsia="Calibri" w:hAnsi="Segoe UI" w:cs="Segoe UI"/>
          <w:sz w:val="22"/>
          <w:szCs w:val="22"/>
        </w:rPr>
        <w:t xml:space="preserve">Some patients may require a short inpatient admission </w:t>
      </w:r>
      <w:proofErr w:type="gramStart"/>
      <w:r w:rsidRPr="00A45719">
        <w:rPr>
          <w:rFonts w:ascii="Segoe UI" w:eastAsia="Calibri" w:hAnsi="Segoe UI" w:cs="Segoe UI"/>
          <w:sz w:val="22"/>
          <w:szCs w:val="22"/>
        </w:rPr>
        <w:t>as a consequence of</w:t>
      </w:r>
      <w:proofErr w:type="gramEnd"/>
      <w:r w:rsidRPr="00A45719">
        <w:rPr>
          <w:rFonts w:ascii="Segoe UI" w:eastAsia="Calibri" w:hAnsi="Segoe UI" w:cs="Segoe UI"/>
          <w:sz w:val="22"/>
          <w:szCs w:val="22"/>
        </w:rPr>
        <w:t xml:space="preserve"> cytokine release syndrome (CRS) onset and CAR-T </w:t>
      </w:r>
      <w:proofErr w:type="spellStart"/>
      <w:r w:rsidRPr="00A45719">
        <w:rPr>
          <w:rFonts w:ascii="Segoe UI" w:eastAsia="Calibri" w:hAnsi="Segoe UI" w:cs="Segoe UI"/>
          <w:sz w:val="22"/>
          <w:szCs w:val="22"/>
        </w:rPr>
        <w:t>neurotoxicities</w:t>
      </w:r>
      <w:proofErr w:type="spellEnd"/>
      <w:r w:rsidRPr="00A45719">
        <w:rPr>
          <w:rFonts w:ascii="Segoe UI" w:eastAsia="Calibri" w:hAnsi="Segoe UI" w:cs="Segoe UI"/>
          <w:sz w:val="22"/>
          <w:szCs w:val="22"/>
        </w:rPr>
        <w:t xml:space="preserve">. </w:t>
      </w:r>
      <w:proofErr w:type="gramStart"/>
      <w:r w:rsidRPr="00A45719">
        <w:rPr>
          <w:rFonts w:ascii="Segoe UI" w:eastAsia="Calibri" w:hAnsi="Segoe UI" w:cs="Segoe UI"/>
          <w:sz w:val="22"/>
          <w:szCs w:val="22"/>
        </w:rPr>
        <w:t>Typically</w:t>
      </w:r>
      <w:proofErr w:type="gramEnd"/>
      <w:r w:rsidRPr="00A45719">
        <w:rPr>
          <w:rFonts w:ascii="Segoe UI" w:eastAsia="Calibri" w:hAnsi="Segoe UI" w:cs="Segoe UI"/>
          <w:sz w:val="22"/>
          <w:szCs w:val="22"/>
        </w:rPr>
        <w:t xml:space="preserve"> these toxicities may take up to 7 days to onset. Tocilizumab or methylprednisolone may be administered via IV infusion for the management of CRS or ICANS. </w:t>
      </w:r>
    </w:p>
    <w:p w14:paraId="3AB114B9" w14:textId="66FF5DB6" w:rsidR="00407B82" w:rsidRPr="00A45719" w:rsidRDefault="00B3569E" w:rsidP="001864E1">
      <w:pPr>
        <w:spacing w:before="120" w:after="240" w:line="240" w:lineRule="auto"/>
        <w:rPr>
          <w:rFonts w:ascii="Segoe UI" w:eastAsia="Calibri" w:hAnsi="Segoe UI" w:cs="Segoe UI"/>
          <w:sz w:val="22"/>
          <w:szCs w:val="22"/>
        </w:rPr>
      </w:pPr>
      <w:r w:rsidRPr="00A45719">
        <w:rPr>
          <w:rFonts w:ascii="Segoe UI" w:eastAsia="Calibri" w:hAnsi="Segoe UI" w:cs="Segoe UI"/>
          <w:b/>
          <w:bCs/>
          <w:sz w:val="22"/>
          <w:szCs w:val="22"/>
        </w:rPr>
        <w:t xml:space="preserve">Step </w:t>
      </w:r>
      <w:r w:rsidR="00BA2774" w:rsidRPr="00A45719">
        <w:rPr>
          <w:rFonts w:ascii="Segoe UI" w:eastAsia="Calibri" w:hAnsi="Segoe UI" w:cs="Segoe UI"/>
          <w:b/>
          <w:bCs/>
          <w:sz w:val="22"/>
          <w:szCs w:val="22"/>
        </w:rPr>
        <w:t>8</w:t>
      </w:r>
      <w:r w:rsidRPr="00A45719">
        <w:rPr>
          <w:rFonts w:ascii="Segoe UI" w:eastAsia="Calibri" w:hAnsi="Segoe UI" w:cs="Segoe UI"/>
          <w:b/>
          <w:bCs/>
          <w:sz w:val="22"/>
          <w:szCs w:val="22"/>
        </w:rPr>
        <w:t xml:space="preserve"> – Long term patient assessment: </w:t>
      </w:r>
      <w:r w:rsidRPr="00A45719">
        <w:rPr>
          <w:rFonts w:ascii="Segoe UI" w:eastAsia="Calibri" w:hAnsi="Segoe UI" w:cs="Segoe UI"/>
          <w:sz w:val="22"/>
          <w:szCs w:val="22"/>
        </w:rPr>
        <w:t xml:space="preserve">Previous CAR-T therapies recommended by MSAC have required assessment of long-term patient outcomes. Consistent with the initial ADAR, Janssen </w:t>
      </w:r>
      <w:r w:rsidR="00A45719">
        <w:rPr>
          <w:rFonts w:ascii="Segoe UI" w:eastAsia="Calibri" w:hAnsi="Segoe UI" w:cs="Segoe UI"/>
          <w:sz w:val="22"/>
          <w:szCs w:val="22"/>
        </w:rPr>
        <w:t>will</w:t>
      </w:r>
      <w:r w:rsidRPr="00A45719">
        <w:rPr>
          <w:rFonts w:ascii="Segoe UI" w:eastAsia="Calibri" w:hAnsi="Segoe UI" w:cs="Segoe UI"/>
          <w:sz w:val="22"/>
          <w:szCs w:val="22"/>
        </w:rPr>
        <w:t xml:space="preserve"> propos</w:t>
      </w:r>
      <w:r w:rsidR="00A45719">
        <w:rPr>
          <w:rFonts w:ascii="Segoe UI" w:eastAsia="Calibri" w:hAnsi="Segoe UI" w:cs="Segoe UI"/>
          <w:sz w:val="22"/>
          <w:szCs w:val="22"/>
        </w:rPr>
        <w:t>e</w:t>
      </w:r>
      <w:r w:rsidRPr="00A45719">
        <w:rPr>
          <w:rFonts w:ascii="Segoe UI" w:eastAsia="Calibri" w:hAnsi="Segoe UI" w:cs="Segoe UI"/>
          <w:sz w:val="22"/>
          <w:szCs w:val="22"/>
        </w:rPr>
        <w:t xml:space="preserve"> that a payment for</w:t>
      </w:r>
      <w:r w:rsidR="00A45719">
        <w:rPr>
          <w:rFonts w:ascii="Segoe UI" w:eastAsia="Calibri" w:hAnsi="Segoe UI" w:cs="Segoe UI"/>
          <w:sz w:val="22"/>
          <w:szCs w:val="22"/>
        </w:rPr>
        <w:t xml:space="preserve"> outcome model for</w:t>
      </w:r>
      <w:r w:rsidRPr="00A45719">
        <w:rPr>
          <w:rFonts w:ascii="Segoe UI" w:eastAsia="Calibri" w:hAnsi="Segoe UI" w:cs="Segoe UI"/>
          <w:sz w:val="22"/>
          <w:szCs w:val="22"/>
        </w:rPr>
        <w:t xml:space="preserve"> </w:t>
      </w:r>
      <w:proofErr w:type="spellStart"/>
      <w:r w:rsidRPr="00A45719">
        <w:rPr>
          <w:rFonts w:ascii="Segoe UI" w:eastAsia="Calibri" w:hAnsi="Segoe UI" w:cs="Segoe UI"/>
          <w:sz w:val="22"/>
          <w:szCs w:val="22"/>
        </w:rPr>
        <w:t>cilta-cel</w:t>
      </w:r>
      <w:proofErr w:type="spellEnd"/>
      <w:r w:rsidRPr="00A45719">
        <w:rPr>
          <w:rFonts w:ascii="Segoe UI" w:eastAsia="Calibri" w:hAnsi="Segoe UI" w:cs="Segoe UI"/>
          <w:sz w:val="22"/>
          <w:szCs w:val="22"/>
        </w:rPr>
        <w:t xml:space="preserve"> is linked to the </w:t>
      </w:r>
      <w:r w:rsidR="00A45719">
        <w:rPr>
          <w:rFonts w:ascii="Segoe UI" w:eastAsia="Calibri" w:hAnsi="Segoe UI" w:cs="Segoe UI"/>
          <w:sz w:val="22"/>
          <w:szCs w:val="22"/>
        </w:rPr>
        <w:t>achievement of response at a specified time point post infusion</w:t>
      </w:r>
      <w:r w:rsidRPr="00A45719">
        <w:rPr>
          <w:rFonts w:ascii="Segoe UI" w:eastAsia="Calibri" w:hAnsi="Segoe UI" w:cs="Segoe UI"/>
          <w:sz w:val="22"/>
          <w:szCs w:val="22"/>
        </w:rPr>
        <w:t xml:space="preserve">. </w:t>
      </w:r>
      <w:r w:rsidR="00A45719" w:rsidRPr="00A45719">
        <w:rPr>
          <w:rFonts w:ascii="Segoe UI" w:eastAsia="Calibri" w:hAnsi="Segoe UI" w:cs="Segoe UI"/>
          <w:sz w:val="22"/>
          <w:szCs w:val="22"/>
        </w:rPr>
        <w:t>Further</w:t>
      </w:r>
      <w:r w:rsidR="00A45719">
        <w:rPr>
          <w:rFonts w:ascii="Segoe UI" w:eastAsia="Calibri" w:hAnsi="Segoe UI" w:cs="Segoe UI"/>
          <w:sz w:val="22"/>
          <w:szCs w:val="22"/>
        </w:rPr>
        <w:t>more</w:t>
      </w:r>
      <w:r w:rsidR="00A45719" w:rsidRPr="00A45719">
        <w:rPr>
          <w:rFonts w:ascii="Segoe UI" w:eastAsia="Calibri" w:hAnsi="Segoe UI" w:cs="Segoe UI"/>
          <w:sz w:val="22"/>
          <w:szCs w:val="22"/>
        </w:rPr>
        <w:t>, Janssen is aware that data on the use of CAR-T therapies in Australia is currently recorded by the Australian Bone Marrow Transplant Recipient Registry (ABMTRR), with the cost of data collection met by the sponsor.</w:t>
      </w:r>
    </w:p>
    <w:p w14:paraId="603574A5" w14:textId="77777777" w:rsidR="00246FB8" w:rsidRDefault="00246FB8">
      <w:pPr>
        <w:rPr>
          <w:rFonts w:ascii="Segoe UI" w:eastAsia="Times New Roman" w:hAnsi="Segoe UI"/>
          <w:b/>
          <w:color w:val="000000"/>
          <w:sz w:val="22"/>
        </w:rPr>
      </w:pPr>
      <w:r>
        <w:rPr>
          <w:rFonts w:ascii="Segoe UI" w:eastAsia="Times New Roman" w:hAnsi="Segoe UI"/>
          <w:b/>
          <w:color w:val="000000"/>
          <w:sz w:val="22"/>
        </w:rPr>
        <w:lastRenderedPageBreak/>
        <w:br w:type="page"/>
      </w:r>
    </w:p>
    <w:p w14:paraId="3899397E" w14:textId="1095DC69" w:rsidR="00407B82" w:rsidRPr="00407B82" w:rsidRDefault="00407B82" w:rsidP="001864E1">
      <w:pPr>
        <w:spacing w:before="120" w:after="0" w:line="240" w:lineRule="auto"/>
        <w:rPr>
          <w:rFonts w:ascii="Segoe UI" w:eastAsia="Times New Roman" w:hAnsi="Segoe UI"/>
          <w:b/>
          <w:color w:val="000000"/>
          <w:sz w:val="22"/>
        </w:rPr>
      </w:pPr>
      <w:r w:rsidRPr="00966059">
        <w:rPr>
          <w:rFonts w:ascii="Segoe UI" w:eastAsia="Times New Roman" w:hAnsi="Segoe UI"/>
          <w:b/>
          <w:color w:val="000000"/>
          <w:sz w:val="22"/>
        </w:rPr>
        <w:t>Identify how the proposed technology achieves the intended patient outcomes:</w:t>
      </w:r>
    </w:p>
    <w:p w14:paraId="7584C131" w14:textId="0523F83A" w:rsidR="00906BB1" w:rsidRPr="00966059" w:rsidRDefault="00906BB1" w:rsidP="00246FB8">
      <w:pPr>
        <w:spacing w:after="240" w:line="240" w:lineRule="auto"/>
        <w:rPr>
          <w:rFonts w:ascii="Segoe UI" w:eastAsia="Times New Roman" w:hAnsi="Segoe UI" w:cs="Segoe UI"/>
          <w:sz w:val="22"/>
          <w:szCs w:val="22"/>
        </w:rPr>
      </w:pPr>
      <w:r>
        <w:rPr>
          <w:rFonts w:ascii="Segoe UI" w:eastAsia="Times New Roman" w:hAnsi="Segoe UI" w:cs="Segoe UI"/>
          <w:sz w:val="22"/>
          <w:szCs w:val="22"/>
        </w:rPr>
        <w:t xml:space="preserve">Intended patient outcomes are achieved through the superior efficacy of </w:t>
      </w:r>
      <w:proofErr w:type="spellStart"/>
      <w:r>
        <w:rPr>
          <w:rFonts w:ascii="Segoe UI" w:eastAsia="Times New Roman" w:hAnsi="Segoe UI" w:cs="Segoe UI"/>
          <w:sz w:val="22"/>
          <w:szCs w:val="22"/>
        </w:rPr>
        <w:t>cilta-cel</w:t>
      </w:r>
      <w:proofErr w:type="spellEnd"/>
      <w:r>
        <w:rPr>
          <w:rFonts w:ascii="Segoe UI" w:eastAsia="Times New Roman" w:hAnsi="Segoe UI" w:cs="Segoe UI"/>
          <w:sz w:val="22"/>
          <w:szCs w:val="22"/>
        </w:rPr>
        <w:t xml:space="preserve"> over current standard of care treats in the 5L+ RRMM setting, whilst having a manageable safety profile.</w:t>
      </w:r>
    </w:p>
    <w:p w14:paraId="760AA6FC" w14:textId="385E07D8" w:rsidR="00ED58B4" w:rsidRDefault="00906BB1" w:rsidP="001864E1">
      <w:pPr>
        <w:spacing w:before="120" w:after="240" w:line="240" w:lineRule="auto"/>
        <w:rPr>
          <w:rFonts w:ascii="Segoe UI" w:eastAsia="Times New Roman" w:hAnsi="Segoe UI" w:cs="Segoe UI"/>
          <w:sz w:val="22"/>
          <w:szCs w:val="22"/>
        </w:rPr>
      </w:pPr>
      <w:r w:rsidRPr="00906BB1">
        <w:rPr>
          <w:rFonts w:ascii="Segoe UI" w:eastAsia="Times New Roman" w:hAnsi="Segoe UI" w:cs="Segoe UI"/>
          <w:sz w:val="22"/>
          <w:szCs w:val="22"/>
        </w:rPr>
        <w:t xml:space="preserve">The clinical efficacy </w:t>
      </w:r>
      <w:r w:rsidR="009C2534">
        <w:rPr>
          <w:rFonts w:ascii="Segoe UI" w:eastAsia="Times New Roman" w:hAnsi="Segoe UI" w:cs="Segoe UI"/>
          <w:sz w:val="22"/>
          <w:szCs w:val="22"/>
        </w:rPr>
        <w:t xml:space="preserve">and safety </w:t>
      </w:r>
      <w:r w:rsidRPr="00906BB1">
        <w:rPr>
          <w:rFonts w:ascii="Segoe UI" w:eastAsia="Times New Roman" w:hAnsi="Segoe UI" w:cs="Segoe UI"/>
          <w:sz w:val="22"/>
          <w:szCs w:val="22"/>
        </w:rPr>
        <w:t xml:space="preserve">of </w:t>
      </w:r>
      <w:proofErr w:type="spellStart"/>
      <w:r w:rsidRPr="00906BB1">
        <w:rPr>
          <w:rFonts w:ascii="Segoe UI" w:eastAsia="Times New Roman" w:hAnsi="Segoe UI" w:cs="Segoe UI"/>
          <w:sz w:val="22"/>
          <w:szCs w:val="22"/>
        </w:rPr>
        <w:t>cilta-cel</w:t>
      </w:r>
      <w:proofErr w:type="spellEnd"/>
      <w:r w:rsidRPr="00906BB1">
        <w:rPr>
          <w:rFonts w:ascii="Segoe UI" w:eastAsia="Times New Roman" w:hAnsi="Segoe UI" w:cs="Segoe UI"/>
          <w:sz w:val="22"/>
          <w:szCs w:val="22"/>
        </w:rPr>
        <w:t xml:space="preserve"> </w:t>
      </w:r>
      <w:r w:rsidR="009C2534">
        <w:rPr>
          <w:rFonts w:ascii="Segoe UI" w:eastAsia="Times New Roman" w:hAnsi="Segoe UI" w:cs="Segoe UI"/>
          <w:sz w:val="22"/>
          <w:szCs w:val="22"/>
        </w:rPr>
        <w:t>was investigated in</w:t>
      </w:r>
      <w:r w:rsidRPr="00906BB1">
        <w:rPr>
          <w:rFonts w:ascii="Segoe UI" w:eastAsia="Times New Roman" w:hAnsi="Segoe UI" w:cs="Segoe UI"/>
          <w:sz w:val="22"/>
          <w:szCs w:val="22"/>
        </w:rPr>
        <w:t xml:space="preserve"> the </w:t>
      </w:r>
      <w:r w:rsidR="00ED58B4">
        <w:rPr>
          <w:rFonts w:ascii="Segoe UI" w:eastAsia="Times New Roman" w:hAnsi="Segoe UI" w:cs="Segoe UI"/>
          <w:sz w:val="22"/>
          <w:szCs w:val="22"/>
        </w:rPr>
        <w:t xml:space="preserve">single arm </w:t>
      </w:r>
      <w:r w:rsidRPr="00906BB1">
        <w:rPr>
          <w:rFonts w:ascii="Segoe UI" w:eastAsia="Times New Roman" w:hAnsi="Segoe UI" w:cs="Segoe UI"/>
          <w:sz w:val="22"/>
          <w:szCs w:val="22"/>
        </w:rPr>
        <w:t>CARTITUDE-1 study</w:t>
      </w:r>
      <w:r w:rsidR="00ED58B4">
        <w:rPr>
          <w:rFonts w:ascii="Segoe UI" w:eastAsia="Times New Roman" w:hAnsi="Segoe UI" w:cs="Segoe UI"/>
          <w:sz w:val="22"/>
          <w:szCs w:val="22"/>
        </w:rPr>
        <w:t xml:space="preserve"> in patients with RRMM after 3 prior therapies including a PI, </w:t>
      </w:r>
      <w:proofErr w:type="spellStart"/>
      <w:r w:rsidR="00ED58B4">
        <w:rPr>
          <w:rFonts w:ascii="Segoe UI" w:eastAsia="Times New Roman" w:hAnsi="Segoe UI" w:cs="Segoe UI"/>
          <w:sz w:val="22"/>
          <w:szCs w:val="22"/>
        </w:rPr>
        <w:t>IMiD</w:t>
      </w:r>
      <w:proofErr w:type="spellEnd"/>
      <w:r w:rsidR="00ED58B4">
        <w:rPr>
          <w:rFonts w:ascii="Segoe UI" w:eastAsia="Times New Roman" w:hAnsi="Segoe UI" w:cs="Segoe UI"/>
          <w:sz w:val="22"/>
          <w:szCs w:val="22"/>
        </w:rPr>
        <w:t xml:space="preserve"> and an anti-CD38. </w:t>
      </w:r>
      <w:proofErr w:type="spellStart"/>
      <w:r w:rsidR="00ED58B4" w:rsidRPr="00ED58B4">
        <w:rPr>
          <w:rFonts w:ascii="Segoe UI" w:eastAsia="Times New Roman" w:hAnsi="Segoe UI" w:cs="Segoe UI"/>
          <w:sz w:val="22"/>
          <w:szCs w:val="22"/>
        </w:rPr>
        <w:t>Cilta-cel</w:t>
      </w:r>
      <w:proofErr w:type="spellEnd"/>
      <w:r w:rsidR="00ED58B4" w:rsidRPr="00ED58B4">
        <w:rPr>
          <w:rFonts w:ascii="Segoe UI" w:eastAsia="Times New Roman" w:hAnsi="Segoe UI" w:cs="Segoe UI"/>
          <w:sz w:val="22"/>
          <w:szCs w:val="22"/>
        </w:rPr>
        <w:t xml:space="preserve"> </w:t>
      </w:r>
      <w:r w:rsidR="00ED58B4">
        <w:rPr>
          <w:rFonts w:ascii="Segoe UI" w:eastAsia="Times New Roman" w:hAnsi="Segoe UI" w:cs="Segoe UI"/>
          <w:sz w:val="22"/>
          <w:szCs w:val="22"/>
        </w:rPr>
        <w:t>was</w:t>
      </w:r>
      <w:r w:rsidR="00ED58B4" w:rsidRPr="00ED58B4">
        <w:rPr>
          <w:rFonts w:ascii="Segoe UI" w:eastAsia="Times New Roman" w:hAnsi="Segoe UI" w:cs="Segoe UI"/>
          <w:sz w:val="22"/>
          <w:szCs w:val="22"/>
        </w:rPr>
        <w:t xml:space="preserve"> studied in a population which is reflective of the requested population for funding in Australian clinical practice</w:t>
      </w:r>
      <w:r w:rsidR="00ED58B4">
        <w:rPr>
          <w:rFonts w:ascii="Segoe UI" w:eastAsia="Times New Roman" w:hAnsi="Segoe UI" w:cs="Segoe UI"/>
          <w:sz w:val="22"/>
          <w:szCs w:val="22"/>
        </w:rPr>
        <w:t xml:space="preserve"> (via this application)</w:t>
      </w:r>
      <w:r w:rsidR="00ED58B4" w:rsidRPr="00ED58B4">
        <w:rPr>
          <w:rFonts w:ascii="Segoe UI" w:eastAsia="Times New Roman" w:hAnsi="Segoe UI" w:cs="Segoe UI"/>
          <w:sz w:val="22"/>
          <w:szCs w:val="22"/>
        </w:rPr>
        <w:t xml:space="preserve">, with </w:t>
      </w:r>
      <w:r w:rsidR="00762818" w:rsidRPr="00992928">
        <w:rPr>
          <w:color w:val="000000"/>
          <w:spacing w:val="65"/>
          <w:w w:val="95"/>
          <w:shd w:val="solid" w:color="000000" w:fill="000000"/>
          <w:fitText w:val="380" w:id="-1230842880"/>
          <w14:textFill>
            <w14:solidFill>
              <w14:srgbClr w14:val="000000">
                <w14:alpha w14:val="100000"/>
              </w14:srgbClr>
            </w14:solidFill>
          </w14:textFill>
        </w:rPr>
        <w:t>|||</w:t>
      </w:r>
      <w:r w:rsidR="00762818" w:rsidRPr="00992928">
        <w:rPr>
          <w:color w:val="000000"/>
          <w:spacing w:val="3"/>
          <w:w w:val="95"/>
          <w:shd w:val="solid" w:color="000000" w:fill="000000"/>
          <w:fitText w:val="380" w:id="-1230842880"/>
          <w14:textFill>
            <w14:solidFill>
              <w14:srgbClr w14:val="000000">
                <w14:alpha w14:val="100000"/>
              </w14:srgbClr>
            </w14:solidFill>
          </w14:textFill>
        </w:rPr>
        <w:t>|</w:t>
      </w:r>
      <w:r w:rsidR="00ED58B4" w:rsidRPr="00ED58B4">
        <w:rPr>
          <w:rFonts w:ascii="Segoe UI" w:eastAsia="Times New Roman" w:hAnsi="Segoe UI" w:cs="Segoe UI"/>
          <w:sz w:val="22"/>
          <w:szCs w:val="22"/>
        </w:rPr>
        <w:t xml:space="preserve"> of the </w:t>
      </w:r>
      <w:r w:rsidR="00ED58B4">
        <w:rPr>
          <w:rFonts w:ascii="Segoe UI" w:eastAsia="Times New Roman" w:hAnsi="Segoe UI" w:cs="Segoe UI"/>
          <w:sz w:val="22"/>
          <w:szCs w:val="22"/>
        </w:rPr>
        <w:t>CARTITUDE-1</w:t>
      </w:r>
      <w:r w:rsidR="00ED58B4" w:rsidRPr="00ED58B4">
        <w:rPr>
          <w:rFonts w:ascii="Segoe UI" w:eastAsia="Times New Roman" w:hAnsi="Segoe UI" w:cs="Segoe UI"/>
          <w:sz w:val="22"/>
          <w:szCs w:val="22"/>
        </w:rPr>
        <w:t xml:space="preserve"> population reflecting a 5L+ RRMM population, and </w:t>
      </w:r>
      <w:r w:rsidR="008D5432" w:rsidRPr="00890BB1">
        <w:rPr>
          <w:color w:val="000000"/>
          <w:spacing w:val="62"/>
          <w:shd w:val="solid" w:color="000000" w:fill="000000"/>
          <w:fitText w:val="380" w:id="-1230842368"/>
          <w14:textFill>
            <w14:solidFill>
              <w14:srgbClr w14:val="000000">
                <w14:alpha w14:val="100000"/>
              </w14:srgbClr>
            </w14:solidFill>
          </w14:textFill>
        </w:rPr>
        <w:t>|||</w:t>
      </w:r>
      <w:r w:rsidR="008D5432" w:rsidRPr="00890BB1">
        <w:rPr>
          <w:color w:val="000000"/>
          <w:spacing w:val="2"/>
          <w:shd w:val="solid" w:color="000000" w:fill="000000"/>
          <w:fitText w:val="380" w:id="-1230842368"/>
          <w14:textFill>
            <w14:solidFill>
              <w14:srgbClr w14:val="000000">
                <w14:alpha w14:val="100000"/>
              </w14:srgbClr>
            </w14:solidFill>
          </w14:textFill>
        </w:rPr>
        <w:t>|</w:t>
      </w:r>
      <w:r w:rsidR="00ED58B4" w:rsidRPr="00ED58B4">
        <w:rPr>
          <w:rFonts w:ascii="Segoe UI" w:eastAsia="Times New Roman" w:hAnsi="Segoe UI" w:cs="Segoe UI"/>
          <w:sz w:val="22"/>
          <w:szCs w:val="22"/>
        </w:rPr>
        <w:t xml:space="preserve"> of the 5L+ CARTITUDE-1 population </w:t>
      </w:r>
      <w:r w:rsidR="00ED58B4">
        <w:rPr>
          <w:rFonts w:ascii="Segoe UI" w:eastAsia="Times New Roman" w:hAnsi="Segoe UI" w:cs="Segoe UI"/>
          <w:sz w:val="22"/>
          <w:szCs w:val="22"/>
        </w:rPr>
        <w:t xml:space="preserve">were </w:t>
      </w:r>
      <w:r w:rsidR="00ED58B4" w:rsidRPr="00ED58B4">
        <w:rPr>
          <w:rFonts w:ascii="Segoe UI" w:eastAsia="Times New Roman" w:hAnsi="Segoe UI" w:cs="Segoe UI"/>
          <w:sz w:val="22"/>
          <w:szCs w:val="22"/>
        </w:rPr>
        <w:t xml:space="preserve">refractory to an PI, </w:t>
      </w:r>
      <w:proofErr w:type="spellStart"/>
      <w:r w:rsidR="00ED58B4" w:rsidRPr="00ED58B4">
        <w:rPr>
          <w:rFonts w:ascii="Segoe UI" w:eastAsia="Times New Roman" w:hAnsi="Segoe UI" w:cs="Segoe UI"/>
          <w:sz w:val="22"/>
          <w:szCs w:val="22"/>
        </w:rPr>
        <w:t>IMiD</w:t>
      </w:r>
      <w:proofErr w:type="spellEnd"/>
      <w:r w:rsidR="00ED58B4" w:rsidRPr="00ED58B4">
        <w:rPr>
          <w:rFonts w:ascii="Segoe UI" w:eastAsia="Times New Roman" w:hAnsi="Segoe UI" w:cs="Segoe UI"/>
          <w:sz w:val="22"/>
          <w:szCs w:val="22"/>
        </w:rPr>
        <w:t xml:space="preserve"> and anti-CD38</w:t>
      </w:r>
      <w:r w:rsidR="00ED58B4">
        <w:rPr>
          <w:rFonts w:ascii="Segoe UI" w:eastAsia="Times New Roman" w:hAnsi="Segoe UI" w:cs="Segoe UI"/>
          <w:sz w:val="22"/>
          <w:szCs w:val="22"/>
        </w:rPr>
        <w:t xml:space="preserve"> (including </w:t>
      </w:r>
      <w:r w:rsidR="008D5432" w:rsidRPr="00C413D4">
        <w:rPr>
          <w:color w:val="000000"/>
          <w:spacing w:val="65"/>
          <w:w w:val="95"/>
          <w:shd w:val="solid" w:color="000000" w:fill="000000"/>
          <w:fitText w:val="380" w:id="-1230842367"/>
          <w14:textFill>
            <w14:solidFill>
              <w14:srgbClr w14:val="000000">
                <w14:alpha w14:val="100000"/>
              </w14:srgbClr>
            </w14:solidFill>
          </w14:textFill>
        </w:rPr>
        <w:t>|||</w:t>
      </w:r>
      <w:r w:rsidR="008D5432" w:rsidRPr="00C413D4">
        <w:rPr>
          <w:color w:val="000000"/>
          <w:spacing w:val="3"/>
          <w:w w:val="95"/>
          <w:shd w:val="solid" w:color="000000" w:fill="000000"/>
          <w:fitText w:val="380" w:id="-1230842367"/>
          <w14:textFill>
            <w14:solidFill>
              <w14:srgbClr w14:val="000000">
                <w14:alpha w14:val="100000"/>
              </w14:srgbClr>
            </w14:solidFill>
          </w14:textFill>
        </w:rPr>
        <w:t>|</w:t>
      </w:r>
      <w:r w:rsidR="00ED58B4">
        <w:rPr>
          <w:rFonts w:ascii="Segoe UI" w:eastAsia="Times New Roman" w:hAnsi="Segoe UI" w:cs="Segoe UI"/>
          <w:sz w:val="22"/>
          <w:szCs w:val="22"/>
        </w:rPr>
        <w:t xml:space="preserve"> exposure to these classes of medicines).</w:t>
      </w:r>
      <w:r w:rsidR="00ED58B4" w:rsidRPr="00ED58B4">
        <w:rPr>
          <w:rFonts w:ascii="Segoe UI" w:eastAsia="Times New Roman" w:hAnsi="Segoe UI" w:cs="Segoe UI"/>
          <w:sz w:val="22"/>
          <w:szCs w:val="22"/>
        </w:rPr>
        <w:t xml:space="preserve"> </w:t>
      </w:r>
    </w:p>
    <w:p w14:paraId="77069048" w14:textId="5342AD6A" w:rsidR="007E35D6" w:rsidRDefault="00ED58B4" w:rsidP="001864E1">
      <w:pPr>
        <w:spacing w:before="120" w:after="240" w:line="240" w:lineRule="auto"/>
        <w:rPr>
          <w:rFonts w:ascii="Segoe UI" w:eastAsia="Times New Roman" w:hAnsi="Segoe UI" w:cs="Segoe UI"/>
          <w:sz w:val="22"/>
          <w:szCs w:val="22"/>
        </w:rPr>
      </w:pPr>
      <w:r>
        <w:rPr>
          <w:rFonts w:ascii="Segoe UI" w:eastAsia="Times New Roman" w:hAnsi="Segoe UI" w:cs="Segoe UI"/>
          <w:sz w:val="22"/>
          <w:szCs w:val="22"/>
        </w:rPr>
        <w:t xml:space="preserve">The CARTITUDE-1 close-out data cut has now reported after </w:t>
      </w:r>
      <w:r w:rsidRPr="00906BB1">
        <w:rPr>
          <w:rFonts w:ascii="Segoe UI" w:eastAsia="Times New Roman" w:hAnsi="Segoe UI" w:cs="Segoe UI"/>
          <w:sz w:val="22"/>
          <w:szCs w:val="22"/>
        </w:rPr>
        <w:t>a median duration of follow-up of 33.4 months (October 2022 database lock)</w:t>
      </w:r>
      <w:r>
        <w:rPr>
          <w:rFonts w:ascii="Segoe UI" w:eastAsia="Times New Roman" w:hAnsi="Segoe UI" w:cs="Segoe UI"/>
          <w:sz w:val="22"/>
          <w:szCs w:val="22"/>
        </w:rPr>
        <w:t>. As</w:t>
      </w:r>
      <w:r w:rsidRPr="00ED58B4">
        <w:rPr>
          <w:rFonts w:ascii="Segoe UI" w:eastAsia="Times New Roman" w:hAnsi="Segoe UI" w:cs="Segoe UI"/>
          <w:sz w:val="22"/>
          <w:szCs w:val="22"/>
        </w:rPr>
        <w:t xml:space="preserve"> CARTITUDE-1 is a single arm study, indirect comparisons </w:t>
      </w:r>
      <w:r>
        <w:rPr>
          <w:rFonts w:ascii="Segoe UI" w:eastAsia="Times New Roman" w:hAnsi="Segoe UI" w:cs="Segoe UI"/>
          <w:sz w:val="22"/>
          <w:szCs w:val="22"/>
        </w:rPr>
        <w:t xml:space="preserve">will be submitted in </w:t>
      </w:r>
      <w:r w:rsidR="00966059">
        <w:rPr>
          <w:rFonts w:ascii="Segoe UI" w:eastAsia="Times New Roman" w:hAnsi="Segoe UI" w:cs="Segoe UI"/>
          <w:sz w:val="22"/>
          <w:szCs w:val="22"/>
        </w:rPr>
        <w:t>the</w:t>
      </w:r>
      <w:r>
        <w:rPr>
          <w:rFonts w:ascii="Segoe UI" w:eastAsia="Times New Roman" w:hAnsi="Segoe UI" w:cs="Segoe UI"/>
          <w:sz w:val="22"/>
          <w:szCs w:val="22"/>
        </w:rPr>
        <w:t xml:space="preserve"> ADAR</w:t>
      </w:r>
      <w:r w:rsidRPr="00ED58B4">
        <w:rPr>
          <w:rFonts w:ascii="Segoe UI" w:eastAsia="Times New Roman" w:hAnsi="Segoe UI" w:cs="Segoe UI"/>
          <w:sz w:val="22"/>
          <w:szCs w:val="22"/>
        </w:rPr>
        <w:t xml:space="preserve"> for the assessment of comparative efficacy and safety versus the </w:t>
      </w:r>
      <w:r>
        <w:rPr>
          <w:rFonts w:ascii="Segoe UI" w:eastAsia="Times New Roman" w:hAnsi="Segoe UI" w:cs="Segoe UI"/>
          <w:sz w:val="22"/>
          <w:szCs w:val="22"/>
        </w:rPr>
        <w:t xml:space="preserve">relevant </w:t>
      </w:r>
      <w:r w:rsidRPr="00ED58B4">
        <w:rPr>
          <w:rFonts w:ascii="Segoe UI" w:eastAsia="Times New Roman" w:hAnsi="Segoe UI" w:cs="Segoe UI"/>
          <w:sz w:val="22"/>
          <w:szCs w:val="22"/>
        </w:rPr>
        <w:t>comparator</w:t>
      </w:r>
      <w:r>
        <w:rPr>
          <w:rFonts w:ascii="Segoe UI" w:eastAsia="Times New Roman" w:hAnsi="Segoe UI" w:cs="Segoe UI"/>
          <w:sz w:val="22"/>
          <w:szCs w:val="22"/>
        </w:rPr>
        <w:t xml:space="preserve"> studies</w:t>
      </w:r>
      <w:r w:rsidRPr="00ED58B4">
        <w:rPr>
          <w:rFonts w:ascii="Segoe UI" w:eastAsia="Times New Roman" w:hAnsi="Segoe UI" w:cs="Segoe UI"/>
          <w:sz w:val="22"/>
          <w:szCs w:val="22"/>
        </w:rPr>
        <w:t xml:space="preserve">. </w:t>
      </w:r>
      <w:r>
        <w:rPr>
          <w:rFonts w:ascii="Segoe UI" w:eastAsia="Times New Roman" w:hAnsi="Segoe UI" w:cs="Segoe UI"/>
          <w:sz w:val="22"/>
          <w:szCs w:val="22"/>
        </w:rPr>
        <w:t xml:space="preserve">Several comparator studies are available that reflect the requested population and standard of care in Australia across a variety of trial and </w:t>
      </w:r>
      <w:proofErr w:type="gramStart"/>
      <w:r>
        <w:rPr>
          <w:rFonts w:ascii="Segoe UI" w:eastAsia="Times New Roman" w:hAnsi="Segoe UI" w:cs="Segoe UI"/>
          <w:sz w:val="22"/>
          <w:szCs w:val="22"/>
        </w:rPr>
        <w:t>real world</w:t>
      </w:r>
      <w:proofErr w:type="gramEnd"/>
      <w:r>
        <w:rPr>
          <w:rFonts w:ascii="Segoe UI" w:eastAsia="Times New Roman" w:hAnsi="Segoe UI" w:cs="Segoe UI"/>
          <w:sz w:val="22"/>
          <w:szCs w:val="22"/>
        </w:rPr>
        <w:t xml:space="preserve"> cohorts. </w:t>
      </w:r>
      <w:r w:rsidR="00906BB1">
        <w:rPr>
          <w:rFonts w:ascii="Segoe UI" w:eastAsia="Times New Roman" w:hAnsi="Segoe UI" w:cs="Segoe UI"/>
          <w:sz w:val="22"/>
          <w:szCs w:val="22"/>
        </w:rPr>
        <w:t>T</w:t>
      </w:r>
      <w:r w:rsidR="00906BB1" w:rsidRPr="00906BB1">
        <w:rPr>
          <w:rFonts w:ascii="Segoe UI" w:eastAsia="Times New Roman" w:hAnsi="Segoe UI" w:cs="Segoe UI"/>
          <w:sz w:val="22"/>
          <w:szCs w:val="22"/>
        </w:rPr>
        <w:t xml:space="preserve">reatment with </w:t>
      </w:r>
      <w:proofErr w:type="spellStart"/>
      <w:r w:rsidR="00906BB1" w:rsidRPr="00906BB1">
        <w:rPr>
          <w:rFonts w:ascii="Segoe UI" w:eastAsia="Times New Roman" w:hAnsi="Segoe UI" w:cs="Segoe UI"/>
          <w:sz w:val="22"/>
          <w:szCs w:val="22"/>
        </w:rPr>
        <w:t>cilta-cel</w:t>
      </w:r>
      <w:proofErr w:type="spellEnd"/>
      <w:r w:rsidR="00906BB1" w:rsidRPr="00906BB1">
        <w:rPr>
          <w:rFonts w:ascii="Segoe UI" w:eastAsia="Times New Roman" w:hAnsi="Segoe UI" w:cs="Segoe UI"/>
          <w:sz w:val="22"/>
          <w:szCs w:val="22"/>
        </w:rPr>
        <w:t xml:space="preserve"> resulted in a highly effective and clinically meaningful response in patients with RRMM</w:t>
      </w:r>
      <w:r w:rsidR="00906BB1">
        <w:rPr>
          <w:rFonts w:ascii="Segoe UI" w:eastAsia="Times New Roman" w:hAnsi="Segoe UI" w:cs="Segoe UI"/>
          <w:sz w:val="22"/>
          <w:szCs w:val="22"/>
        </w:rPr>
        <w:t xml:space="preserve"> as follows:</w:t>
      </w:r>
    </w:p>
    <w:p w14:paraId="337203E7" w14:textId="03468E0C" w:rsidR="007E35D6" w:rsidRPr="00E11A4E" w:rsidRDefault="007E35D6" w:rsidP="001864E1">
      <w:pPr>
        <w:spacing w:after="0" w:line="240" w:lineRule="auto"/>
        <w:rPr>
          <w:rFonts w:ascii="Segoe UI" w:eastAsia="Times New Roman" w:hAnsi="Segoe UI" w:cs="Segoe UI"/>
          <w:sz w:val="22"/>
          <w:szCs w:val="22"/>
        </w:rPr>
      </w:pPr>
      <w:r w:rsidRPr="00E11A4E">
        <w:rPr>
          <w:rFonts w:ascii="Segoe UI" w:eastAsia="Times New Roman" w:hAnsi="Segoe UI" w:cs="Segoe UI"/>
          <w:i/>
          <w:iCs/>
          <w:sz w:val="22"/>
          <w:szCs w:val="22"/>
        </w:rPr>
        <w:t xml:space="preserve">Superior PFS - </w:t>
      </w:r>
      <w:proofErr w:type="spellStart"/>
      <w:r w:rsidRPr="00E11A4E">
        <w:rPr>
          <w:rFonts w:ascii="Segoe UI" w:eastAsia="Times New Roman" w:hAnsi="Segoe UI" w:cs="Segoe UI"/>
          <w:sz w:val="22"/>
          <w:szCs w:val="22"/>
        </w:rPr>
        <w:t>Cilta-cel</w:t>
      </w:r>
      <w:proofErr w:type="spellEnd"/>
      <w:r w:rsidRPr="00E11A4E">
        <w:rPr>
          <w:rFonts w:ascii="Segoe UI" w:eastAsia="Times New Roman" w:hAnsi="Segoe UI" w:cs="Segoe UI"/>
          <w:sz w:val="22"/>
          <w:szCs w:val="22"/>
        </w:rPr>
        <w:t xml:space="preserve"> was demonstrated to be statistically superior over every comparator study for the outcome of PFS. </w:t>
      </w:r>
      <w:r w:rsidRPr="00C413D4">
        <w:rPr>
          <w:rFonts w:ascii="Segoe UI" w:eastAsia="Times New Roman" w:hAnsi="Segoe UI" w:cs="Segoe UI"/>
          <w:sz w:val="22"/>
          <w:szCs w:val="22"/>
        </w:rPr>
        <w:t xml:space="preserve">In CARTITUDE-1, the median PFS for the ITT 5L+ </w:t>
      </w:r>
      <w:r w:rsidR="00ED58B4" w:rsidRPr="00C413D4">
        <w:rPr>
          <w:rFonts w:ascii="Segoe UI" w:eastAsia="Times New Roman" w:hAnsi="Segoe UI" w:cs="Segoe UI"/>
          <w:sz w:val="22"/>
          <w:szCs w:val="22"/>
        </w:rPr>
        <w:t>population</w:t>
      </w:r>
      <w:r w:rsidRPr="00C413D4">
        <w:rPr>
          <w:rFonts w:ascii="Segoe UI" w:eastAsia="Times New Roman" w:hAnsi="Segoe UI" w:cs="Segoe UI"/>
          <w:sz w:val="22"/>
          <w:szCs w:val="22"/>
        </w:rPr>
        <w:t xml:space="preserve"> and </w:t>
      </w:r>
      <w:proofErr w:type="spellStart"/>
      <w:r w:rsidRPr="00C413D4">
        <w:rPr>
          <w:rFonts w:ascii="Segoe UI" w:eastAsia="Times New Roman" w:hAnsi="Segoe UI" w:cs="Segoe UI"/>
          <w:sz w:val="22"/>
          <w:szCs w:val="22"/>
        </w:rPr>
        <w:t>mITT</w:t>
      </w:r>
      <w:proofErr w:type="spellEnd"/>
      <w:r w:rsidRPr="00C413D4">
        <w:rPr>
          <w:rFonts w:ascii="Segoe UI" w:eastAsia="Times New Roman" w:hAnsi="Segoe UI" w:cs="Segoe UI"/>
          <w:sz w:val="22"/>
          <w:szCs w:val="22"/>
        </w:rPr>
        <w:t xml:space="preserve"> 5L+ population was </w:t>
      </w:r>
      <w:r w:rsidR="00C413D4" w:rsidRPr="00C413D4">
        <w:rPr>
          <w:color w:val="000000"/>
          <w:spacing w:val="121"/>
          <w:w w:val="95"/>
          <w:shd w:val="solid" w:color="000000" w:fill="000000"/>
          <w:fitText w:val="380" w:id="-1230239232"/>
          <w14:textFill>
            <w14:solidFill>
              <w14:srgbClr w14:val="000000">
                <w14:alpha w14:val="100000"/>
              </w14:srgbClr>
            </w14:solidFill>
          </w14:textFill>
        </w:rPr>
        <w:t>||</w:t>
      </w:r>
      <w:r w:rsidR="00C413D4" w:rsidRPr="00C413D4">
        <w:rPr>
          <w:color w:val="000000"/>
          <w:spacing w:val="2"/>
          <w:w w:val="95"/>
          <w:shd w:val="solid" w:color="000000" w:fill="000000"/>
          <w:fitText w:val="380" w:id="-1230239232"/>
          <w14:textFill>
            <w14:solidFill>
              <w14:srgbClr w14:val="000000">
                <w14:alpha w14:val="100000"/>
              </w14:srgbClr>
            </w14:solidFill>
          </w14:textFill>
        </w:rPr>
        <w:t>|</w:t>
      </w:r>
      <w:r w:rsidRPr="00C413D4">
        <w:rPr>
          <w:rFonts w:ascii="Segoe UI" w:eastAsia="Times New Roman" w:hAnsi="Segoe UI" w:cs="Segoe UI"/>
          <w:sz w:val="22"/>
          <w:szCs w:val="22"/>
        </w:rPr>
        <w:t xml:space="preserve">months (95% CI </w:t>
      </w:r>
      <w:r w:rsidR="00C413D4" w:rsidRPr="00C413D4">
        <w:rPr>
          <w:color w:val="000000"/>
          <w:spacing w:val="121"/>
          <w:w w:val="95"/>
          <w:shd w:val="solid" w:color="000000" w:fill="000000"/>
          <w:fitText w:val="380" w:id="-1230239231"/>
          <w14:textFill>
            <w14:solidFill>
              <w14:srgbClr w14:val="000000">
                <w14:alpha w14:val="100000"/>
              </w14:srgbClr>
            </w14:solidFill>
          </w14:textFill>
        </w:rPr>
        <w:t>||</w:t>
      </w:r>
      <w:r w:rsidR="00C413D4" w:rsidRPr="00C413D4">
        <w:rPr>
          <w:color w:val="000000"/>
          <w:spacing w:val="2"/>
          <w:w w:val="95"/>
          <w:shd w:val="solid" w:color="000000" w:fill="000000"/>
          <w:fitText w:val="380" w:id="-1230239231"/>
          <w14:textFill>
            <w14:solidFill>
              <w14:srgbClr w14:val="000000">
                <w14:alpha w14:val="100000"/>
              </w14:srgbClr>
            </w14:solidFill>
          </w14:textFill>
        </w:rPr>
        <w:t>|</w:t>
      </w:r>
      <w:r w:rsidRPr="00C413D4">
        <w:rPr>
          <w:rFonts w:ascii="Segoe UI" w:eastAsia="Times New Roman" w:hAnsi="Segoe UI" w:cs="Segoe UI"/>
          <w:sz w:val="22"/>
          <w:szCs w:val="22"/>
        </w:rPr>
        <w:t xml:space="preserve">, </w:t>
      </w:r>
      <w:r w:rsidR="00C413D4" w:rsidRPr="00C413D4">
        <w:rPr>
          <w:color w:val="000000"/>
          <w:spacing w:val="121"/>
          <w:w w:val="95"/>
          <w:shd w:val="solid" w:color="000000" w:fill="000000"/>
          <w:fitText w:val="380" w:id="-1230239230"/>
          <w14:textFill>
            <w14:solidFill>
              <w14:srgbClr w14:val="000000">
                <w14:alpha w14:val="100000"/>
              </w14:srgbClr>
            </w14:solidFill>
          </w14:textFill>
        </w:rPr>
        <w:t>||</w:t>
      </w:r>
      <w:r w:rsidR="00C413D4" w:rsidRPr="00C413D4">
        <w:rPr>
          <w:color w:val="000000"/>
          <w:spacing w:val="2"/>
          <w:w w:val="95"/>
          <w:shd w:val="solid" w:color="000000" w:fill="000000"/>
          <w:fitText w:val="380" w:id="-1230239230"/>
          <w14:textFill>
            <w14:solidFill>
              <w14:srgbClr w14:val="000000">
                <w14:alpha w14:val="100000"/>
              </w14:srgbClr>
            </w14:solidFill>
          </w14:textFill>
        </w:rPr>
        <w:t>|</w:t>
      </w:r>
      <w:r w:rsidRPr="00C413D4">
        <w:rPr>
          <w:rFonts w:ascii="Segoe UI" w:eastAsia="Times New Roman" w:hAnsi="Segoe UI" w:cs="Segoe UI"/>
          <w:sz w:val="22"/>
          <w:szCs w:val="22"/>
        </w:rPr>
        <w:t xml:space="preserve">) and </w:t>
      </w:r>
      <w:r w:rsidR="00C413D4" w:rsidRPr="00C413D4">
        <w:rPr>
          <w:color w:val="000000"/>
          <w:spacing w:val="121"/>
          <w:w w:val="95"/>
          <w:shd w:val="solid" w:color="000000" w:fill="000000"/>
          <w:fitText w:val="380" w:id="-1230239229"/>
          <w14:textFill>
            <w14:solidFill>
              <w14:srgbClr w14:val="000000">
                <w14:alpha w14:val="100000"/>
              </w14:srgbClr>
            </w14:solidFill>
          </w14:textFill>
        </w:rPr>
        <w:t>||</w:t>
      </w:r>
      <w:r w:rsidR="00C413D4" w:rsidRPr="00C413D4">
        <w:rPr>
          <w:color w:val="000000"/>
          <w:spacing w:val="2"/>
          <w:w w:val="95"/>
          <w:shd w:val="solid" w:color="000000" w:fill="000000"/>
          <w:fitText w:val="380" w:id="-1230239229"/>
          <w14:textFill>
            <w14:solidFill>
              <w14:srgbClr w14:val="000000">
                <w14:alpha w14:val="100000"/>
              </w14:srgbClr>
            </w14:solidFill>
          </w14:textFill>
        </w:rPr>
        <w:t>|</w:t>
      </w:r>
      <w:r w:rsidRPr="00C413D4">
        <w:rPr>
          <w:rFonts w:ascii="Segoe UI" w:eastAsia="Times New Roman" w:hAnsi="Segoe UI" w:cs="Segoe UI"/>
          <w:sz w:val="22"/>
          <w:szCs w:val="22"/>
        </w:rPr>
        <w:t xml:space="preserve">months (95% CI </w:t>
      </w:r>
      <w:r w:rsidR="00C413D4" w:rsidRPr="00C413D4">
        <w:rPr>
          <w:color w:val="000000"/>
          <w:spacing w:val="121"/>
          <w:w w:val="95"/>
          <w:shd w:val="solid" w:color="000000" w:fill="000000"/>
          <w:fitText w:val="380" w:id="-1230239228"/>
          <w14:textFill>
            <w14:solidFill>
              <w14:srgbClr w14:val="000000">
                <w14:alpha w14:val="100000"/>
              </w14:srgbClr>
            </w14:solidFill>
          </w14:textFill>
        </w:rPr>
        <w:t>||</w:t>
      </w:r>
      <w:r w:rsidR="00C413D4" w:rsidRPr="00C413D4">
        <w:rPr>
          <w:color w:val="000000"/>
          <w:spacing w:val="2"/>
          <w:w w:val="95"/>
          <w:shd w:val="solid" w:color="000000" w:fill="000000"/>
          <w:fitText w:val="380" w:id="-1230239228"/>
          <w14:textFill>
            <w14:solidFill>
              <w14:srgbClr w14:val="000000">
                <w14:alpha w14:val="100000"/>
              </w14:srgbClr>
            </w14:solidFill>
          </w14:textFill>
        </w:rPr>
        <w:t>|</w:t>
      </w:r>
      <w:r w:rsidRPr="00C413D4">
        <w:rPr>
          <w:rFonts w:ascii="Segoe UI" w:eastAsia="Times New Roman" w:hAnsi="Segoe UI" w:cs="Segoe UI"/>
          <w:sz w:val="22"/>
          <w:szCs w:val="22"/>
        </w:rPr>
        <w:t xml:space="preserve">, </w:t>
      </w:r>
      <w:r w:rsidR="00C413D4" w:rsidRPr="00C413D4">
        <w:rPr>
          <w:color w:val="000000"/>
          <w:spacing w:val="121"/>
          <w:w w:val="95"/>
          <w:shd w:val="solid" w:color="000000" w:fill="000000"/>
          <w:fitText w:val="380" w:id="-1230239227"/>
          <w14:textFill>
            <w14:solidFill>
              <w14:srgbClr w14:val="000000">
                <w14:alpha w14:val="100000"/>
              </w14:srgbClr>
            </w14:solidFill>
          </w14:textFill>
        </w:rPr>
        <w:t>||</w:t>
      </w:r>
      <w:r w:rsidR="00C413D4" w:rsidRPr="00C413D4">
        <w:rPr>
          <w:color w:val="000000"/>
          <w:spacing w:val="2"/>
          <w:w w:val="95"/>
          <w:shd w:val="solid" w:color="000000" w:fill="000000"/>
          <w:fitText w:val="380" w:id="-1230239227"/>
          <w14:textFill>
            <w14:solidFill>
              <w14:srgbClr w14:val="000000">
                <w14:alpha w14:val="100000"/>
              </w14:srgbClr>
            </w14:solidFill>
          </w14:textFill>
        </w:rPr>
        <w:t>|</w:t>
      </w:r>
      <w:r w:rsidRPr="00C413D4">
        <w:rPr>
          <w:rFonts w:ascii="Segoe UI" w:eastAsia="Times New Roman" w:hAnsi="Segoe UI" w:cs="Segoe UI"/>
          <w:sz w:val="22"/>
          <w:szCs w:val="22"/>
        </w:rPr>
        <w:t>), respectively. This represents a</w:t>
      </w:r>
      <w:r w:rsidRPr="00C413D4">
        <w:rPr>
          <w:rFonts w:ascii="Segoe UI" w:eastAsia="Times New Roman" w:hAnsi="Segoe UI" w:cs="Segoe UI"/>
          <w:b/>
          <w:bCs/>
          <w:sz w:val="22"/>
          <w:szCs w:val="22"/>
        </w:rPr>
        <w:t xml:space="preserve"> </w:t>
      </w:r>
      <w:r w:rsidR="00C413D4" w:rsidRPr="00C413D4">
        <w:rPr>
          <w:color w:val="000000"/>
          <w:spacing w:val="121"/>
          <w:w w:val="95"/>
          <w:shd w:val="solid" w:color="000000" w:fill="000000"/>
          <w:fitText w:val="380" w:id="-1230239226"/>
          <w14:textFill>
            <w14:solidFill>
              <w14:srgbClr w14:val="000000">
                <w14:alpha w14:val="100000"/>
              </w14:srgbClr>
            </w14:solidFill>
          </w14:textFill>
        </w:rPr>
        <w:t>||</w:t>
      </w:r>
      <w:r w:rsidR="00C413D4" w:rsidRPr="00C413D4">
        <w:rPr>
          <w:color w:val="000000"/>
          <w:spacing w:val="2"/>
          <w:w w:val="95"/>
          <w:shd w:val="solid" w:color="000000" w:fill="000000"/>
          <w:fitText w:val="380" w:id="-1230239226"/>
          <w14:textFill>
            <w14:solidFill>
              <w14:srgbClr w14:val="000000">
                <w14:alpha w14:val="100000"/>
              </w14:srgbClr>
            </w14:solidFill>
          </w14:textFill>
        </w:rPr>
        <w:t>|</w:t>
      </w:r>
      <w:r w:rsidRPr="00C413D4">
        <w:rPr>
          <w:rFonts w:ascii="Segoe UI" w:eastAsia="Times New Roman" w:hAnsi="Segoe UI" w:cs="Segoe UI"/>
          <w:sz w:val="22"/>
          <w:szCs w:val="22"/>
        </w:rPr>
        <w:t xml:space="preserve"> to </w:t>
      </w:r>
      <w:r w:rsidR="00C413D4" w:rsidRPr="00AA7C05">
        <w:rPr>
          <w:color w:val="000000"/>
          <w:spacing w:val="121"/>
          <w:w w:val="95"/>
          <w:shd w:val="solid" w:color="000000" w:fill="000000"/>
          <w:fitText w:val="380" w:id="-1230238976"/>
          <w14:textFill>
            <w14:solidFill>
              <w14:srgbClr w14:val="000000">
                <w14:alpha w14:val="100000"/>
              </w14:srgbClr>
            </w14:solidFill>
          </w14:textFill>
        </w:rPr>
        <w:t>||</w:t>
      </w:r>
      <w:r w:rsidR="00C413D4" w:rsidRPr="00AA7C05">
        <w:rPr>
          <w:color w:val="000000"/>
          <w:spacing w:val="2"/>
          <w:w w:val="95"/>
          <w:shd w:val="solid" w:color="000000" w:fill="000000"/>
          <w:fitText w:val="380" w:id="-1230238976"/>
          <w14:textFill>
            <w14:solidFill>
              <w14:srgbClr w14:val="000000">
                <w14:alpha w14:val="100000"/>
              </w14:srgbClr>
            </w14:solidFill>
          </w14:textFill>
        </w:rPr>
        <w:t>|</w:t>
      </w:r>
      <w:r w:rsidRPr="00C413D4">
        <w:rPr>
          <w:rFonts w:ascii="Segoe UI" w:eastAsia="Times New Roman" w:hAnsi="Segoe UI" w:cs="Segoe UI"/>
          <w:sz w:val="22"/>
          <w:szCs w:val="22"/>
        </w:rPr>
        <w:t>fold improvement over current 5L+ RRMM therapies where median PFS ranges from 2.6 months to 6.2 months.</w:t>
      </w:r>
    </w:p>
    <w:p w14:paraId="2C9E3777" w14:textId="77777777" w:rsidR="007E35D6" w:rsidRPr="007E35D6" w:rsidRDefault="007E35D6" w:rsidP="001864E1">
      <w:pPr>
        <w:spacing w:after="0" w:line="240" w:lineRule="auto"/>
        <w:rPr>
          <w:rFonts w:ascii="Segoe UI" w:eastAsia="Times New Roman" w:hAnsi="Segoe UI" w:cs="Segoe UI"/>
          <w:color w:val="4472C4" w:themeColor="accent1"/>
          <w:sz w:val="22"/>
          <w:szCs w:val="22"/>
        </w:rPr>
      </w:pPr>
    </w:p>
    <w:p w14:paraId="54ED18BA" w14:textId="34C2729B" w:rsidR="007E35D6" w:rsidRPr="00E11A4E" w:rsidRDefault="007E35D6" w:rsidP="001864E1">
      <w:pPr>
        <w:spacing w:after="0" w:line="240" w:lineRule="auto"/>
        <w:rPr>
          <w:rFonts w:ascii="Segoe UI" w:eastAsia="Times New Roman" w:hAnsi="Segoe UI" w:cs="Segoe UI"/>
          <w:sz w:val="22"/>
          <w:szCs w:val="22"/>
        </w:rPr>
      </w:pPr>
      <w:r w:rsidRPr="00E11A4E">
        <w:rPr>
          <w:rFonts w:ascii="Segoe UI" w:eastAsia="Times New Roman" w:hAnsi="Segoe UI" w:cs="Segoe UI"/>
          <w:i/>
          <w:iCs/>
          <w:sz w:val="22"/>
          <w:szCs w:val="22"/>
        </w:rPr>
        <w:t xml:space="preserve">Superior </w:t>
      </w:r>
      <w:r w:rsidRPr="00AA7C05">
        <w:rPr>
          <w:rFonts w:ascii="Segoe UI" w:eastAsia="Times New Roman" w:hAnsi="Segoe UI" w:cs="Segoe UI"/>
          <w:i/>
          <w:iCs/>
          <w:sz w:val="22"/>
          <w:szCs w:val="22"/>
        </w:rPr>
        <w:t xml:space="preserve">OS - </w:t>
      </w:r>
      <w:r w:rsidRPr="00AA7C05">
        <w:rPr>
          <w:rFonts w:ascii="Segoe UI" w:eastAsia="Times New Roman" w:hAnsi="Segoe UI" w:cs="Segoe UI"/>
          <w:sz w:val="22"/>
          <w:szCs w:val="22"/>
        </w:rPr>
        <w:t xml:space="preserve">Median OS in CARTITUDE-1 was not reached even after a median follow-up of </w:t>
      </w:r>
      <w:r w:rsidR="00AA7C05" w:rsidRPr="00AA7C05">
        <w:rPr>
          <w:color w:val="000000"/>
          <w:spacing w:val="121"/>
          <w:w w:val="95"/>
          <w:shd w:val="solid" w:color="000000" w:fill="000000"/>
          <w:fitText w:val="380" w:id="-1230238975"/>
          <w14:textFill>
            <w14:solidFill>
              <w14:srgbClr w14:val="000000">
                <w14:alpha w14:val="100000"/>
              </w14:srgbClr>
            </w14:solidFill>
          </w14:textFill>
        </w:rPr>
        <w:t>||</w:t>
      </w:r>
      <w:r w:rsidR="00AA7C05" w:rsidRPr="00AA7C05">
        <w:rPr>
          <w:color w:val="000000"/>
          <w:spacing w:val="2"/>
          <w:w w:val="95"/>
          <w:shd w:val="solid" w:color="000000" w:fill="000000"/>
          <w:fitText w:val="380" w:id="-1230238975"/>
          <w14:textFill>
            <w14:solidFill>
              <w14:srgbClr w14:val="000000">
                <w14:alpha w14:val="100000"/>
              </w14:srgbClr>
            </w14:solidFill>
          </w14:textFill>
        </w:rPr>
        <w:t>|</w:t>
      </w:r>
      <w:r w:rsidR="00AA7C05">
        <w:rPr>
          <w:color w:val="000000"/>
          <w:shd w:val="solid" w:color="000000" w:fill="000000"/>
          <w14:textFill>
            <w14:solidFill>
              <w14:srgbClr w14:val="000000">
                <w14:alpha w14:val="100000"/>
              </w14:srgbClr>
            </w14:solidFill>
          </w14:textFill>
        </w:rPr>
        <w:t xml:space="preserve"> </w:t>
      </w:r>
      <w:r w:rsidRPr="00AA7C05">
        <w:rPr>
          <w:rFonts w:ascii="Segoe UI" w:eastAsia="Times New Roman" w:hAnsi="Segoe UI" w:cs="Segoe UI"/>
          <w:sz w:val="22"/>
          <w:szCs w:val="22"/>
        </w:rPr>
        <w:t xml:space="preserve">months ((ITT 5L+ population NE [95% CI, </w:t>
      </w:r>
      <w:r w:rsidR="00AA7C05" w:rsidRPr="00AA7C05">
        <w:rPr>
          <w:color w:val="000000"/>
          <w:spacing w:val="121"/>
          <w:w w:val="95"/>
          <w:shd w:val="solid" w:color="000000" w:fill="000000"/>
          <w:fitText w:val="380" w:id="-1230238974"/>
          <w14:textFill>
            <w14:solidFill>
              <w14:srgbClr w14:val="000000">
                <w14:alpha w14:val="100000"/>
              </w14:srgbClr>
            </w14:solidFill>
          </w14:textFill>
        </w:rPr>
        <w:t>||</w:t>
      </w:r>
      <w:r w:rsidR="00AA7C05" w:rsidRPr="00AA7C05">
        <w:rPr>
          <w:color w:val="000000"/>
          <w:spacing w:val="2"/>
          <w:w w:val="95"/>
          <w:shd w:val="solid" w:color="000000" w:fill="000000"/>
          <w:fitText w:val="380" w:id="-1230238974"/>
          <w14:textFill>
            <w14:solidFill>
              <w14:srgbClr w14:val="000000">
                <w14:alpha w14:val="100000"/>
              </w14:srgbClr>
            </w14:solidFill>
          </w14:textFill>
        </w:rPr>
        <w:t>|</w:t>
      </w:r>
      <w:r w:rsidRPr="00AA7C05">
        <w:rPr>
          <w:rFonts w:ascii="Segoe UI" w:eastAsia="Times New Roman" w:hAnsi="Segoe UI" w:cs="Segoe UI"/>
          <w:sz w:val="22"/>
          <w:szCs w:val="22"/>
        </w:rPr>
        <w:t xml:space="preserve">, </w:t>
      </w:r>
      <w:r w:rsidR="00AA7C05" w:rsidRPr="00EA4947">
        <w:rPr>
          <w:color w:val="000000"/>
          <w:spacing w:val="121"/>
          <w:w w:val="95"/>
          <w:shd w:val="solid" w:color="000000" w:fill="000000"/>
          <w:fitText w:val="380" w:id="-1230238973"/>
          <w14:textFill>
            <w14:solidFill>
              <w14:srgbClr w14:val="000000">
                <w14:alpha w14:val="100000"/>
              </w14:srgbClr>
            </w14:solidFill>
          </w14:textFill>
        </w:rPr>
        <w:t>||</w:t>
      </w:r>
      <w:r w:rsidR="00AA7C05" w:rsidRPr="00EA4947">
        <w:rPr>
          <w:color w:val="000000"/>
          <w:spacing w:val="2"/>
          <w:w w:val="95"/>
          <w:shd w:val="solid" w:color="000000" w:fill="000000"/>
          <w:fitText w:val="380" w:id="-1230238973"/>
          <w14:textFill>
            <w14:solidFill>
              <w14:srgbClr w14:val="000000">
                <w14:alpha w14:val="100000"/>
              </w14:srgbClr>
            </w14:solidFill>
          </w14:textFill>
        </w:rPr>
        <w:t>|</w:t>
      </w:r>
      <w:r w:rsidRPr="00AA7C05">
        <w:rPr>
          <w:rFonts w:ascii="Segoe UI" w:eastAsia="Times New Roman" w:hAnsi="Segoe UI" w:cs="Segoe UI"/>
          <w:sz w:val="22"/>
          <w:szCs w:val="22"/>
        </w:rPr>
        <w:t xml:space="preserve">]). In contrast, the median OS in </w:t>
      </w:r>
      <w:proofErr w:type="gramStart"/>
      <w:r w:rsidRPr="00AA7C05">
        <w:rPr>
          <w:rFonts w:ascii="Segoe UI" w:eastAsia="Times New Roman" w:hAnsi="Segoe UI" w:cs="Segoe UI"/>
          <w:sz w:val="22"/>
          <w:szCs w:val="22"/>
        </w:rPr>
        <w:t>the majority of</w:t>
      </w:r>
      <w:proofErr w:type="gramEnd"/>
      <w:r w:rsidRPr="00AA7C05">
        <w:rPr>
          <w:rFonts w:ascii="Segoe UI" w:eastAsia="Times New Roman" w:hAnsi="Segoe UI" w:cs="Segoe UI"/>
          <w:sz w:val="22"/>
          <w:szCs w:val="22"/>
        </w:rPr>
        <w:t xml:space="preserve"> comparator studies of current 5L+ RRMM therapies was &lt;1</w:t>
      </w:r>
      <w:r w:rsidR="00E11A4E" w:rsidRPr="00AA7C05">
        <w:rPr>
          <w:rFonts w:ascii="Segoe UI" w:eastAsia="Times New Roman" w:hAnsi="Segoe UI" w:cs="Segoe UI"/>
          <w:sz w:val="22"/>
          <w:szCs w:val="22"/>
        </w:rPr>
        <w:t>2</w:t>
      </w:r>
      <w:r w:rsidRPr="00AA7C05">
        <w:rPr>
          <w:rFonts w:ascii="Segoe UI" w:eastAsia="Times New Roman" w:hAnsi="Segoe UI" w:cs="Segoe UI"/>
          <w:sz w:val="22"/>
          <w:szCs w:val="22"/>
        </w:rPr>
        <w:t xml:space="preserve"> months.</w:t>
      </w:r>
    </w:p>
    <w:p w14:paraId="381FF295" w14:textId="4A4410D9" w:rsidR="00906BB1" w:rsidRDefault="00906BB1" w:rsidP="001864E1">
      <w:pPr>
        <w:spacing w:after="0" w:line="240" w:lineRule="auto"/>
        <w:rPr>
          <w:rFonts w:ascii="Segoe UI" w:eastAsia="Times New Roman" w:hAnsi="Segoe UI" w:cs="Segoe UI"/>
          <w:sz w:val="22"/>
          <w:szCs w:val="22"/>
        </w:rPr>
      </w:pPr>
    </w:p>
    <w:p w14:paraId="5801C246" w14:textId="15DB68E9" w:rsidR="008E6461" w:rsidRPr="00F04F20" w:rsidRDefault="007E35D6" w:rsidP="001864E1">
      <w:r w:rsidRPr="00E11A4E">
        <w:rPr>
          <w:rFonts w:ascii="Segoe UI" w:eastAsia="Times New Roman" w:hAnsi="Segoe UI" w:cs="Segoe UI"/>
          <w:i/>
          <w:iCs/>
          <w:sz w:val="22"/>
          <w:szCs w:val="22"/>
        </w:rPr>
        <w:t xml:space="preserve">Superior ORR and CR or better rates - </w:t>
      </w:r>
      <w:r w:rsidRPr="00E11A4E">
        <w:rPr>
          <w:rFonts w:ascii="Segoe UI" w:eastAsia="Times New Roman" w:hAnsi="Segoe UI" w:cs="Segoe UI"/>
          <w:sz w:val="22"/>
          <w:szCs w:val="22"/>
        </w:rPr>
        <w:t xml:space="preserve">The ability of </w:t>
      </w:r>
      <w:proofErr w:type="spellStart"/>
      <w:r w:rsidRPr="00E11A4E">
        <w:rPr>
          <w:rFonts w:ascii="Segoe UI" w:eastAsia="Times New Roman" w:hAnsi="Segoe UI" w:cs="Segoe UI"/>
          <w:sz w:val="22"/>
          <w:szCs w:val="22"/>
        </w:rPr>
        <w:t>cilta-cel</w:t>
      </w:r>
      <w:proofErr w:type="spellEnd"/>
      <w:r w:rsidRPr="00E11A4E">
        <w:rPr>
          <w:rFonts w:ascii="Segoe UI" w:eastAsia="Times New Roman" w:hAnsi="Segoe UI" w:cs="Segoe UI"/>
          <w:sz w:val="22"/>
          <w:szCs w:val="22"/>
        </w:rPr>
        <w:t xml:space="preserve"> to induce an overall response, and importantly a deep response (i.e., ≥CR), was superior to current 5L+ RRMM therapies. </w:t>
      </w:r>
      <w:r w:rsidR="008E6461" w:rsidRPr="002349C6">
        <w:rPr>
          <w:rFonts w:ascii="Segoe UI" w:eastAsia="Times New Roman" w:hAnsi="Segoe UI" w:cs="Segoe UI"/>
          <w:sz w:val="22"/>
          <w:szCs w:val="22"/>
        </w:rPr>
        <w:t xml:space="preserve">Overall, the responses elicited by </w:t>
      </w:r>
      <w:proofErr w:type="spellStart"/>
      <w:r w:rsidR="008E6461" w:rsidRPr="002349C6">
        <w:rPr>
          <w:rFonts w:ascii="Segoe UI" w:eastAsia="Times New Roman" w:hAnsi="Segoe UI" w:cs="Segoe UI"/>
          <w:sz w:val="22"/>
          <w:szCs w:val="22"/>
        </w:rPr>
        <w:t>cilta-cel</w:t>
      </w:r>
      <w:proofErr w:type="spellEnd"/>
      <w:r w:rsidR="008E6461" w:rsidRPr="002349C6">
        <w:rPr>
          <w:rFonts w:ascii="Segoe UI" w:eastAsia="Times New Roman" w:hAnsi="Segoe UI" w:cs="Segoe UI"/>
          <w:sz w:val="22"/>
          <w:szCs w:val="22"/>
        </w:rPr>
        <w:t xml:space="preserve"> were </w:t>
      </w:r>
      <w:r w:rsidR="008E6461" w:rsidRPr="002349C6">
        <w:rPr>
          <w:rFonts w:ascii="Segoe UI" w:eastAsia="Times New Roman" w:hAnsi="Segoe UI" w:cs="Segoe UI"/>
          <w:sz w:val="22"/>
          <w:szCs w:val="22"/>
          <w:u w:val="single"/>
        </w:rPr>
        <w:t>prompt</w:t>
      </w:r>
      <w:r w:rsidR="008E6461" w:rsidRPr="002349C6">
        <w:rPr>
          <w:rFonts w:ascii="Segoe UI" w:eastAsia="Times New Roman" w:hAnsi="Segoe UI" w:cs="Segoe UI"/>
          <w:sz w:val="22"/>
          <w:szCs w:val="22"/>
        </w:rPr>
        <w:t xml:space="preserve"> (median time to best response of </w:t>
      </w:r>
      <w:r w:rsidR="00F04F20" w:rsidRPr="002349C6">
        <w:rPr>
          <w:color w:val="000000"/>
          <w:spacing w:val="283"/>
          <w:shd w:val="solid" w:color="000000" w:fill="000000"/>
          <w:fitText w:val="380" w:id="-1230774272"/>
          <w14:textFill>
            <w14:solidFill>
              <w14:srgbClr w14:val="000000">
                <w14:alpha w14:val="100000"/>
              </w14:srgbClr>
            </w14:solidFill>
          </w14:textFill>
        </w:rPr>
        <w:t>|</w:t>
      </w:r>
      <w:r w:rsidR="00F04F20" w:rsidRPr="002349C6">
        <w:rPr>
          <w:color w:val="000000"/>
          <w:shd w:val="solid" w:color="000000" w:fill="000000"/>
          <w:fitText w:val="380" w:id="-1230774272"/>
          <w14:textFill>
            <w14:solidFill>
              <w14:srgbClr w14:val="000000">
                <w14:alpha w14:val="100000"/>
              </w14:srgbClr>
            </w14:solidFill>
          </w14:textFill>
        </w:rPr>
        <w:t>|</w:t>
      </w:r>
      <w:r w:rsidR="008E6461" w:rsidRPr="002349C6">
        <w:rPr>
          <w:rFonts w:ascii="Segoe UI" w:eastAsia="Times New Roman" w:hAnsi="Segoe UI" w:cs="Segoe UI"/>
          <w:sz w:val="22"/>
          <w:szCs w:val="22"/>
        </w:rPr>
        <w:t xml:space="preserve">months), </w:t>
      </w:r>
      <w:r w:rsidR="008E6461" w:rsidRPr="002349C6">
        <w:rPr>
          <w:rFonts w:ascii="Segoe UI" w:eastAsia="Times New Roman" w:hAnsi="Segoe UI" w:cs="Segoe UI"/>
          <w:sz w:val="22"/>
          <w:szCs w:val="22"/>
          <w:u w:val="single"/>
        </w:rPr>
        <w:t>deep</w:t>
      </w:r>
      <w:r w:rsidR="008E6461" w:rsidRPr="002349C6">
        <w:rPr>
          <w:rFonts w:ascii="Segoe UI" w:eastAsia="Times New Roman" w:hAnsi="Segoe UI" w:cs="Segoe UI"/>
          <w:sz w:val="22"/>
          <w:szCs w:val="22"/>
        </w:rPr>
        <w:t xml:space="preserve"> (</w:t>
      </w:r>
      <w:r w:rsidR="00F04F20" w:rsidRPr="002349C6">
        <w:rPr>
          <w:color w:val="000000"/>
          <w:spacing w:val="117"/>
          <w:shd w:val="solid" w:color="000000" w:fill="000000"/>
          <w:fitText w:val="380" w:id="-1230774013"/>
          <w14:textFill>
            <w14:solidFill>
              <w14:srgbClr w14:val="000000">
                <w14:alpha w14:val="100000"/>
              </w14:srgbClr>
            </w14:solidFill>
          </w14:textFill>
        </w:rPr>
        <w:t>||</w:t>
      </w:r>
      <w:r w:rsidR="00F04F20" w:rsidRPr="002349C6">
        <w:rPr>
          <w:color w:val="000000"/>
          <w:spacing w:val="2"/>
          <w:shd w:val="solid" w:color="000000" w:fill="000000"/>
          <w:fitText w:val="380" w:id="-1230774013"/>
          <w14:textFill>
            <w14:solidFill>
              <w14:srgbClr w14:val="000000">
                <w14:alpha w14:val="100000"/>
              </w14:srgbClr>
            </w14:solidFill>
          </w14:textFill>
        </w:rPr>
        <w:t>|</w:t>
      </w:r>
      <w:r w:rsidR="00F04F20" w:rsidRPr="002349C6">
        <w:rPr>
          <w:rFonts w:ascii="Segoe UI" w:eastAsia="Times New Roman" w:hAnsi="Segoe UI" w:cs="Segoe UI"/>
          <w:sz w:val="22"/>
          <w:szCs w:val="22"/>
        </w:rPr>
        <w:t>a</w:t>
      </w:r>
      <w:r w:rsidR="008E6461" w:rsidRPr="002349C6">
        <w:rPr>
          <w:rFonts w:ascii="Segoe UI" w:eastAsia="Times New Roman" w:hAnsi="Segoe UI" w:cs="Segoe UI"/>
          <w:sz w:val="22"/>
          <w:szCs w:val="22"/>
        </w:rPr>
        <w:t xml:space="preserve">nd </w:t>
      </w:r>
      <w:r w:rsidR="00A549C9" w:rsidRPr="002349C6">
        <w:rPr>
          <w:color w:val="000000"/>
          <w:spacing w:val="283"/>
          <w:shd w:val="solid" w:color="000000" w:fill="000000"/>
          <w:fitText w:val="380" w:id="-1230774009"/>
          <w14:textFill>
            <w14:solidFill>
              <w14:srgbClr w14:val="000000">
                <w14:alpha w14:val="100000"/>
              </w14:srgbClr>
            </w14:solidFill>
          </w14:textFill>
        </w:rPr>
        <w:t>|</w:t>
      </w:r>
      <w:r w:rsidR="00A549C9" w:rsidRPr="002349C6">
        <w:rPr>
          <w:color w:val="000000"/>
          <w:spacing w:val="1"/>
          <w:shd w:val="solid" w:color="000000" w:fill="000000"/>
          <w:fitText w:val="380" w:id="-1230774009"/>
          <w14:textFill>
            <w14:solidFill>
              <w14:srgbClr w14:val="000000">
                <w14:alpha w14:val="100000"/>
              </w14:srgbClr>
            </w14:solidFill>
          </w14:textFill>
        </w:rPr>
        <w:t>|</w:t>
      </w:r>
      <w:r w:rsidR="008E6461" w:rsidRPr="002349C6">
        <w:rPr>
          <w:rFonts w:ascii="Segoe UI" w:eastAsia="Times New Roman" w:hAnsi="Segoe UI" w:cs="Segoe UI"/>
          <w:sz w:val="22"/>
          <w:szCs w:val="22"/>
        </w:rPr>
        <w:t xml:space="preserve">% of patients in the ITT 5L+ and </w:t>
      </w:r>
      <w:proofErr w:type="spellStart"/>
      <w:r w:rsidR="008E6461" w:rsidRPr="002349C6">
        <w:rPr>
          <w:rFonts w:ascii="Segoe UI" w:eastAsia="Times New Roman" w:hAnsi="Segoe UI" w:cs="Segoe UI"/>
          <w:sz w:val="22"/>
          <w:szCs w:val="22"/>
        </w:rPr>
        <w:t>mITT</w:t>
      </w:r>
      <w:proofErr w:type="spellEnd"/>
      <w:r w:rsidR="008E6461" w:rsidRPr="002349C6">
        <w:rPr>
          <w:rFonts w:ascii="Segoe UI" w:eastAsia="Times New Roman" w:hAnsi="Segoe UI" w:cs="Segoe UI"/>
          <w:sz w:val="22"/>
          <w:szCs w:val="22"/>
        </w:rPr>
        <w:t xml:space="preserve"> 5L+ population, respectively achieved CR or better) and </w:t>
      </w:r>
      <w:r w:rsidR="008E6461" w:rsidRPr="002349C6">
        <w:rPr>
          <w:rFonts w:ascii="Segoe UI" w:eastAsia="Times New Roman" w:hAnsi="Segoe UI" w:cs="Segoe UI"/>
          <w:sz w:val="22"/>
          <w:szCs w:val="22"/>
          <w:u w:val="single"/>
        </w:rPr>
        <w:t>durable</w:t>
      </w:r>
      <w:r w:rsidR="008E6461" w:rsidRPr="002349C6">
        <w:rPr>
          <w:rFonts w:ascii="Segoe UI" w:eastAsia="Times New Roman" w:hAnsi="Segoe UI" w:cs="Segoe UI"/>
          <w:sz w:val="22"/>
          <w:szCs w:val="22"/>
        </w:rPr>
        <w:t xml:space="preserve"> (median duration of response of </w:t>
      </w:r>
      <w:r w:rsidR="00E30D56" w:rsidRPr="002349C6">
        <w:rPr>
          <w:color w:val="000000"/>
          <w:spacing w:val="283"/>
          <w:shd w:val="solid" w:color="000000" w:fill="000000"/>
          <w:fitText w:val="380" w:id="-1230774008"/>
          <w14:textFill>
            <w14:solidFill>
              <w14:srgbClr w14:val="000000">
                <w14:alpha w14:val="100000"/>
              </w14:srgbClr>
            </w14:solidFill>
          </w14:textFill>
        </w:rPr>
        <w:t>|</w:t>
      </w:r>
      <w:r w:rsidR="00E30D56" w:rsidRPr="002349C6">
        <w:rPr>
          <w:color w:val="000000"/>
          <w:spacing w:val="1"/>
          <w:shd w:val="solid" w:color="000000" w:fill="000000"/>
          <w:fitText w:val="380" w:id="-1230774008"/>
          <w14:textFill>
            <w14:solidFill>
              <w14:srgbClr w14:val="000000">
                <w14:alpha w14:val="100000"/>
              </w14:srgbClr>
            </w14:solidFill>
          </w14:textFill>
        </w:rPr>
        <w:t>|</w:t>
      </w:r>
      <w:r w:rsidR="008E6461" w:rsidRPr="002349C6">
        <w:rPr>
          <w:rFonts w:ascii="Segoe UI" w:eastAsia="Times New Roman" w:hAnsi="Segoe UI" w:cs="Segoe UI"/>
          <w:sz w:val="22"/>
          <w:szCs w:val="22"/>
        </w:rPr>
        <w:t xml:space="preserve">months (95% CI: </w:t>
      </w:r>
      <w:r w:rsidR="00E30D56" w:rsidRPr="002349C6">
        <w:rPr>
          <w:color w:val="000000"/>
          <w:spacing w:val="283"/>
          <w:shd w:val="solid" w:color="000000" w:fill="000000"/>
          <w:fitText w:val="380" w:id="-1230773760"/>
          <w14:textFill>
            <w14:solidFill>
              <w14:srgbClr w14:val="000000">
                <w14:alpha w14:val="100000"/>
              </w14:srgbClr>
            </w14:solidFill>
          </w14:textFill>
        </w:rPr>
        <w:t>|</w:t>
      </w:r>
      <w:r w:rsidR="00E30D56" w:rsidRPr="002349C6">
        <w:rPr>
          <w:color w:val="000000"/>
          <w:spacing w:val="1"/>
          <w:shd w:val="solid" w:color="000000" w:fill="000000"/>
          <w:fitText w:val="380" w:id="-1230773760"/>
          <w14:textFill>
            <w14:solidFill>
              <w14:srgbClr w14:val="000000">
                <w14:alpha w14:val="100000"/>
              </w14:srgbClr>
            </w14:solidFill>
          </w14:textFill>
        </w:rPr>
        <w:t>|</w:t>
      </w:r>
      <w:r w:rsidR="008E6461" w:rsidRPr="002349C6">
        <w:rPr>
          <w:rFonts w:ascii="Segoe UI" w:eastAsia="Times New Roman" w:hAnsi="Segoe UI" w:cs="Segoe UI"/>
          <w:sz w:val="22"/>
          <w:szCs w:val="22"/>
        </w:rPr>
        <w:t xml:space="preserve">, </w:t>
      </w:r>
      <w:r w:rsidR="00E30D56" w:rsidRPr="002349C6">
        <w:rPr>
          <w:color w:val="000000"/>
          <w:spacing w:val="283"/>
          <w:shd w:val="solid" w:color="000000" w:fill="000000"/>
          <w:fitText w:val="380" w:id="-1230773759"/>
          <w14:textFill>
            <w14:solidFill>
              <w14:srgbClr w14:val="000000">
                <w14:alpha w14:val="100000"/>
              </w14:srgbClr>
            </w14:solidFill>
          </w14:textFill>
        </w:rPr>
        <w:t>|</w:t>
      </w:r>
      <w:r w:rsidR="00E30D56" w:rsidRPr="002349C6">
        <w:rPr>
          <w:color w:val="000000"/>
          <w:spacing w:val="1"/>
          <w:shd w:val="solid" w:color="000000" w:fill="000000"/>
          <w:fitText w:val="380" w:id="-1230773759"/>
          <w14:textFill>
            <w14:solidFill>
              <w14:srgbClr w14:val="000000">
                <w14:alpha w14:val="100000"/>
              </w14:srgbClr>
            </w14:solidFill>
          </w14:textFill>
        </w:rPr>
        <w:t>|</w:t>
      </w:r>
      <w:r w:rsidR="008E6461" w:rsidRPr="002349C6">
        <w:rPr>
          <w:rFonts w:ascii="Segoe UI" w:eastAsia="Times New Roman" w:hAnsi="Segoe UI" w:cs="Segoe UI"/>
          <w:sz w:val="22"/>
          <w:szCs w:val="22"/>
        </w:rPr>
        <w:t>)), and thus represents unprecedented improvements in outcomes in a heavily pre-treated MM population who typically respond very poorly to treatment (</w:t>
      </w:r>
      <w:r w:rsidR="00E30D56" w:rsidRPr="002349C6">
        <w:rPr>
          <w:color w:val="000000"/>
          <w:spacing w:val="283"/>
          <w:shd w:val="solid" w:color="000000" w:fill="000000"/>
          <w:fitText w:val="380" w:id="-1230773758"/>
          <w14:textFill>
            <w14:solidFill>
              <w14:srgbClr w14:val="000000">
                <w14:alpha w14:val="100000"/>
              </w14:srgbClr>
            </w14:solidFill>
          </w14:textFill>
        </w:rPr>
        <w:t>|</w:t>
      </w:r>
      <w:r w:rsidR="00E30D56" w:rsidRPr="002349C6">
        <w:rPr>
          <w:color w:val="000000"/>
          <w:shd w:val="solid" w:color="000000" w:fill="000000"/>
          <w:fitText w:val="380" w:id="-1230773758"/>
          <w14:textFill>
            <w14:solidFill>
              <w14:srgbClr w14:val="000000">
                <w14:alpha w14:val="100000"/>
              </w14:srgbClr>
            </w14:solidFill>
          </w14:textFill>
        </w:rPr>
        <w:t>|</w:t>
      </w:r>
      <w:r w:rsidR="008E6461" w:rsidRPr="002349C6">
        <w:rPr>
          <w:rFonts w:ascii="Segoe UI" w:eastAsia="Times New Roman" w:hAnsi="Segoe UI" w:cs="Segoe UI"/>
          <w:sz w:val="22"/>
          <w:szCs w:val="22"/>
        </w:rPr>
        <w:t>% achieve CR or better).</w:t>
      </w:r>
    </w:p>
    <w:p w14:paraId="5C2EB53B" w14:textId="5686D085" w:rsidR="00DD1455" w:rsidRDefault="00DD1455" w:rsidP="001864E1">
      <w:pPr>
        <w:spacing w:after="0" w:line="276" w:lineRule="auto"/>
        <w:rPr>
          <w:rFonts w:ascii="Segoe UI" w:eastAsia="Times New Roman" w:hAnsi="Segoe UI" w:cs="Segoe UI"/>
          <w:color w:val="4472C4" w:themeColor="accent1"/>
          <w:sz w:val="22"/>
          <w:szCs w:val="22"/>
        </w:rPr>
      </w:pPr>
    </w:p>
    <w:p w14:paraId="7137AD70" w14:textId="3434E6A2" w:rsidR="007010C4" w:rsidRPr="00E11A4E" w:rsidRDefault="007E35D6" w:rsidP="001864E1">
      <w:pPr>
        <w:spacing w:after="0" w:line="240" w:lineRule="auto"/>
        <w:rPr>
          <w:rFonts w:ascii="Segoe UI" w:eastAsia="Times New Roman" w:hAnsi="Segoe UI" w:cs="Segoe UI"/>
          <w:sz w:val="22"/>
          <w:szCs w:val="22"/>
        </w:rPr>
      </w:pPr>
      <w:r w:rsidRPr="00E11A4E">
        <w:rPr>
          <w:rFonts w:ascii="Segoe UI" w:eastAsia="Times New Roman" w:hAnsi="Segoe UI" w:cs="Segoe UI"/>
          <w:i/>
          <w:iCs/>
          <w:sz w:val="22"/>
          <w:szCs w:val="22"/>
        </w:rPr>
        <w:t>Superior TTNT</w:t>
      </w:r>
      <w:r w:rsidR="009314D2" w:rsidRPr="002349C6">
        <w:rPr>
          <w:rFonts w:ascii="Segoe UI" w:eastAsia="Times New Roman" w:hAnsi="Segoe UI" w:cs="Segoe UI"/>
          <w:i/>
          <w:iCs/>
          <w:sz w:val="22"/>
          <w:szCs w:val="22"/>
        </w:rPr>
        <w:t>-</w:t>
      </w:r>
      <w:r w:rsidRPr="002349C6">
        <w:rPr>
          <w:rFonts w:ascii="Segoe UI" w:eastAsia="Times New Roman" w:hAnsi="Segoe UI" w:cs="Segoe UI"/>
          <w:i/>
          <w:iCs/>
          <w:sz w:val="22"/>
          <w:szCs w:val="22"/>
        </w:rPr>
        <w:t xml:space="preserve"> </w:t>
      </w:r>
      <w:r w:rsidR="007010C4" w:rsidRPr="002349C6">
        <w:rPr>
          <w:rFonts w:ascii="Segoe UI" w:eastAsia="Times New Roman" w:hAnsi="Segoe UI" w:cs="Segoe UI"/>
          <w:sz w:val="22"/>
          <w:szCs w:val="22"/>
        </w:rPr>
        <w:t xml:space="preserve">Median TTNT in CARTITUDE-1 was </w:t>
      </w:r>
      <w:r w:rsidR="00C528B6" w:rsidRPr="002349C6">
        <w:rPr>
          <w:color w:val="000000"/>
          <w:spacing w:val="283"/>
          <w:shd w:val="solid" w:color="000000" w:fill="000000"/>
          <w:fitText w:val="380" w:id="-1230773248"/>
          <w14:textFill>
            <w14:solidFill>
              <w14:srgbClr w14:val="000000">
                <w14:alpha w14:val="100000"/>
              </w14:srgbClr>
            </w14:solidFill>
          </w14:textFill>
        </w:rPr>
        <w:t>|</w:t>
      </w:r>
      <w:r w:rsidR="00C528B6" w:rsidRPr="002349C6">
        <w:rPr>
          <w:color w:val="000000"/>
          <w:shd w:val="solid" w:color="000000" w:fill="000000"/>
          <w:fitText w:val="380" w:id="-1230773248"/>
          <w14:textFill>
            <w14:solidFill>
              <w14:srgbClr w14:val="000000">
                <w14:alpha w14:val="100000"/>
              </w14:srgbClr>
            </w14:solidFill>
          </w14:textFill>
        </w:rPr>
        <w:t>|</w:t>
      </w:r>
      <w:r w:rsidR="007010C4" w:rsidRPr="002349C6">
        <w:rPr>
          <w:rFonts w:ascii="Segoe UI" w:eastAsia="Times New Roman" w:hAnsi="Segoe UI" w:cs="Segoe UI"/>
          <w:sz w:val="22"/>
          <w:szCs w:val="22"/>
        </w:rPr>
        <w:t xml:space="preserve">months (95% CI: </w:t>
      </w:r>
      <w:r w:rsidR="00C528B6" w:rsidRPr="002349C6">
        <w:rPr>
          <w:color w:val="000000"/>
          <w:spacing w:val="283"/>
          <w:shd w:val="solid" w:color="000000" w:fill="000000"/>
          <w:fitText w:val="380" w:id="-1230773247"/>
          <w14:textFill>
            <w14:solidFill>
              <w14:srgbClr w14:val="000000">
                <w14:alpha w14:val="100000"/>
              </w14:srgbClr>
            </w14:solidFill>
          </w14:textFill>
        </w:rPr>
        <w:t>|</w:t>
      </w:r>
      <w:r w:rsidR="00C528B6" w:rsidRPr="002349C6">
        <w:rPr>
          <w:color w:val="000000"/>
          <w:shd w:val="solid" w:color="000000" w:fill="000000"/>
          <w:fitText w:val="380" w:id="-1230773247"/>
          <w14:textFill>
            <w14:solidFill>
              <w14:srgbClr w14:val="000000">
                <w14:alpha w14:val="100000"/>
              </w14:srgbClr>
            </w14:solidFill>
          </w14:textFill>
        </w:rPr>
        <w:t>|</w:t>
      </w:r>
      <w:r w:rsidR="007010C4" w:rsidRPr="002349C6">
        <w:rPr>
          <w:rFonts w:ascii="Segoe UI" w:eastAsia="Times New Roman" w:hAnsi="Segoe UI" w:cs="Segoe UI"/>
          <w:sz w:val="22"/>
          <w:szCs w:val="22"/>
        </w:rPr>
        <w:t xml:space="preserve">, </w:t>
      </w:r>
      <w:r w:rsidR="00C528B6" w:rsidRPr="002349C6">
        <w:rPr>
          <w:color w:val="000000"/>
          <w:spacing w:val="283"/>
          <w:shd w:val="solid" w:color="000000" w:fill="000000"/>
          <w:fitText w:val="380" w:id="-1230773246"/>
          <w14:textFill>
            <w14:solidFill>
              <w14:srgbClr w14:val="000000">
                <w14:alpha w14:val="100000"/>
              </w14:srgbClr>
            </w14:solidFill>
          </w14:textFill>
        </w:rPr>
        <w:t>|</w:t>
      </w:r>
      <w:r w:rsidR="00C528B6" w:rsidRPr="002349C6">
        <w:rPr>
          <w:color w:val="000000"/>
          <w:shd w:val="solid" w:color="000000" w:fill="000000"/>
          <w:fitText w:val="380" w:id="-1230773246"/>
          <w14:textFill>
            <w14:solidFill>
              <w14:srgbClr w14:val="000000">
                <w14:alpha w14:val="100000"/>
              </w14:srgbClr>
            </w14:solidFill>
          </w14:textFill>
        </w:rPr>
        <w:t>|</w:t>
      </w:r>
      <w:r w:rsidR="007010C4" w:rsidRPr="002349C6">
        <w:rPr>
          <w:rFonts w:ascii="Segoe UI" w:eastAsia="Times New Roman" w:hAnsi="Segoe UI" w:cs="Segoe UI"/>
          <w:sz w:val="22"/>
          <w:szCs w:val="22"/>
        </w:rPr>
        <w:t xml:space="preserve">) and </w:t>
      </w:r>
      <w:r w:rsidR="00C528B6" w:rsidRPr="002349C6">
        <w:rPr>
          <w:color w:val="000000"/>
          <w:spacing w:val="283"/>
          <w:shd w:val="solid" w:color="000000" w:fill="000000"/>
          <w:fitText w:val="380" w:id="-1230773245"/>
          <w14:textFill>
            <w14:solidFill>
              <w14:srgbClr w14:val="000000">
                <w14:alpha w14:val="100000"/>
              </w14:srgbClr>
            </w14:solidFill>
          </w14:textFill>
        </w:rPr>
        <w:t>|</w:t>
      </w:r>
      <w:r w:rsidR="00C528B6" w:rsidRPr="002349C6">
        <w:rPr>
          <w:color w:val="000000"/>
          <w:shd w:val="solid" w:color="000000" w:fill="000000"/>
          <w:fitText w:val="380" w:id="-1230773245"/>
          <w14:textFill>
            <w14:solidFill>
              <w14:srgbClr w14:val="000000">
                <w14:alpha w14:val="100000"/>
              </w14:srgbClr>
            </w14:solidFill>
          </w14:textFill>
        </w:rPr>
        <w:t>|</w:t>
      </w:r>
      <w:r w:rsidR="007010C4" w:rsidRPr="002349C6">
        <w:rPr>
          <w:rFonts w:ascii="Segoe UI" w:eastAsia="Times New Roman" w:hAnsi="Segoe UI" w:cs="Segoe UI"/>
          <w:sz w:val="22"/>
          <w:szCs w:val="22"/>
        </w:rPr>
        <w:t xml:space="preserve">months (95% CI: </w:t>
      </w:r>
      <w:r w:rsidR="00C528B6" w:rsidRPr="002349C6">
        <w:rPr>
          <w:color w:val="000000"/>
          <w:spacing w:val="283"/>
          <w:shd w:val="solid" w:color="000000" w:fill="000000"/>
          <w:fitText w:val="380" w:id="-1230772992"/>
          <w14:textFill>
            <w14:solidFill>
              <w14:srgbClr w14:val="000000">
                <w14:alpha w14:val="100000"/>
              </w14:srgbClr>
            </w14:solidFill>
          </w14:textFill>
        </w:rPr>
        <w:t>|</w:t>
      </w:r>
      <w:r w:rsidR="00C528B6" w:rsidRPr="002349C6">
        <w:rPr>
          <w:color w:val="000000"/>
          <w:shd w:val="solid" w:color="000000" w:fill="000000"/>
          <w:fitText w:val="380" w:id="-1230772992"/>
          <w14:textFill>
            <w14:solidFill>
              <w14:srgbClr w14:val="000000">
                <w14:alpha w14:val="100000"/>
              </w14:srgbClr>
            </w14:solidFill>
          </w14:textFill>
        </w:rPr>
        <w:t>|</w:t>
      </w:r>
      <w:r w:rsidR="007010C4" w:rsidRPr="002349C6">
        <w:rPr>
          <w:rFonts w:ascii="Segoe UI" w:eastAsia="Times New Roman" w:hAnsi="Segoe UI" w:cs="Segoe UI"/>
          <w:sz w:val="22"/>
          <w:szCs w:val="22"/>
        </w:rPr>
        <w:t xml:space="preserve">, </w:t>
      </w:r>
      <w:r w:rsidR="00C528B6" w:rsidRPr="002349C6">
        <w:rPr>
          <w:color w:val="000000"/>
          <w:spacing w:val="283"/>
          <w:shd w:val="solid" w:color="000000" w:fill="000000"/>
          <w:fitText w:val="380" w:id="-1230772991"/>
          <w14:textFill>
            <w14:solidFill>
              <w14:srgbClr w14:val="000000">
                <w14:alpha w14:val="100000"/>
              </w14:srgbClr>
            </w14:solidFill>
          </w14:textFill>
        </w:rPr>
        <w:t>|</w:t>
      </w:r>
      <w:r w:rsidR="00C528B6" w:rsidRPr="002349C6">
        <w:rPr>
          <w:color w:val="000000"/>
          <w:shd w:val="solid" w:color="000000" w:fill="000000"/>
          <w:fitText w:val="380" w:id="-1230772991"/>
          <w14:textFill>
            <w14:solidFill>
              <w14:srgbClr w14:val="000000">
                <w14:alpha w14:val="100000"/>
              </w14:srgbClr>
            </w14:solidFill>
          </w14:textFill>
        </w:rPr>
        <w:t>|</w:t>
      </w:r>
      <w:r w:rsidR="007010C4" w:rsidRPr="002349C6">
        <w:rPr>
          <w:rFonts w:ascii="Segoe UI" w:eastAsia="Times New Roman" w:hAnsi="Segoe UI" w:cs="Segoe UI"/>
          <w:sz w:val="22"/>
          <w:szCs w:val="22"/>
        </w:rPr>
        <w:t xml:space="preserve">) in the ITT/all-enrolled 5L+ and </w:t>
      </w:r>
      <w:proofErr w:type="spellStart"/>
      <w:r w:rsidR="007010C4" w:rsidRPr="002349C6">
        <w:rPr>
          <w:rFonts w:ascii="Segoe UI" w:eastAsia="Times New Roman" w:hAnsi="Segoe UI" w:cs="Segoe UI"/>
          <w:sz w:val="22"/>
          <w:szCs w:val="22"/>
        </w:rPr>
        <w:t>mITT</w:t>
      </w:r>
      <w:proofErr w:type="spellEnd"/>
      <w:r w:rsidR="007010C4" w:rsidRPr="002349C6">
        <w:rPr>
          <w:rFonts w:ascii="Segoe UI" w:eastAsia="Times New Roman" w:hAnsi="Segoe UI" w:cs="Segoe UI"/>
          <w:sz w:val="22"/>
          <w:szCs w:val="22"/>
        </w:rPr>
        <w:t xml:space="preserve">/all-treated population, respectively. The median TTNT achieved with </w:t>
      </w:r>
      <w:proofErr w:type="spellStart"/>
      <w:r w:rsidR="007010C4" w:rsidRPr="002349C6">
        <w:rPr>
          <w:rFonts w:ascii="Segoe UI" w:eastAsia="Times New Roman" w:hAnsi="Segoe UI" w:cs="Segoe UI"/>
          <w:sz w:val="22"/>
          <w:szCs w:val="22"/>
        </w:rPr>
        <w:t>cilta-cel</w:t>
      </w:r>
      <w:proofErr w:type="spellEnd"/>
      <w:r w:rsidR="007010C4" w:rsidRPr="002349C6">
        <w:rPr>
          <w:rFonts w:ascii="Segoe UI" w:eastAsia="Times New Roman" w:hAnsi="Segoe UI" w:cs="Segoe UI"/>
          <w:sz w:val="22"/>
          <w:szCs w:val="22"/>
        </w:rPr>
        <w:t xml:space="preserve"> represents </w:t>
      </w:r>
      <w:r w:rsidR="00C528B6" w:rsidRPr="002349C6">
        <w:rPr>
          <w:color w:val="000000"/>
          <w:spacing w:val="283"/>
          <w:shd w:val="solid" w:color="000000" w:fill="000000"/>
          <w:fitText w:val="380" w:id="-1230772990"/>
          <w14:textFill>
            <w14:solidFill>
              <w14:srgbClr w14:val="000000">
                <w14:alpha w14:val="100000"/>
              </w14:srgbClr>
            </w14:solidFill>
          </w14:textFill>
        </w:rPr>
        <w:t>|</w:t>
      </w:r>
      <w:r w:rsidR="00C528B6" w:rsidRPr="002349C6">
        <w:rPr>
          <w:color w:val="000000"/>
          <w:shd w:val="solid" w:color="000000" w:fill="000000"/>
          <w:fitText w:val="380" w:id="-1230772990"/>
          <w14:textFill>
            <w14:solidFill>
              <w14:srgbClr w14:val="000000">
                <w14:alpha w14:val="100000"/>
              </w14:srgbClr>
            </w14:solidFill>
          </w14:textFill>
        </w:rPr>
        <w:t>|</w:t>
      </w:r>
      <w:r w:rsidR="007010C4" w:rsidRPr="002349C6">
        <w:rPr>
          <w:rFonts w:ascii="Segoe UI" w:eastAsia="Times New Roman" w:hAnsi="Segoe UI" w:cs="Segoe UI"/>
          <w:sz w:val="22"/>
          <w:szCs w:val="22"/>
        </w:rPr>
        <w:t xml:space="preserve"> to </w:t>
      </w:r>
      <w:r w:rsidR="00C528B6" w:rsidRPr="002349C6">
        <w:rPr>
          <w:color w:val="000000"/>
          <w:spacing w:val="283"/>
          <w:shd w:val="solid" w:color="000000" w:fill="000000"/>
          <w:fitText w:val="380" w:id="-1230772989"/>
          <w14:textFill>
            <w14:solidFill>
              <w14:srgbClr w14:val="000000">
                <w14:alpha w14:val="100000"/>
              </w14:srgbClr>
            </w14:solidFill>
          </w14:textFill>
        </w:rPr>
        <w:t>|</w:t>
      </w:r>
      <w:r w:rsidR="00C528B6" w:rsidRPr="002349C6">
        <w:rPr>
          <w:color w:val="000000"/>
          <w:shd w:val="solid" w:color="000000" w:fill="000000"/>
          <w:fitText w:val="380" w:id="-1230772989"/>
          <w14:textFill>
            <w14:solidFill>
              <w14:srgbClr w14:val="000000">
                <w14:alpha w14:val="100000"/>
              </w14:srgbClr>
            </w14:solidFill>
          </w14:textFill>
        </w:rPr>
        <w:t>|</w:t>
      </w:r>
      <w:r w:rsidR="007010C4" w:rsidRPr="002349C6">
        <w:rPr>
          <w:rFonts w:ascii="Segoe UI" w:eastAsia="Times New Roman" w:hAnsi="Segoe UI" w:cs="Segoe UI"/>
          <w:sz w:val="22"/>
          <w:szCs w:val="22"/>
        </w:rPr>
        <w:t>-fold improvement over the median TTNT achieved with current 5L+ therapies, where median TTNT ranged from 3.3 to 5.6 months.</w:t>
      </w:r>
    </w:p>
    <w:p w14:paraId="4E535457" w14:textId="77777777" w:rsidR="007E35D6" w:rsidRPr="00906BB1" w:rsidRDefault="007E35D6" w:rsidP="001864E1">
      <w:pPr>
        <w:spacing w:after="0"/>
        <w:rPr>
          <w:rFonts w:ascii="Segoe UI" w:eastAsia="Times New Roman" w:hAnsi="Segoe UI" w:cs="Segoe UI"/>
          <w:sz w:val="22"/>
          <w:szCs w:val="22"/>
        </w:rPr>
      </w:pPr>
    </w:p>
    <w:p w14:paraId="79DF9E3F" w14:textId="77C009BB" w:rsidR="008907BF" w:rsidRPr="00A455C2" w:rsidRDefault="008907BF" w:rsidP="001864E1">
      <w:pPr>
        <w:spacing w:after="0" w:line="240" w:lineRule="auto"/>
        <w:rPr>
          <w:rFonts w:ascii="Segoe UI" w:eastAsia="Times New Roman" w:hAnsi="Segoe UI" w:cs="Segoe UI"/>
          <w:sz w:val="22"/>
          <w:szCs w:val="22"/>
        </w:rPr>
      </w:pPr>
      <w:r w:rsidRPr="00A455C2">
        <w:rPr>
          <w:rFonts w:ascii="Segoe UI" w:eastAsia="Times New Roman" w:hAnsi="Segoe UI" w:cs="Segoe UI"/>
          <w:i/>
          <w:iCs/>
          <w:sz w:val="22"/>
          <w:szCs w:val="22"/>
        </w:rPr>
        <w:t xml:space="preserve">Improved </w:t>
      </w:r>
      <w:proofErr w:type="spellStart"/>
      <w:r w:rsidRPr="00A455C2">
        <w:rPr>
          <w:rFonts w:ascii="Segoe UI" w:eastAsia="Times New Roman" w:hAnsi="Segoe UI" w:cs="Segoe UI"/>
          <w:i/>
          <w:iCs/>
          <w:sz w:val="22"/>
          <w:szCs w:val="22"/>
        </w:rPr>
        <w:t>HRQoL</w:t>
      </w:r>
      <w:proofErr w:type="spellEnd"/>
      <w:r w:rsidR="00447F60" w:rsidRPr="00A455C2">
        <w:rPr>
          <w:rFonts w:ascii="Segoe UI" w:eastAsia="Times New Roman" w:hAnsi="Segoe UI" w:cs="Segoe UI"/>
          <w:i/>
          <w:iCs/>
          <w:sz w:val="22"/>
          <w:szCs w:val="22"/>
        </w:rPr>
        <w:t xml:space="preserve"> -</w:t>
      </w:r>
      <w:r w:rsidRPr="00A455C2">
        <w:rPr>
          <w:rFonts w:ascii="Segoe UI" w:eastAsia="Times New Roman" w:hAnsi="Segoe UI" w:cs="Segoe UI"/>
          <w:sz w:val="22"/>
          <w:szCs w:val="22"/>
        </w:rPr>
        <w:t xml:space="preserve"> patients participating in </w:t>
      </w:r>
      <w:proofErr w:type="spellStart"/>
      <w:r w:rsidRPr="00A455C2">
        <w:rPr>
          <w:rFonts w:ascii="Segoe UI" w:eastAsia="Times New Roman" w:hAnsi="Segoe UI" w:cs="Segoe UI"/>
          <w:sz w:val="22"/>
          <w:szCs w:val="22"/>
        </w:rPr>
        <w:t>HRQoL</w:t>
      </w:r>
      <w:proofErr w:type="spellEnd"/>
      <w:r w:rsidRPr="00A455C2">
        <w:rPr>
          <w:rFonts w:ascii="Segoe UI" w:eastAsia="Times New Roman" w:hAnsi="Segoe UI" w:cs="Segoe UI"/>
          <w:sz w:val="22"/>
          <w:szCs w:val="22"/>
        </w:rPr>
        <w:t xml:space="preserve"> evaluations in CARTITUDE-1 </w:t>
      </w:r>
      <w:r w:rsidR="00A455C2" w:rsidRPr="00A455C2">
        <w:rPr>
          <w:rFonts w:ascii="Segoe UI" w:eastAsia="Times New Roman" w:hAnsi="Segoe UI" w:cs="Segoe UI"/>
          <w:sz w:val="22"/>
          <w:szCs w:val="22"/>
        </w:rPr>
        <w:t xml:space="preserve">reported improvement in EQ-5D-5L VAS and EORTC QLQ-C30 GHS outcomes over time and these improvements remained consistently and significantly higher for CARTITUDE-1 5L+ patients than </w:t>
      </w:r>
      <w:proofErr w:type="spellStart"/>
      <w:r w:rsidR="00A455C2" w:rsidRPr="00A455C2">
        <w:rPr>
          <w:rFonts w:ascii="Segoe UI" w:eastAsia="Times New Roman" w:hAnsi="Segoe UI" w:cs="Segoe UI"/>
          <w:sz w:val="22"/>
          <w:szCs w:val="22"/>
        </w:rPr>
        <w:t>LocoMMotion</w:t>
      </w:r>
      <w:proofErr w:type="spellEnd"/>
      <w:r w:rsidR="00A455C2" w:rsidRPr="00A455C2">
        <w:rPr>
          <w:rFonts w:ascii="Segoe UI" w:eastAsia="Times New Roman" w:hAnsi="Segoe UI" w:cs="Segoe UI"/>
          <w:sz w:val="22"/>
          <w:szCs w:val="22"/>
        </w:rPr>
        <w:t xml:space="preserve"> 5L+ patients from Day 0 to 520</w:t>
      </w:r>
      <w:r w:rsidR="00A455C2">
        <w:rPr>
          <w:rFonts w:ascii="Segoe UI" w:eastAsia="Times New Roman" w:hAnsi="Segoe UI" w:cs="Segoe UI"/>
          <w:sz w:val="22"/>
          <w:szCs w:val="22"/>
        </w:rPr>
        <w:t>.</w:t>
      </w:r>
    </w:p>
    <w:p w14:paraId="5E43896F" w14:textId="5FFC5205" w:rsidR="008907BF" w:rsidRDefault="008907BF" w:rsidP="001864E1">
      <w:pPr>
        <w:spacing w:after="0" w:line="240" w:lineRule="auto"/>
        <w:rPr>
          <w:rFonts w:ascii="Segoe UI" w:eastAsia="Times New Roman" w:hAnsi="Segoe UI" w:cs="Segoe UI"/>
          <w:sz w:val="22"/>
          <w:szCs w:val="22"/>
        </w:rPr>
      </w:pPr>
    </w:p>
    <w:p w14:paraId="438F41A7" w14:textId="21CE40AB" w:rsidR="00447F60" w:rsidRPr="00A455C2" w:rsidRDefault="00CE744F" w:rsidP="001864E1">
      <w:pPr>
        <w:spacing w:after="0" w:line="240" w:lineRule="auto"/>
        <w:rPr>
          <w:rFonts w:ascii="Segoe UI" w:eastAsia="Times New Roman" w:hAnsi="Segoe UI" w:cs="Segoe UI"/>
          <w:sz w:val="22"/>
          <w:szCs w:val="22"/>
        </w:rPr>
      </w:pPr>
      <w:r w:rsidRPr="00A455C2">
        <w:rPr>
          <w:rFonts w:ascii="Segoe UI" w:eastAsia="Times New Roman" w:hAnsi="Segoe UI" w:cs="Segoe UI"/>
          <w:i/>
          <w:iCs/>
          <w:sz w:val="22"/>
          <w:szCs w:val="22"/>
        </w:rPr>
        <w:lastRenderedPageBreak/>
        <w:t>Manageable safety profile</w:t>
      </w:r>
      <w:r w:rsidR="00447F60" w:rsidRPr="00A455C2">
        <w:rPr>
          <w:rFonts w:ascii="Segoe UI" w:eastAsia="Times New Roman" w:hAnsi="Segoe UI" w:cs="Segoe UI"/>
          <w:sz w:val="22"/>
          <w:szCs w:val="22"/>
        </w:rPr>
        <w:t xml:space="preserve"> -</w:t>
      </w:r>
      <w:r w:rsidRPr="00A455C2">
        <w:rPr>
          <w:rFonts w:ascii="Segoe UI" w:eastAsia="Times New Roman" w:hAnsi="Segoe UI" w:cs="Segoe UI"/>
          <w:sz w:val="22"/>
          <w:szCs w:val="22"/>
        </w:rPr>
        <w:t xml:space="preserve"> </w:t>
      </w:r>
      <w:r w:rsidR="008907BF" w:rsidRPr="00A455C2">
        <w:rPr>
          <w:rFonts w:ascii="Segoe UI" w:eastAsia="Times New Roman" w:hAnsi="Segoe UI" w:cs="Segoe UI"/>
          <w:sz w:val="22"/>
          <w:szCs w:val="22"/>
        </w:rPr>
        <w:t xml:space="preserve">CARTITUDE-1 also demonstrated that </w:t>
      </w:r>
      <w:proofErr w:type="spellStart"/>
      <w:r w:rsidR="008907BF" w:rsidRPr="00A455C2">
        <w:rPr>
          <w:rFonts w:ascii="Segoe UI" w:eastAsia="Times New Roman" w:hAnsi="Segoe UI" w:cs="Segoe UI"/>
          <w:sz w:val="22"/>
          <w:szCs w:val="22"/>
        </w:rPr>
        <w:t>cilta-cel</w:t>
      </w:r>
      <w:proofErr w:type="spellEnd"/>
      <w:r w:rsidR="008907BF" w:rsidRPr="00A455C2">
        <w:rPr>
          <w:rFonts w:ascii="Segoe UI" w:eastAsia="Times New Roman" w:hAnsi="Segoe UI" w:cs="Segoe UI"/>
          <w:sz w:val="22"/>
          <w:szCs w:val="22"/>
        </w:rPr>
        <w:t xml:space="preserve"> has a manageable safety </w:t>
      </w:r>
      <w:r w:rsidR="008907BF" w:rsidRPr="00D60F51">
        <w:rPr>
          <w:rFonts w:ascii="Segoe UI" w:eastAsia="Times New Roman" w:hAnsi="Segoe UI" w:cs="Segoe UI"/>
          <w:sz w:val="22"/>
          <w:szCs w:val="22"/>
        </w:rPr>
        <w:t xml:space="preserve">profile. </w:t>
      </w:r>
      <w:r w:rsidR="00447F60" w:rsidRPr="00D60F51">
        <w:rPr>
          <w:rFonts w:ascii="Segoe UI" w:eastAsia="Times New Roman" w:hAnsi="Segoe UI" w:cs="Segoe UI"/>
          <w:sz w:val="22"/>
          <w:szCs w:val="22"/>
        </w:rPr>
        <w:t>There was no difference in most safety outcomes between the September 2020 data cut submitted in the initial ADAR (median follow-up of 12.4 months) and the October 2022 database lock (median follow-up of 33.4 months), after an additional 21 months of follow-up. The proportion of patients reporting Treatment Emergent Adverse Events (TEAEs), serious TEAEs, and TEAEs having an outcome of death in the all-treated population was the same across the two timepoints, indicating that the frequency, type, and severity of TEAEs remained stable over time with minimal new onset AEs.</w:t>
      </w:r>
      <w:r w:rsidR="00447F60" w:rsidRPr="00A455C2">
        <w:rPr>
          <w:rFonts w:ascii="Segoe UI" w:eastAsia="Times New Roman" w:hAnsi="Segoe UI" w:cs="Segoe UI"/>
          <w:sz w:val="22"/>
          <w:szCs w:val="22"/>
        </w:rPr>
        <w:t xml:space="preserve">  This supports the benefit of one-off treatment with </w:t>
      </w:r>
      <w:proofErr w:type="spellStart"/>
      <w:r w:rsidR="00447F60" w:rsidRPr="00A455C2">
        <w:rPr>
          <w:rFonts w:ascii="Segoe UI" w:eastAsia="Times New Roman" w:hAnsi="Segoe UI" w:cs="Segoe UI"/>
          <w:sz w:val="22"/>
          <w:szCs w:val="22"/>
        </w:rPr>
        <w:t>cilta-cel</w:t>
      </w:r>
      <w:proofErr w:type="spellEnd"/>
      <w:r w:rsidR="00447F60" w:rsidRPr="00A455C2">
        <w:rPr>
          <w:rFonts w:ascii="Segoe UI" w:eastAsia="Times New Roman" w:hAnsi="Segoe UI" w:cs="Segoe UI"/>
          <w:sz w:val="22"/>
          <w:szCs w:val="22"/>
        </w:rPr>
        <w:t xml:space="preserve"> and a prolonged treatment-free interval whereby adverse events are likely to be limited to the early post-treatment phase.</w:t>
      </w:r>
    </w:p>
    <w:p w14:paraId="69D68C1E" w14:textId="497D59C3" w:rsidR="00447F60" w:rsidRPr="00A455C2" w:rsidRDefault="00447F60" w:rsidP="001864E1">
      <w:pPr>
        <w:spacing w:after="0" w:line="240" w:lineRule="auto"/>
        <w:rPr>
          <w:rFonts w:ascii="Segoe UI" w:eastAsia="Times New Roman" w:hAnsi="Segoe UI" w:cs="Segoe UI"/>
          <w:sz w:val="22"/>
          <w:szCs w:val="22"/>
        </w:rPr>
      </w:pPr>
      <w:r w:rsidRPr="00A455C2">
        <w:rPr>
          <w:rFonts w:ascii="Segoe UI" w:eastAsia="Times New Roman" w:hAnsi="Segoe UI" w:cs="Segoe UI"/>
          <w:sz w:val="22"/>
          <w:szCs w:val="22"/>
        </w:rPr>
        <w:t xml:space="preserve">Overall, the AEs observed in CARTITUDE-1 are considered manageable and consistent with the safety profile of CAR-T therapy. Adverse events may occur during the initial post-treatment period as opposed to an ongoing and cumulative basis as with current 5L+ RRMM therapies. </w:t>
      </w:r>
    </w:p>
    <w:p w14:paraId="1A7D0409" w14:textId="480A05D9" w:rsidR="00CE744F" w:rsidRPr="00906BB1" w:rsidRDefault="00CE744F" w:rsidP="001864E1">
      <w:pPr>
        <w:spacing w:after="0" w:line="240" w:lineRule="auto"/>
        <w:rPr>
          <w:rFonts w:ascii="Segoe UI" w:eastAsia="Times New Roman" w:hAnsi="Segoe UI" w:cs="Segoe UI"/>
          <w:sz w:val="22"/>
          <w:szCs w:val="22"/>
        </w:rPr>
      </w:pPr>
    </w:p>
    <w:p w14:paraId="41882BF1" w14:textId="77777777" w:rsidR="00407B82" w:rsidRPr="00407B82" w:rsidRDefault="00407B82" w:rsidP="001864E1">
      <w:pPr>
        <w:spacing w:after="0" w:line="240" w:lineRule="auto"/>
        <w:rPr>
          <w:rFonts w:asciiTheme="minorHAnsi" w:eastAsia="Times New Roman" w:hAnsiTheme="minorHAnsi" w:cs="Calibri"/>
          <w:color w:val="000000"/>
          <w:sz w:val="22"/>
          <w:szCs w:val="22"/>
        </w:rPr>
      </w:pPr>
    </w:p>
    <w:p w14:paraId="07D961A7" w14:textId="1452422F" w:rsidR="00407B82" w:rsidRPr="001864E1" w:rsidRDefault="00407B82" w:rsidP="00407B82">
      <w:pPr>
        <w:rPr>
          <w:rFonts w:ascii="Segoe UI" w:eastAsia="Times New Roman" w:hAnsi="Segoe UI"/>
          <w:b/>
          <w:color w:val="000000"/>
          <w:sz w:val="22"/>
        </w:rPr>
      </w:pPr>
      <w:r w:rsidRPr="00407B82">
        <w:rPr>
          <w:rFonts w:ascii="Segoe UI" w:eastAsia="Times New Roman" w:hAnsi="Segoe UI"/>
          <w:b/>
          <w:color w:val="000000"/>
          <w:sz w:val="22"/>
        </w:rPr>
        <w:t xml:space="preserve">Does the proposed health technology include a registered trademark component with characteristics that distinguishes it from other similar health components? </w:t>
      </w:r>
      <w:r w:rsidR="001864E1">
        <w:rPr>
          <w:rFonts w:ascii="Segoe UI" w:eastAsia="Times New Roman" w:hAnsi="Segoe UI"/>
          <w:b/>
          <w:color w:val="000000"/>
          <w:sz w:val="22"/>
        </w:rPr>
        <w:br/>
      </w:r>
      <w:r w:rsidRPr="001864E1">
        <w:rPr>
          <w:rFonts w:ascii="Segoe UI" w:eastAsia="Times New Roman" w:hAnsi="Segoe UI"/>
          <w:bCs/>
          <w:sz w:val="22"/>
        </w:rPr>
        <w:t>Yes</w:t>
      </w:r>
    </w:p>
    <w:p w14:paraId="3983F9B1" w14:textId="77777777" w:rsidR="00407B82" w:rsidRPr="00983BC1" w:rsidRDefault="00407B82" w:rsidP="00407B82">
      <w:pPr>
        <w:spacing w:after="0" w:line="240" w:lineRule="auto"/>
        <w:rPr>
          <w:rFonts w:ascii="Segoe UI" w:eastAsia="Times New Roman" w:hAnsi="Segoe UI"/>
          <w:b/>
          <w:color w:val="000000"/>
          <w:sz w:val="22"/>
        </w:rPr>
      </w:pPr>
      <w:bookmarkStart w:id="3" w:name="_Hlk136007288"/>
      <w:r w:rsidRPr="00407B82">
        <w:rPr>
          <w:rFonts w:ascii="Segoe UI" w:eastAsia="Times New Roman" w:hAnsi="Segoe UI"/>
          <w:b/>
          <w:color w:val="000000"/>
          <w:sz w:val="22"/>
        </w:rPr>
        <w:t xml:space="preserve">Explain whether it is essential to have this trademark component or whether there would </w:t>
      </w:r>
      <w:r w:rsidRPr="00983BC1">
        <w:rPr>
          <w:rFonts w:ascii="Segoe UI" w:eastAsia="Times New Roman" w:hAnsi="Segoe UI"/>
          <w:b/>
          <w:color w:val="000000"/>
          <w:sz w:val="22"/>
        </w:rPr>
        <w:t>be other components that would be suitable:</w:t>
      </w:r>
      <w:bookmarkEnd w:id="3"/>
    </w:p>
    <w:p w14:paraId="5992966F" w14:textId="370470E5" w:rsidR="0037188B" w:rsidRDefault="004735DF" w:rsidP="00246FB8">
      <w:pPr>
        <w:spacing w:after="0" w:line="240" w:lineRule="auto"/>
        <w:rPr>
          <w:rFonts w:ascii="Segoe UI" w:eastAsia="Times New Roman" w:hAnsi="Segoe UI" w:cs="Segoe UI"/>
          <w:sz w:val="22"/>
          <w:szCs w:val="22"/>
        </w:rPr>
      </w:pPr>
      <w:bookmarkStart w:id="4" w:name="_Hlk136007315"/>
      <w:proofErr w:type="spellStart"/>
      <w:r w:rsidRPr="004735DF">
        <w:rPr>
          <w:rFonts w:ascii="Segoe UI" w:eastAsia="Times New Roman" w:hAnsi="Segoe UI" w:cs="Segoe UI"/>
          <w:sz w:val="22"/>
          <w:szCs w:val="22"/>
        </w:rPr>
        <w:t>Cilta-cel</w:t>
      </w:r>
      <w:proofErr w:type="spellEnd"/>
      <w:r w:rsidRPr="004735DF">
        <w:rPr>
          <w:rFonts w:ascii="Segoe UI" w:eastAsia="Times New Roman" w:hAnsi="Segoe UI" w:cs="Segoe UI"/>
          <w:sz w:val="22"/>
          <w:szCs w:val="22"/>
        </w:rPr>
        <w:t xml:space="preserve"> (CARVYKTI</w:t>
      </w:r>
      <w:r w:rsidRPr="004735DF">
        <w:rPr>
          <w:rFonts w:ascii="Segoe UI" w:eastAsia="Times New Roman" w:hAnsi="Segoe UI" w:cs="Segoe UI"/>
          <w:sz w:val="22"/>
          <w:szCs w:val="22"/>
          <w:vertAlign w:val="superscript"/>
        </w:rPr>
        <w:t>®</w:t>
      </w:r>
      <w:r w:rsidRPr="004735DF">
        <w:rPr>
          <w:rFonts w:ascii="Segoe UI" w:eastAsia="Times New Roman" w:hAnsi="Segoe UI" w:cs="Segoe UI"/>
          <w:sz w:val="22"/>
          <w:szCs w:val="22"/>
        </w:rPr>
        <w:t xml:space="preserve">) was registered on the Australian Register of Therapeutic Goods (ARTG) on the </w:t>
      </w:r>
      <w:proofErr w:type="gramStart"/>
      <w:r w:rsidRPr="004735DF">
        <w:rPr>
          <w:rFonts w:ascii="Segoe UI" w:eastAsia="Times New Roman" w:hAnsi="Segoe UI" w:cs="Segoe UI"/>
          <w:sz w:val="22"/>
          <w:szCs w:val="22"/>
        </w:rPr>
        <w:t>6th</w:t>
      </w:r>
      <w:proofErr w:type="gramEnd"/>
      <w:r w:rsidRPr="004735DF">
        <w:rPr>
          <w:rFonts w:ascii="Segoe UI" w:eastAsia="Times New Roman" w:hAnsi="Segoe UI" w:cs="Segoe UI"/>
          <w:sz w:val="22"/>
          <w:szCs w:val="22"/>
        </w:rPr>
        <w:t xml:space="preserve"> June 2023. </w:t>
      </w:r>
      <w:proofErr w:type="spellStart"/>
      <w:r w:rsidRPr="004735DF">
        <w:rPr>
          <w:rFonts w:ascii="Segoe UI" w:eastAsia="Times New Roman" w:hAnsi="Segoe UI" w:cs="Segoe UI"/>
          <w:sz w:val="22"/>
          <w:szCs w:val="22"/>
        </w:rPr>
        <w:t>Cilta-cel</w:t>
      </w:r>
      <w:proofErr w:type="spellEnd"/>
      <w:r w:rsidRPr="004735DF">
        <w:rPr>
          <w:rFonts w:ascii="Segoe UI" w:eastAsia="Times New Roman" w:hAnsi="Segoe UI" w:cs="Segoe UI"/>
          <w:sz w:val="22"/>
          <w:szCs w:val="22"/>
        </w:rPr>
        <w:t xml:space="preserve"> was registered on the ARTG as a Class 4 biological (‘Cellular Therapies - T cells-</w:t>
      </w:r>
      <w:proofErr w:type="spellStart"/>
      <w:r w:rsidRPr="004735DF">
        <w:rPr>
          <w:rFonts w:ascii="Segoe UI" w:eastAsia="Times New Roman" w:hAnsi="Segoe UI" w:cs="Segoe UI"/>
          <w:sz w:val="22"/>
          <w:szCs w:val="22"/>
        </w:rPr>
        <w:t>Ciltacabtagene</w:t>
      </w:r>
      <w:proofErr w:type="spellEnd"/>
      <w:r w:rsidRPr="004735DF">
        <w:rPr>
          <w:rFonts w:ascii="Segoe UI" w:eastAsia="Times New Roman" w:hAnsi="Segoe UI" w:cs="Segoe UI"/>
          <w:sz w:val="22"/>
          <w:szCs w:val="22"/>
        </w:rPr>
        <w:t xml:space="preserve"> </w:t>
      </w:r>
      <w:proofErr w:type="spellStart"/>
      <w:r w:rsidRPr="004735DF">
        <w:rPr>
          <w:rFonts w:ascii="Segoe UI" w:eastAsia="Times New Roman" w:hAnsi="Segoe UI" w:cs="Segoe UI"/>
          <w:sz w:val="22"/>
          <w:szCs w:val="22"/>
        </w:rPr>
        <w:t>autoleucel</w:t>
      </w:r>
      <w:proofErr w:type="spellEnd"/>
      <w:r w:rsidRPr="004735DF">
        <w:rPr>
          <w:rFonts w:ascii="Segoe UI" w:eastAsia="Times New Roman" w:hAnsi="Segoe UI" w:cs="Segoe UI"/>
          <w:sz w:val="22"/>
          <w:szCs w:val="22"/>
        </w:rPr>
        <w:t>, cryopreserved-T-CARVYKTI - Janssen-</w:t>
      </w:r>
      <w:proofErr w:type="spellStart"/>
      <w:r w:rsidRPr="004735DF">
        <w:rPr>
          <w:rFonts w:ascii="Segoe UI" w:eastAsia="Times New Roman" w:hAnsi="Segoe UI" w:cs="Segoe UI"/>
          <w:sz w:val="22"/>
          <w:szCs w:val="22"/>
        </w:rPr>
        <w:t>Cilag</w:t>
      </w:r>
      <w:proofErr w:type="spellEnd"/>
      <w:r w:rsidRPr="004735DF">
        <w:rPr>
          <w:rFonts w:ascii="Segoe UI" w:eastAsia="Times New Roman" w:hAnsi="Segoe UI" w:cs="Segoe UI"/>
          <w:sz w:val="22"/>
          <w:szCs w:val="22"/>
        </w:rPr>
        <w:t xml:space="preserve"> Pty Ltd - Injection, intravenous infusion – </w:t>
      </w:r>
      <w:proofErr w:type="gramStart"/>
      <w:r w:rsidRPr="004735DF">
        <w:rPr>
          <w:rFonts w:ascii="Segoe UI" w:eastAsia="Times New Roman" w:hAnsi="Segoe UI" w:cs="Segoe UI"/>
          <w:sz w:val="22"/>
          <w:szCs w:val="22"/>
        </w:rPr>
        <w:t>Bag  and</w:t>
      </w:r>
      <w:proofErr w:type="gramEnd"/>
      <w:r w:rsidRPr="004735DF">
        <w:rPr>
          <w:rFonts w:ascii="Segoe UI" w:eastAsia="Times New Roman" w:hAnsi="Segoe UI" w:cs="Segoe UI"/>
          <w:sz w:val="22"/>
          <w:szCs w:val="22"/>
        </w:rPr>
        <w:t xml:space="preserve"> the AUST R 410143’).</w:t>
      </w:r>
    </w:p>
    <w:p w14:paraId="406BCD8B" w14:textId="77777777" w:rsidR="004735DF" w:rsidRPr="004735DF" w:rsidRDefault="004735DF" w:rsidP="00246FB8">
      <w:pPr>
        <w:spacing w:after="0" w:line="240" w:lineRule="auto"/>
        <w:rPr>
          <w:rFonts w:ascii="Segoe UI" w:eastAsia="Times New Roman" w:hAnsi="Segoe UI" w:cs="Segoe UI"/>
          <w:sz w:val="22"/>
          <w:szCs w:val="22"/>
          <w:highlight w:val="yellow"/>
        </w:rPr>
      </w:pPr>
    </w:p>
    <w:p w14:paraId="6E779E37" w14:textId="3E6F06E7" w:rsidR="00407B82" w:rsidRPr="004735DF" w:rsidRDefault="0037188B" w:rsidP="00246FB8">
      <w:pPr>
        <w:spacing w:after="0" w:line="240" w:lineRule="auto"/>
        <w:rPr>
          <w:rFonts w:ascii="Segoe UI" w:eastAsia="Times New Roman" w:hAnsi="Segoe UI" w:cs="Segoe UI"/>
          <w:sz w:val="22"/>
          <w:szCs w:val="22"/>
        </w:rPr>
      </w:pPr>
      <w:proofErr w:type="spellStart"/>
      <w:r w:rsidRPr="004735DF">
        <w:rPr>
          <w:rFonts w:ascii="Segoe UI" w:eastAsia="Times New Roman" w:hAnsi="Segoe UI" w:cs="Segoe UI"/>
          <w:sz w:val="22"/>
          <w:szCs w:val="22"/>
        </w:rPr>
        <w:t>Cilta-cel</w:t>
      </w:r>
      <w:proofErr w:type="spellEnd"/>
      <w:r w:rsidRPr="004735DF">
        <w:rPr>
          <w:rFonts w:ascii="Segoe UI" w:eastAsia="Times New Roman" w:hAnsi="Segoe UI" w:cs="Segoe UI"/>
          <w:sz w:val="22"/>
          <w:szCs w:val="22"/>
        </w:rPr>
        <w:t xml:space="preserve"> consists of autologous CAR-T cells designed to target the biomarker, B cell maturation antigen (BCMA) which is a type III membrane protein and a part of the tumour necrosis receptor superfamily. BCMA is stably expressed in malignant multiple myeloma plasma cells in almost all patients with MM. Expression of BCMA in non-malignant cells is minimal and limited to plasma cells and a small subset of B cells. BCMA also facilitates MM plasma cell survival. This BCMA target distinguishes it from other CAR-T products currently approved by MSAC (</w:t>
      </w:r>
      <w:proofErr w:type="spellStart"/>
      <w:r w:rsidRPr="004735DF">
        <w:rPr>
          <w:rFonts w:ascii="Segoe UI" w:eastAsia="Times New Roman" w:hAnsi="Segoe UI" w:cs="Segoe UI"/>
          <w:sz w:val="22"/>
          <w:szCs w:val="22"/>
        </w:rPr>
        <w:t>Yescarta</w:t>
      </w:r>
      <w:proofErr w:type="spellEnd"/>
      <w:r w:rsidRPr="004735DF">
        <w:rPr>
          <w:rFonts w:ascii="Segoe UI" w:eastAsia="Times New Roman" w:hAnsi="Segoe UI" w:cs="Segoe UI"/>
          <w:sz w:val="22"/>
          <w:szCs w:val="22"/>
          <w:vertAlign w:val="superscript"/>
        </w:rPr>
        <w:t>®</w:t>
      </w:r>
      <w:r w:rsidRPr="004735DF">
        <w:rPr>
          <w:rFonts w:ascii="Segoe UI" w:eastAsia="Times New Roman" w:hAnsi="Segoe UI" w:cs="Segoe UI"/>
          <w:sz w:val="22"/>
          <w:szCs w:val="22"/>
        </w:rPr>
        <w:t xml:space="preserve"> and Kymriah</w:t>
      </w:r>
      <w:r w:rsidRPr="004735DF">
        <w:rPr>
          <w:rFonts w:ascii="Segoe UI" w:eastAsia="Times New Roman" w:hAnsi="Segoe UI" w:cs="Segoe UI"/>
          <w:sz w:val="22"/>
          <w:szCs w:val="22"/>
          <w:vertAlign w:val="superscript"/>
        </w:rPr>
        <w:t>®</w:t>
      </w:r>
      <w:r w:rsidRPr="004735DF">
        <w:rPr>
          <w:rFonts w:ascii="Segoe UI" w:eastAsia="Times New Roman" w:hAnsi="Segoe UI" w:cs="Segoe UI"/>
          <w:sz w:val="22"/>
          <w:szCs w:val="22"/>
        </w:rPr>
        <w:t xml:space="preserve"> which target CD-19 in lymphomas).</w:t>
      </w:r>
    </w:p>
    <w:p w14:paraId="4468A635" w14:textId="77777777" w:rsidR="004735DF" w:rsidRPr="00983BC1" w:rsidRDefault="004735DF" w:rsidP="00C64270">
      <w:pPr>
        <w:spacing w:after="0" w:line="240" w:lineRule="auto"/>
        <w:jc w:val="both"/>
        <w:rPr>
          <w:rFonts w:asciiTheme="minorHAnsi" w:eastAsia="Times New Roman" w:hAnsiTheme="minorHAnsi" w:cs="Calibri"/>
          <w:color w:val="C00000"/>
          <w:sz w:val="22"/>
          <w:szCs w:val="22"/>
        </w:rPr>
      </w:pPr>
    </w:p>
    <w:bookmarkEnd w:id="4"/>
    <w:p w14:paraId="3D81A00E" w14:textId="19A94E25" w:rsidR="00407B82" w:rsidRPr="001864E1" w:rsidRDefault="00407B82" w:rsidP="00407B82">
      <w:pPr>
        <w:rPr>
          <w:rFonts w:ascii="Segoe UI" w:eastAsia="Times New Roman" w:hAnsi="Segoe UI"/>
          <w:bCs/>
          <w:color w:val="000000"/>
          <w:sz w:val="22"/>
        </w:rPr>
      </w:pPr>
      <w:r w:rsidRPr="00407B82">
        <w:rPr>
          <w:rFonts w:ascii="Segoe UI" w:eastAsia="Times New Roman" w:hAnsi="Segoe UI"/>
          <w:b/>
          <w:color w:val="000000"/>
          <w:sz w:val="22"/>
        </w:rPr>
        <w:t xml:space="preserve">Are there any proposed limitations on the provision of the proposed health technology delivered to the patient (For example: accessibility, dosage, quantity, </w:t>
      </w:r>
      <w:proofErr w:type="gramStart"/>
      <w:r w:rsidRPr="00407B82">
        <w:rPr>
          <w:rFonts w:ascii="Segoe UI" w:eastAsia="Times New Roman" w:hAnsi="Segoe UI"/>
          <w:b/>
          <w:color w:val="000000"/>
          <w:sz w:val="22"/>
        </w:rPr>
        <w:t>duration</w:t>
      </w:r>
      <w:proofErr w:type="gramEnd"/>
      <w:r w:rsidRPr="00407B82">
        <w:rPr>
          <w:rFonts w:ascii="Segoe UI" w:eastAsia="Times New Roman" w:hAnsi="Segoe UI"/>
          <w:b/>
          <w:color w:val="000000"/>
          <w:sz w:val="22"/>
        </w:rPr>
        <w:t xml:space="preserve"> or frequency)</w:t>
      </w:r>
      <w:r w:rsidR="001864E1">
        <w:rPr>
          <w:rFonts w:ascii="Segoe UI" w:eastAsia="Times New Roman" w:hAnsi="Segoe UI"/>
          <w:b/>
          <w:color w:val="000000"/>
          <w:sz w:val="22"/>
        </w:rPr>
        <w:t>:</w:t>
      </w:r>
      <w:r w:rsidR="001864E1">
        <w:rPr>
          <w:rFonts w:ascii="Segoe UI" w:eastAsia="Times New Roman" w:hAnsi="Segoe UI"/>
          <w:bCs/>
          <w:color w:val="000000"/>
          <w:sz w:val="22"/>
        </w:rPr>
        <w:br/>
      </w:r>
      <w:r w:rsidRPr="001864E1">
        <w:rPr>
          <w:rFonts w:ascii="Segoe UI" w:eastAsia="Times New Roman" w:hAnsi="Segoe UI"/>
          <w:bCs/>
          <w:sz w:val="22"/>
        </w:rPr>
        <w:t>Ye</w:t>
      </w:r>
      <w:r w:rsidR="001864E1" w:rsidRPr="001864E1">
        <w:rPr>
          <w:rFonts w:ascii="Segoe UI" w:eastAsia="Times New Roman" w:hAnsi="Segoe UI"/>
          <w:bCs/>
          <w:sz w:val="22"/>
        </w:rPr>
        <w:t>s</w:t>
      </w:r>
    </w:p>
    <w:p w14:paraId="1135D67C" w14:textId="7847F220" w:rsidR="0037188B" w:rsidRPr="001864E1" w:rsidRDefault="00407B82" w:rsidP="001864E1">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Provide details and explain:</w:t>
      </w:r>
      <w:r w:rsidR="001864E1">
        <w:rPr>
          <w:rFonts w:ascii="Segoe UI" w:eastAsia="Times New Roman" w:hAnsi="Segoe UI"/>
          <w:b/>
          <w:color w:val="000000"/>
          <w:sz w:val="22"/>
        </w:rPr>
        <w:br/>
      </w:r>
      <w:r w:rsidR="0037188B" w:rsidRPr="00966059">
        <w:rPr>
          <w:rFonts w:ascii="Segoe UI" w:eastAsia="Times New Roman" w:hAnsi="Segoe UI" w:cs="Segoe UI"/>
          <w:sz w:val="22"/>
          <w:szCs w:val="22"/>
        </w:rPr>
        <w:t>The following limitations are applied to the proposed medical service:</w:t>
      </w:r>
    </w:p>
    <w:p w14:paraId="597200D4" w14:textId="77777777" w:rsidR="0037188B" w:rsidRPr="00966059" w:rsidRDefault="0037188B" w:rsidP="001D373E">
      <w:pPr>
        <w:spacing w:before="120" w:after="240" w:line="240" w:lineRule="auto"/>
        <w:rPr>
          <w:rFonts w:ascii="Segoe UI" w:eastAsia="Times New Roman" w:hAnsi="Segoe UI" w:cs="Segoe UI"/>
          <w:sz w:val="22"/>
          <w:szCs w:val="22"/>
        </w:rPr>
      </w:pPr>
      <w:r w:rsidRPr="00966059">
        <w:rPr>
          <w:rFonts w:ascii="Segoe UI" w:eastAsia="Times New Roman" w:hAnsi="Segoe UI" w:cs="Segoe UI"/>
          <w:sz w:val="22"/>
          <w:szCs w:val="22"/>
        </w:rPr>
        <w:t xml:space="preserve">Dosing: </w:t>
      </w:r>
      <w:proofErr w:type="spellStart"/>
      <w:r w:rsidRPr="00966059">
        <w:rPr>
          <w:rFonts w:ascii="Segoe UI" w:eastAsia="Times New Roman" w:hAnsi="Segoe UI" w:cs="Segoe UI"/>
          <w:sz w:val="22"/>
          <w:szCs w:val="22"/>
        </w:rPr>
        <w:t>Cilta-cel</w:t>
      </w:r>
      <w:proofErr w:type="spellEnd"/>
      <w:r w:rsidRPr="00966059">
        <w:rPr>
          <w:rFonts w:ascii="Segoe UI" w:eastAsia="Times New Roman" w:hAnsi="Segoe UI" w:cs="Segoe UI"/>
          <w:sz w:val="22"/>
          <w:szCs w:val="22"/>
        </w:rPr>
        <w:t xml:space="preserve"> is to be administered as a single dose for infusion per patient containing a suspension of chimeric antigen receptor (CAR)-positive viable T-cells.  The dose is 0.5-1.0×10</w:t>
      </w:r>
      <w:r w:rsidRPr="00966059">
        <w:rPr>
          <w:rFonts w:ascii="Segoe UI" w:eastAsia="Times New Roman" w:hAnsi="Segoe UI" w:cs="Segoe UI"/>
          <w:sz w:val="22"/>
          <w:szCs w:val="22"/>
          <w:vertAlign w:val="superscript"/>
        </w:rPr>
        <w:t>6</w:t>
      </w:r>
      <w:r w:rsidRPr="00966059">
        <w:rPr>
          <w:rFonts w:ascii="Segoe UI" w:eastAsia="Times New Roman" w:hAnsi="Segoe UI" w:cs="Segoe UI"/>
          <w:sz w:val="22"/>
          <w:szCs w:val="22"/>
        </w:rPr>
        <w:t xml:space="preserve"> CAR-positive viable T-cells per kg of body weight, with a maximum dose of 1×10</w:t>
      </w:r>
      <w:r w:rsidRPr="00966059">
        <w:rPr>
          <w:rFonts w:ascii="Segoe UI" w:eastAsia="Times New Roman" w:hAnsi="Segoe UI" w:cs="Segoe UI"/>
          <w:sz w:val="22"/>
          <w:szCs w:val="22"/>
          <w:vertAlign w:val="superscript"/>
        </w:rPr>
        <w:t xml:space="preserve">8 </w:t>
      </w:r>
      <w:r w:rsidRPr="00966059">
        <w:rPr>
          <w:rFonts w:ascii="Segoe UI" w:eastAsia="Times New Roman" w:hAnsi="Segoe UI" w:cs="Segoe UI"/>
          <w:sz w:val="22"/>
          <w:szCs w:val="22"/>
        </w:rPr>
        <w:t xml:space="preserve">CAR-positive viable T-cells per single infusion. The infusion should be given 5 to 7 days after the start of the lymphodepleting regimen. </w:t>
      </w:r>
    </w:p>
    <w:p w14:paraId="1853B750" w14:textId="0BA9D508" w:rsidR="00AE1498" w:rsidRPr="00966059" w:rsidRDefault="0037188B" w:rsidP="001D373E">
      <w:pPr>
        <w:spacing w:before="120" w:after="240" w:line="240" w:lineRule="auto"/>
        <w:rPr>
          <w:rFonts w:ascii="Segoe UI" w:eastAsia="Times New Roman" w:hAnsi="Segoe UI" w:cs="Segoe UI"/>
          <w:sz w:val="22"/>
          <w:szCs w:val="22"/>
        </w:rPr>
      </w:pPr>
      <w:r w:rsidRPr="00966059">
        <w:rPr>
          <w:rFonts w:ascii="Segoe UI" w:eastAsia="Times New Roman" w:hAnsi="Segoe UI" w:cs="Segoe UI"/>
          <w:sz w:val="22"/>
          <w:szCs w:val="22"/>
        </w:rPr>
        <w:lastRenderedPageBreak/>
        <w:t xml:space="preserve">Number of CAR-T treatments in a lifetime: </w:t>
      </w:r>
      <w:r w:rsidR="00AE1498" w:rsidRPr="00966059">
        <w:rPr>
          <w:rFonts w:ascii="Segoe UI" w:eastAsia="Times New Roman" w:hAnsi="Segoe UI" w:cs="Segoe UI"/>
          <w:sz w:val="22"/>
          <w:szCs w:val="22"/>
        </w:rPr>
        <w:t xml:space="preserve">Consistent with other CAR-Ts considered by MSAC, it is proposed that the use of </w:t>
      </w:r>
      <w:proofErr w:type="spellStart"/>
      <w:r w:rsidR="00AE1498" w:rsidRPr="00966059">
        <w:rPr>
          <w:rFonts w:ascii="Segoe UI" w:eastAsia="Times New Roman" w:hAnsi="Segoe UI" w:cs="Segoe UI"/>
          <w:sz w:val="22"/>
          <w:szCs w:val="22"/>
        </w:rPr>
        <w:t>cilta-cel</w:t>
      </w:r>
      <w:proofErr w:type="spellEnd"/>
      <w:r w:rsidR="00AE1498" w:rsidRPr="00966059">
        <w:rPr>
          <w:rFonts w:ascii="Segoe UI" w:eastAsia="Times New Roman" w:hAnsi="Segoe UI" w:cs="Segoe UI"/>
          <w:sz w:val="22"/>
          <w:szCs w:val="22"/>
        </w:rPr>
        <w:t xml:space="preserve"> will be limited to one successful infusion per lifetime (</w:t>
      </w:r>
      <w:r w:rsidR="00AB4C54">
        <w:rPr>
          <w:rFonts w:ascii="Segoe UI" w:eastAsia="Times New Roman" w:hAnsi="Segoe UI" w:cs="Segoe UI"/>
          <w:sz w:val="22"/>
          <w:szCs w:val="22"/>
        </w:rPr>
        <w:t>a</w:t>
      </w:r>
      <w:r w:rsidR="00AB4C54" w:rsidRPr="00AB4C54">
        <w:rPr>
          <w:rFonts w:ascii="Segoe UI" w:eastAsia="Times New Roman" w:hAnsi="Segoe UI" w:cs="Segoe UI"/>
          <w:sz w:val="22"/>
          <w:szCs w:val="22"/>
        </w:rPr>
        <w:t xml:space="preserve"> successful infusion is when the patient with RRMM has been infused with the optimal </w:t>
      </w:r>
      <w:proofErr w:type="spellStart"/>
      <w:r w:rsidR="00AB4C54" w:rsidRPr="00AB4C54">
        <w:rPr>
          <w:rFonts w:ascii="Segoe UI" w:eastAsia="Times New Roman" w:hAnsi="Segoe UI" w:cs="Segoe UI"/>
          <w:sz w:val="22"/>
          <w:szCs w:val="22"/>
        </w:rPr>
        <w:t>cilta-cel</w:t>
      </w:r>
      <w:proofErr w:type="spellEnd"/>
      <w:r w:rsidR="00AB4C54" w:rsidRPr="00AB4C54">
        <w:rPr>
          <w:rFonts w:ascii="Segoe UI" w:eastAsia="Times New Roman" w:hAnsi="Segoe UI" w:cs="Segoe UI"/>
          <w:sz w:val="22"/>
          <w:szCs w:val="22"/>
        </w:rPr>
        <w:t xml:space="preserve"> dosage as per the TGA recommend dose</w:t>
      </w:r>
      <w:r w:rsidR="00AE1498" w:rsidRPr="00966059">
        <w:rPr>
          <w:rFonts w:ascii="Segoe UI" w:eastAsia="Times New Roman" w:hAnsi="Segoe UI" w:cs="Segoe UI"/>
          <w:sz w:val="22"/>
          <w:szCs w:val="22"/>
        </w:rPr>
        <w:t>).</w:t>
      </w:r>
    </w:p>
    <w:p w14:paraId="7E3F2A64" w14:textId="62895579" w:rsidR="0037188B" w:rsidRPr="00966059" w:rsidRDefault="0037188B" w:rsidP="001D373E">
      <w:pPr>
        <w:spacing w:before="120" w:after="240" w:line="240" w:lineRule="auto"/>
        <w:rPr>
          <w:rFonts w:ascii="Segoe UI" w:eastAsia="Times New Roman" w:hAnsi="Segoe UI" w:cs="Segoe UI"/>
          <w:sz w:val="22"/>
          <w:szCs w:val="22"/>
        </w:rPr>
      </w:pPr>
      <w:r w:rsidRPr="00966059">
        <w:rPr>
          <w:rFonts w:ascii="Segoe UI" w:eastAsia="Times New Roman" w:hAnsi="Segoe UI" w:cs="Segoe UI"/>
          <w:sz w:val="22"/>
          <w:szCs w:val="22"/>
        </w:rPr>
        <w:t xml:space="preserve">Prescriber: </w:t>
      </w:r>
      <w:proofErr w:type="spellStart"/>
      <w:r w:rsidR="00AE1498" w:rsidRPr="00966059">
        <w:rPr>
          <w:rFonts w:ascii="Segoe UI" w:eastAsia="Times New Roman" w:hAnsi="Segoe UI" w:cs="Segoe UI"/>
          <w:sz w:val="22"/>
          <w:szCs w:val="22"/>
        </w:rPr>
        <w:t>Cilta-cel</w:t>
      </w:r>
      <w:proofErr w:type="spellEnd"/>
      <w:r w:rsidR="00AE1498" w:rsidRPr="00966059">
        <w:rPr>
          <w:rFonts w:ascii="Segoe UI" w:eastAsia="Times New Roman" w:hAnsi="Segoe UI" w:cs="Segoe UI"/>
          <w:sz w:val="22"/>
          <w:szCs w:val="22"/>
        </w:rPr>
        <w:t xml:space="preserve"> will be prescribed and delivered by </w:t>
      </w:r>
      <w:r w:rsidR="00AB4C54" w:rsidRPr="00AB4C54">
        <w:rPr>
          <w:rFonts w:ascii="Segoe UI" w:eastAsia="Times New Roman" w:hAnsi="Segoe UI" w:cs="Segoe UI"/>
          <w:sz w:val="22"/>
          <w:szCs w:val="22"/>
        </w:rPr>
        <w:t>healthcare professional</w:t>
      </w:r>
      <w:r w:rsidR="00AB4C54">
        <w:rPr>
          <w:rFonts w:ascii="Segoe UI" w:eastAsia="Times New Roman" w:hAnsi="Segoe UI" w:cs="Segoe UI"/>
          <w:sz w:val="22"/>
          <w:szCs w:val="22"/>
        </w:rPr>
        <w:t xml:space="preserve">s </w:t>
      </w:r>
      <w:r w:rsidR="00AE1498" w:rsidRPr="00966059">
        <w:rPr>
          <w:rFonts w:ascii="Segoe UI" w:eastAsia="Times New Roman" w:hAnsi="Segoe UI" w:cs="Segoe UI"/>
          <w:sz w:val="22"/>
          <w:szCs w:val="22"/>
        </w:rPr>
        <w:t>experienced in the treatment of haematological malignancies (i.e., MM) in selected accredited treatment centres</w:t>
      </w:r>
      <w:r w:rsidR="00E30D0D" w:rsidRPr="00E30D0D">
        <w:rPr>
          <w:rFonts w:ascii="Segoe UI" w:eastAsia="Times New Roman" w:hAnsi="Segoe UI" w:cs="Segoe UI"/>
          <w:sz w:val="22"/>
          <w:szCs w:val="22"/>
        </w:rPr>
        <w:t xml:space="preserve"> </w:t>
      </w:r>
      <w:r w:rsidR="00E30D0D">
        <w:rPr>
          <w:rFonts w:ascii="Segoe UI" w:eastAsia="Times New Roman" w:hAnsi="Segoe UI" w:cs="Segoe UI"/>
          <w:sz w:val="22"/>
          <w:szCs w:val="22"/>
        </w:rPr>
        <w:t>who are</w:t>
      </w:r>
      <w:r w:rsidR="00E30D0D" w:rsidRPr="00AB4C54">
        <w:rPr>
          <w:rFonts w:ascii="Segoe UI" w:eastAsia="Times New Roman" w:hAnsi="Segoe UI" w:cs="Segoe UI"/>
          <w:sz w:val="22"/>
          <w:szCs w:val="22"/>
        </w:rPr>
        <w:t xml:space="preserve"> trained for administration and</w:t>
      </w:r>
      <w:r w:rsidR="00E30D0D">
        <w:rPr>
          <w:rFonts w:ascii="Segoe UI" w:eastAsia="Times New Roman" w:hAnsi="Segoe UI" w:cs="Segoe UI"/>
          <w:sz w:val="22"/>
          <w:szCs w:val="22"/>
        </w:rPr>
        <w:t xml:space="preserve"> </w:t>
      </w:r>
      <w:r w:rsidR="00E30D0D" w:rsidRPr="00AB4C54">
        <w:rPr>
          <w:rFonts w:ascii="Segoe UI" w:eastAsia="Times New Roman" w:hAnsi="Segoe UI" w:cs="Segoe UI"/>
          <w:sz w:val="22"/>
          <w:szCs w:val="22"/>
        </w:rPr>
        <w:t xml:space="preserve">management of patients treated with </w:t>
      </w:r>
      <w:proofErr w:type="spellStart"/>
      <w:r w:rsidR="00E30D0D">
        <w:rPr>
          <w:rFonts w:ascii="Segoe UI" w:eastAsia="Times New Roman" w:hAnsi="Segoe UI" w:cs="Segoe UI"/>
          <w:sz w:val="22"/>
          <w:szCs w:val="22"/>
        </w:rPr>
        <w:t>cilta-cel</w:t>
      </w:r>
      <w:proofErr w:type="spellEnd"/>
      <w:r w:rsidR="00AE1498" w:rsidRPr="00966059">
        <w:rPr>
          <w:rFonts w:ascii="Segoe UI" w:eastAsia="Times New Roman" w:hAnsi="Segoe UI" w:cs="Segoe UI"/>
          <w:sz w:val="22"/>
          <w:szCs w:val="22"/>
        </w:rPr>
        <w:t>.</w:t>
      </w:r>
    </w:p>
    <w:p w14:paraId="22C1497B" w14:textId="12967680" w:rsidR="00407B82" w:rsidRPr="00966059" w:rsidRDefault="0037188B" w:rsidP="001D373E">
      <w:pPr>
        <w:spacing w:before="120" w:after="240" w:line="240" w:lineRule="auto"/>
        <w:rPr>
          <w:rFonts w:asciiTheme="minorHAnsi" w:eastAsia="Times New Roman" w:hAnsiTheme="minorHAnsi" w:cs="Calibri"/>
          <w:sz w:val="22"/>
          <w:szCs w:val="22"/>
        </w:rPr>
      </w:pPr>
      <w:r w:rsidRPr="00966059">
        <w:rPr>
          <w:rFonts w:ascii="Segoe UI" w:eastAsia="Times New Roman" w:hAnsi="Segoe UI" w:cs="Segoe UI"/>
          <w:sz w:val="22"/>
          <w:szCs w:val="22"/>
        </w:rPr>
        <w:t xml:space="preserve">Treatment centre: </w:t>
      </w:r>
      <w:r w:rsidR="00AE1498" w:rsidRPr="00966059">
        <w:rPr>
          <w:rFonts w:ascii="Segoe UI" w:eastAsia="Times New Roman" w:hAnsi="Segoe UI" w:cs="Segoe UI"/>
          <w:sz w:val="22"/>
          <w:szCs w:val="22"/>
        </w:rPr>
        <w:t xml:space="preserve">Treatment with </w:t>
      </w:r>
      <w:proofErr w:type="spellStart"/>
      <w:r w:rsidR="00AE1498" w:rsidRPr="00966059">
        <w:rPr>
          <w:rFonts w:ascii="Segoe UI" w:eastAsia="Times New Roman" w:hAnsi="Segoe UI" w:cs="Segoe UI"/>
          <w:sz w:val="22"/>
          <w:szCs w:val="22"/>
        </w:rPr>
        <w:t>cilta-cel</w:t>
      </w:r>
      <w:proofErr w:type="spellEnd"/>
      <w:r w:rsidR="00AE1498" w:rsidRPr="00966059">
        <w:rPr>
          <w:rFonts w:ascii="Segoe UI" w:eastAsia="Times New Roman" w:hAnsi="Segoe UI" w:cs="Segoe UI"/>
          <w:sz w:val="22"/>
          <w:szCs w:val="22"/>
        </w:rPr>
        <w:t xml:space="preserve"> initially is likely to be limited to a small number of key specialist public hospital centres across the Australian states and territories. Several hospitals are currently trial centres for </w:t>
      </w:r>
      <w:proofErr w:type="spellStart"/>
      <w:r w:rsidR="00AE1498" w:rsidRPr="00966059">
        <w:rPr>
          <w:rFonts w:ascii="Segoe UI" w:eastAsia="Times New Roman" w:hAnsi="Segoe UI" w:cs="Segoe UI"/>
          <w:sz w:val="22"/>
          <w:szCs w:val="22"/>
        </w:rPr>
        <w:t>cilta-cel</w:t>
      </w:r>
      <w:proofErr w:type="spellEnd"/>
      <w:r w:rsidR="00AE1498" w:rsidRPr="00966059">
        <w:rPr>
          <w:rFonts w:ascii="Segoe UI" w:eastAsia="Times New Roman" w:hAnsi="Segoe UI" w:cs="Segoe UI"/>
          <w:sz w:val="22"/>
          <w:szCs w:val="22"/>
        </w:rPr>
        <w:t xml:space="preserve"> and three of these are also delivering Kymriah</w:t>
      </w:r>
      <w:r w:rsidR="00AE1498" w:rsidRPr="00966059">
        <w:rPr>
          <w:rFonts w:ascii="Segoe UI" w:eastAsia="Times New Roman" w:hAnsi="Segoe UI" w:cs="Segoe UI"/>
          <w:sz w:val="22"/>
          <w:szCs w:val="22"/>
          <w:vertAlign w:val="superscript"/>
        </w:rPr>
        <w:t>®</w:t>
      </w:r>
      <w:r w:rsidR="00AE1498" w:rsidRPr="00966059">
        <w:rPr>
          <w:rFonts w:ascii="Segoe UI" w:eastAsia="Times New Roman" w:hAnsi="Segoe UI" w:cs="Segoe UI"/>
          <w:sz w:val="22"/>
          <w:szCs w:val="22"/>
        </w:rPr>
        <w:t>, and thus would have relevant clinical experience and protocols for delivering this medical service.</w:t>
      </w:r>
    </w:p>
    <w:p w14:paraId="6C2CB47F" w14:textId="77777777" w:rsidR="00407B82" w:rsidRPr="00407B82" w:rsidRDefault="00407B82" w:rsidP="001D373E">
      <w:pPr>
        <w:spacing w:after="0" w:line="240" w:lineRule="auto"/>
        <w:rPr>
          <w:rFonts w:asciiTheme="minorHAnsi" w:eastAsia="Times New Roman" w:hAnsiTheme="minorHAnsi" w:cs="Calibri"/>
          <w:color w:val="000000"/>
          <w:sz w:val="22"/>
          <w:szCs w:val="22"/>
        </w:rPr>
      </w:pPr>
    </w:p>
    <w:p w14:paraId="0A154A8D" w14:textId="77777777" w:rsidR="00407B82" w:rsidRPr="00407B82" w:rsidRDefault="00407B82" w:rsidP="001D373E">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If applicable, advise which health professionals will be needed to provide the proposed health technology:</w:t>
      </w:r>
    </w:p>
    <w:p w14:paraId="55800600" w14:textId="7B20A650" w:rsidR="00407B82" w:rsidRPr="00441E81" w:rsidRDefault="003265B4" w:rsidP="00246FB8">
      <w:pPr>
        <w:spacing w:after="240" w:line="240" w:lineRule="auto"/>
        <w:rPr>
          <w:rFonts w:asciiTheme="minorHAnsi" w:eastAsia="Times New Roman" w:hAnsiTheme="minorHAnsi" w:cs="Calibri"/>
          <w:sz w:val="22"/>
          <w:szCs w:val="22"/>
        </w:rPr>
      </w:pPr>
      <w:r w:rsidRPr="00CE2948">
        <w:rPr>
          <w:rFonts w:ascii="Segoe UI" w:eastAsia="Times New Roman" w:hAnsi="Segoe UI" w:cs="Segoe UI"/>
          <w:sz w:val="22"/>
          <w:szCs w:val="22"/>
        </w:rPr>
        <w:t xml:space="preserve">Infusion of </w:t>
      </w:r>
      <w:proofErr w:type="spellStart"/>
      <w:r w:rsidRPr="00CE2948">
        <w:rPr>
          <w:rFonts w:ascii="Segoe UI" w:eastAsia="Times New Roman" w:hAnsi="Segoe UI" w:cs="Segoe UI"/>
          <w:sz w:val="22"/>
          <w:szCs w:val="22"/>
        </w:rPr>
        <w:t>cilta-cel</w:t>
      </w:r>
      <w:proofErr w:type="spellEnd"/>
      <w:r w:rsidRPr="00CE2948">
        <w:rPr>
          <w:rFonts w:ascii="Segoe UI" w:eastAsia="Times New Roman" w:hAnsi="Segoe UI" w:cs="Segoe UI"/>
          <w:sz w:val="22"/>
          <w:szCs w:val="22"/>
        </w:rPr>
        <w:t xml:space="preserve"> will be delivered by a nurse and supervised by a haematologist in a hospital setting. This is consistent with the administration of the currently approved CAR-T therapies, </w:t>
      </w:r>
      <w:proofErr w:type="spellStart"/>
      <w:r w:rsidRPr="00CE2948">
        <w:rPr>
          <w:rFonts w:ascii="Segoe UI" w:eastAsia="Times New Roman" w:hAnsi="Segoe UI" w:cs="Segoe UI"/>
          <w:sz w:val="22"/>
          <w:szCs w:val="22"/>
        </w:rPr>
        <w:t>Yescarta</w:t>
      </w:r>
      <w:proofErr w:type="spellEnd"/>
      <w:r w:rsidRPr="0050049F">
        <w:rPr>
          <w:rFonts w:ascii="Segoe UI" w:eastAsia="Times New Roman" w:hAnsi="Segoe UI" w:cs="Segoe UI"/>
          <w:sz w:val="22"/>
          <w:szCs w:val="22"/>
          <w:vertAlign w:val="superscript"/>
        </w:rPr>
        <w:t>®</w:t>
      </w:r>
      <w:r w:rsidRPr="00CE2948">
        <w:rPr>
          <w:rFonts w:ascii="Segoe UI" w:eastAsia="Times New Roman" w:hAnsi="Segoe UI" w:cs="Segoe UI"/>
          <w:sz w:val="22"/>
          <w:szCs w:val="22"/>
        </w:rPr>
        <w:t xml:space="preserve"> and Kymriah</w:t>
      </w:r>
      <w:r w:rsidRPr="0050049F">
        <w:rPr>
          <w:rFonts w:ascii="Segoe UI" w:eastAsia="Times New Roman" w:hAnsi="Segoe UI" w:cs="Segoe UI"/>
          <w:sz w:val="22"/>
          <w:szCs w:val="22"/>
          <w:vertAlign w:val="superscript"/>
        </w:rPr>
        <w:t>®</w:t>
      </w:r>
      <w:r w:rsidRPr="00CE2948">
        <w:rPr>
          <w:rFonts w:ascii="Segoe UI" w:eastAsia="Times New Roman" w:hAnsi="Segoe UI" w:cs="Segoe UI"/>
          <w:sz w:val="22"/>
          <w:szCs w:val="22"/>
        </w:rPr>
        <w:t>.</w:t>
      </w:r>
    </w:p>
    <w:p w14:paraId="2B73170D" w14:textId="77777777" w:rsidR="00407B82" w:rsidRPr="00407B82" w:rsidRDefault="00407B82" w:rsidP="001D373E">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If applicable, advise whether delivery of the proposed health technology can be delegated to another health professional:</w:t>
      </w:r>
    </w:p>
    <w:p w14:paraId="3544F3F6" w14:textId="345072F5" w:rsidR="00407B82" w:rsidRPr="00CE2948" w:rsidRDefault="003265B4" w:rsidP="00246FB8">
      <w:pPr>
        <w:spacing w:after="240" w:line="240" w:lineRule="auto"/>
        <w:rPr>
          <w:rFonts w:asciiTheme="minorHAnsi" w:eastAsia="Times New Roman" w:hAnsiTheme="minorHAnsi" w:cs="Calibri"/>
          <w:sz w:val="22"/>
          <w:szCs w:val="22"/>
        </w:rPr>
      </w:pPr>
      <w:r w:rsidRPr="00CE2948">
        <w:rPr>
          <w:rFonts w:ascii="Segoe UI" w:eastAsia="Times New Roman" w:hAnsi="Segoe UI" w:cs="Segoe UI"/>
          <w:sz w:val="22"/>
          <w:szCs w:val="22"/>
        </w:rPr>
        <w:t>It is not appropriate for this medical service to be delegated to another professional for delivery.</w:t>
      </w:r>
    </w:p>
    <w:p w14:paraId="314FFE22" w14:textId="77777777" w:rsidR="00407B82" w:rsidRPr="00407B82" w:rsidRDefault="00407B82" w:rsidP="001D373E">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If applicable, advise if there are any limitations on which health professionals might provide a referral for the proposed health technology:</w:t>
      </w:r>
    </w:p>
    <w:p w14:paraId="6E3ED92A" w14:textId="6C1A2D19" w:rsidR="00A06EEA" w:rsidRPr="00CE2948" w:rsidRDefault="00A06EEA" w:rsidP="00246FB8">
      <w:pPr>
        <w:spacing w:after="240" w:line="240" w:lineRule="auto"/>
        <w:rPr>
          <w:rFonts w:ascii="Segoe UI" w:eastAsia="Times New Roman" w:hAnsi="Segoe UI" w:cs="Segoe UI"/>
          <w:sz w:val="22"/>
          <w:szCs w:val="22"/>
        </w:rPr>
      </w:pPr>
      <w:r w:rsidRPr="00CE2948">
        <w:rPr>
          <w:rFonts w:ascii="Segoe UI" w:eastAsia="Times New Roman" w:hAnsi="Segoe UI" w:cs="Segoe UI"/>
          <w:sz w:val="22"/>
          <w:szCs w:val="22"/>
        </w:rPr>
        <w:t xml:space="preserve">Patient selection and referral decisions will be determined by institution, </w:t>
      </w:r>
      <w:proofErr w:type="gramStart"/>
      <w:r w:rsidRPr="00CE2948">
        <w:rPr>
          <w:rFonts w:ascii="Segoe UI" w:eastAsia="Times New Roman" w:hAnsi="Segoe UI" w:cs="Segoe UI"/>
          <w:sz w:val="22"/>
          <w:szCs w:val="22"/>
        </w:rPr>
        <w:t>state</w:t>
      </w:r>
      <w:proofErr w:type="gramEnd"/>
      <w:r w:rsidRPr="00CE2948">
        <w:rPr>
          <w:rFonts w:ascii="Segoe UI" w:eastAsia="Times New Roman" w:hAnsi="Segoe UI" w:cs="Segoe UI"/>
          <w:sz w:val="22"/>
          <w:szCs w:val="22"/>
        </w:rPr>
        <w:t xml:space="preserve"> and National </w:t>
      </w:r>
      <w:proofErr w:type="spellStart"/>
      <w:r w:rsidRPr="00CE2948">
        <w:rPr>
          <w:rFonts w:ascii="Segoe UI" w:eastAsia="Times New Roman" w:hAnsi="Segoe UI" w:cs="Segoe UI"/>
          <w:sz w:val="22"/>
          <w:szCs w:val="22"/>
        </w:rPr>
        <w:t>Multi Disciplinary</w:t>
      </w:r>
      <w:proofErr w:type="spellEnd"/>
      <w:r w:rsidRPr="00CE2948">
        <w:rPr>
          <w:rFonts w:ascii="Segoe UI" w:eastAsia="Times New Roman" w:hAnsi="Segoe UI" w:cs="Segoe UI"/>
          <w:sz w:val="22"/>
          <w:szCs w:val="22"/>
        </w:rPr>
        <w:t xml:space="preserve"> Teams (MDT) which will ensure suitable patients who can tolerate CAR-T therapy are identified and prioritised for treatment. </w:t>
      </w:r>
    </w:p>
    <w:p w14:paraId="49B94A6F" w14:textId="1FBAF25B" w:rsidR="00407B82" w:rsidRPr="00CE2948" w:rsidRDefault="00A06EEA" w:rsidP="001D373E">
      <w:pPr>
        <w:spacing w:before="120" w:after="240" w:line="240" w:lineRule="auto"/>
        <w:rPr>
          <w:rFonts w:ascii="Segoe UI" w:eastAsia="Times New Roman" w:hAnsi="Segoe UI" w:cs="Segoe UI"/>
          <w:sz w:val="22"/>
          <w:szCs w:val="22"/>
        </w:rPr>
      </w:pPr>
      <w:r w:rsidRPr="00CE2948">
        <w:rPr>
          <w:rFonts w:ascii="Segoe UI" w:eastAsia="Times New Roman" w:hAnsi="Segoe UI" w:cs="Segoe UI"/>
          <w:sz w:val="22"/>
          <w:szCs w:val="22"/>
        </w:rPr>
        <w:t>Patient eligibility for CAR-T will be discussed at Standard Tumour Stream multidisciplinary team (MDT) meetings. After this a national CAR-T patient prioritisation meeting will occur with the MDT. These meetings may include CAR-T specialists (including tumour stream leads), national treating and referring centre clinical representatives, CAR-T fellows, CART nurse consultants, research nurses, apheresis nurses, cell logistics project managers and the CAR-T program managers.</w:t>
      </w:r>
    </w:p>
    <w:p w14:paraId="61F03E49" w14:textId="7AA73A68" w:rsidR="00CE2948" w:rsidRPr="00CE2948" w:rsidRDefault="00CE2948" w:rsidP="001D373E">
      <w:pPr>
        <w:spacing w:before="120" w:after="240" w:line="240" w:lineRule="auto"/>
        <w:rPr>
          <w:rFonts w:ascii="Segoe UI" w:eastAsia="Times New Roman" w:hAnsi="Segoe UI" w:cs="Segoe UI"/>
          <w:sz w:val="22"/>
          <w:szCs w:val="22"/>
        </w:rPr>
      </w:pPr>
      <w:r w:rsidRPr="00CE2948">
        <w:rPr>
          <w:rFonts w:ascii="Segoe UI" w:eastAsia="Times New Roman" w:hAnsi="Segoe UI" w:cs="Segoe UI"/>
          <w:sz w:val="22"/>
          <w:szCs w:val="22"/>
        </w:rPr>
        <w:t>This level of decision making and consideration by MDTs</w:t>
      </w:r>
      <w:r>
        <w:rPr>
          <w:rFonts w:ascii="Segoe UI" w:eastAsia="Times New Roman" w:hAnsi="Segoe UI" w:cs="Segoe UI"/>
          <w:sz w:val="22"/>
          <w:szCs w:val="22"/>
        </w:rPr>
        <w:t xml:space="preserve">, as well as appropriately defined eligibility criteria for </w:t>
      </w:r>
      <w:proofErr w:type="spellStart"/>
      <w:r>
        <w:rPr>
          <w:rFonts w:ascii="Segoe UI" w:eastAsia="Times New Roman" w:hAnsi="Segoe UI" w:cs="Segoe UI"/>
          <w:sz w:val="22"/>
          <w:szCs w:val="22"/>
        </w:rPr>
        <w:t>cilta-cel</w:t>
      </w:r>
      <w:proofErr w:type="spellEnd"/>
      <w:r>
        <w:rPr>
          <w:rFonts w:ascii="Segoe UI" w:eastAsia="Times New Roman" w:hAnsi="Segoe UI" w:cs="Segoe UI"/>
          <w:sz w:val="22"/>
          <w:szCs w:val="22"/>
        </w:rPr>
        <w:t xml:space="preserve"> under NHRA funding</w:t>
      </w:r>
      <w:r w:rsidRPr="00CE2948">
        <w:rPr>
          <w:rFonts w:ascii="Segoe UI" w:eastAsia="Times New Roman" w:hAnsi="Segoe UI" w:cs="Segoe UI"/>
          <w:sz w:val="22"/>
          <w:szCs w:val="22"/>
        </w:rPr>
        <w:t xml:space="preserve"> will lead to better patient selection and achievement of optimal patient outcomes aligned to those seen in CARTITUDE-1.</w:t>
      </w:r>
    </w:p>
    <w:p w14:paraId="37B8F52A" w14:textId="4C63016B" w:rsidR="00407B82" w:rsidRPr="00407B82" w:rsidRDefault="00407B82" w:rsidP="001D373E">
      <w:pPr>
        <w:rPr>
          <w:rFonts w:ascii="Segoe UI" w:eastAsia="Times New Roman" w:hAnsi="Segoe UI"/>
          <w:bCs/>
          <w:color w:val="000000"/>
          <w:sz w:val="22"/>
        </w:rPr>
      </w:pPr>
      <w:r w:rsidRPr="00407B82">
        <w:rPr>
          <w:rFonts w:ascii="Segoe UI" w:eastAsia="Times New Roman" w:hAnsi="Segoe UI"/>
          <w:b/>
          <w:color w:val="000000"/>
          <w:sz w:val="22"/>
        </w:rPr>
        <w:t xml:space="preserve">Is there specific training or qualifications required to provide or deliver the proposed service, and/or any accreditation requirements to support delivery of the health technology? </w:t>
      </w:r>
      <w:r w:rsidR="001864E1">
        <w:rPr>
          <w:rFonts w:ascii="Segoe UI" w:eastAsia="Times New Roman" w:hAnsi="Segoe UI"/>
          <w:bCs/>
          <w:color w:val="000000"/>
          <w:sz w:val="22"/>
        </w:rPr>
        <w:br/>
      </w:r>
      <w:r w:rsidRPr="001864E1">
        <w:rPr>
          <w:rFonts w:ascii="Segoe UI" w:eastAsia="Times New Roman" w:hAnsi="Segoe UI"/>
          <w:bCs/>
          <w:sz w:val="22"/>
        </w:rPr>
        <w:t>Yes</w:t>
      </w:r>
      <w:r w:rsidRPr="00407B82">
        <w:rPr>
          <w:rFonts w:ascii="Segoe UI" w:eastAsia="Times New Roman" w:hAnsi="Segoe UI"/>
          <w:bCs/>
          <w:color w:val="000000"/>
          <w:sz w:val="22"/>
        </w:rPr>
        <w:tab/>
      </w:r>
    </w:p>
    <w:p w14:paraId="4DA22B44" w14:textId="77777777" w:rsidR="00407B82" w:rsidRPr="00407B82" w:rsidRDefault="00407B82" w:rsidP="00407B82">
      <w:pPr>
        <w:rPr>
          <w:rFonts w:eastAsia="Times New Roman"/>
        </w:rPr>
      </w:pPr>
    </w:p>
    <w:p w14:paraId="3486F796" w14:textId="77777777" w:rsidR="00246FB8" w:rsidRDefault="00246FB8">
      <w:pPr>
        <w:rPr>
          <w:rFonts w:ascii="Segoe UI" w:eastAsia="Times New Roman" w:hAnsi="Segoe UI"/>
          <w:b/>
          <w:color w:val="000000"/>
          <w:sz w:val="22"/>
        </w:rPr>
      </w:pPr>
      <w:r>
        <w:rPr>
          <w:rFonts w:ascii="Segoe UI" w:eastAsia="Times New Roman" w:hAnsi="Segoe UI"/>
          <w:b/>
          <w:color w:val="000000"/>
          <w:sz w:val="22"/>
        </w:rPr>
        <w:lastRenderedPageBreak/>
        <w:br w:type="page"/>
      </w:r>
    </w:p>
    <w:p w14:paraId="6162B5D4" w14:textId="10980F13" w:rsid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Provide details and explain:</w:t>
      </w:r>
    </w:p>
    <w:p w14:paraId="6522F326" w14:textId="77777777" w:rsidR="0062612E" w:rsidRPr="004735DF" w:rsidRDefault="0062612E" w:rsidP="0062612E">
      <w:pPr>
        <w:spacing w:after="0"/>
        <w:jc w:val="both"/>
        <w:rPr>
          <w:rFonts w:ascii="Segoe UI" w:eastAsia="Times New Roman" w:hAnsi="Segoe UI" w:cs="Segoe UI"/>
          <w:i/>
          <w:iCs/>
          <w:sz w:val="22"/>
          <w:szCs w:val="22"/>
        </w:rPr>
      </w:pPr>
      <w:r w:rsidRPr="3ECFCDF0">
        <w:rPr>
          <w:rFonts w:ascii="Segoe UI" w:eastAsia="Times New Roman" w:hAnsi="Segoe UI" w:cs="Segoe UI"/>
          <w:i/>
          <w:iCs/>
          <w:sz w:val="22"/>
          <w:szCs w:val="22"/>
        </w:rPr>
        <w:t>Accreditation</w:t>
      </w:r>
    </w:p>
    <w:p w14:paraId="636DF06A" w14:textId="7EAE395D" w:rsidR="00484A36" w:rsidRPr="001D373E" w:rsidRDefault="00484A36" w:rsidP="00484A36">
      <w:pPr>
        <w:spacing w:after="0"/>
        <w:rPr>
          <w:color w:val="000000"/>
          <w:w w:val="93"/>
          <w:shd w:val="solid" w:color="000000" w:fill="000000"/>
          <w14:textFill>
            <w14:solidFill>
              <w14:srgbClr w14:val="000000">
                <w14:alpha w14:val="100000"/>
              </w14:srgbClr>
            </w14:solidFill>
          </w14:textFill>
        </w:rPr>
      </w:pPr>
      <w:r w:rsidRPr="00246FB8">
        <w:rPr>
          <w:color w:val="000000"/>
          <w:w w:val="15"/>
          <w:shd w:val="solid" w:color="000000" w:fill="000000"/>
          <w:fitText w:val="8347" w:id="-1230764544"/>
          <w14:textFill>
            <w14:solidFill>
              <w14:srgbClr w14:val="000000">
                <w14:alpha w14:val="100000"/>
              </w14:srgbClr>
            </w14:solidFill>
          </w14:textFill>
        </w:rPr>
        <w:t xml:space="preserve">|||                                                                                                                                                                                                                                                                                                                                                                                                                                                                                                                                                                                                                                                                                                                                                                                                                                                                                                                                                                                                                                                                                                                                                                    </w:t>
      </w:r>
      <w:r w:rsidRPr="00246FB8">
        <w:rPr>
          <w:color w:val="000000"/>
          <w:spacing w:val="-1825"/>
          <w:w w:val="15"/>
          <w:shd w:val="solid" w:color="000000" w:fill="000000"/>
          <w:fitText w:val="8347" w:id="-1230764544"/>
          <w14:textFill>
            <w14:solidFill>
              <w14:srgbClr w14:val="000000">
                <w14:alpha w14:val="100000"/>
              </w14:srgbClr>
            </w14:solidFill>
          </w14:textFill>
        </w:rPr>
        <w:t xml:space="preserve"> </w:t>
      </w:r>
      <w:r w:rsidRPr="001D373E">
        <w:rPr>
          <w:color w:val="000000"/>
          <w:shd w:val="solid" w:color="000000" w:fill="000000"/>
          <w14:textFill>
            <w14:solidFill>
              <w14:srgbClr w14:val="000000">
                <w14:alpha w14:val="100000"/>
              </w14:srgbClr>
            </w14:solidFill>
          </w14:textFill>
        </w:rPr>
        <w:t xml:space="preserve">  </w:t>
      </w:r>
      <w:r w:rsidRPr="00246FB8">
        <w:rPr>
          <w:color w:val="000000"/>
          <w:w w:val="15"/>
          <w:shd w:val="solid" w:color="000000" w:fill="000000"/>
          <w:fitText w:val="8347" w:id="-1230764797"/>
          <w14:textFill>
            <w14:solidFill>
              <w14:srgbClr w14:val="000000">
                <w14:alpha w14:val="100000"/>
              </w14:srgbClr>
            </w14:solidFill>
          </w14:textFill>
        </w:rPr>
        <w:t xml:space="preserve">|||                                                                                                                                                                                                                                                                                                                                                                                                                                                                                                                                                                                                                                                                                                                                                                                                                                                                                                                                                                                                                                                                                                                                                               </w:t>
      </w:r>
      <w:r w:rsidRPr="00246FB8">
        <w:rPr>
          <w:color w:val="000000"/>
          <w:spacing w:val="-1780"/>
          <w:w w:val="15"/>
          <w:shd w:val="solid" w:color="000000" w:fill="000000"/>
          <w:fitText w:val="8347" w:id="-1230764797"/>
          <w14:textFill>
            <w14:solidFill>
              <w14:srgbClr w14:val="000000">
                <w14:alpha w14:val="100000"/>
              </w14:srgbClr>
            </w14:solidFill>
          </w14:textFill>
        </w:rPr>
        <w:t xml:space="preserve"> </w:t>
      </w:r>
    </w:p>
    <w:p w14:paraId="0BACF02C" w14:textId="0CDEC9B9" w:rsidR="00484A36" w:rsidRPr="00AE34D7" w:rsidRDefault="00484A36" w:rsidP="00484A36">
      <w:pPr>
        <w:spacing w:after="0"/>
        <w:rPr>
          <w:color w:val="000000"/>
          <w:w w:val="15"/>
          <w:shd w:val="solid" w:color="000000" w:fill="000000"/>
          <w14:textFill>
            <w14:solidFill>
              <w14:srgbClr w14:val="000000">
                <w14:alpha w14:val="100000"/>
              </w14:srgbClr>
            </w14:solidFill>
          </w14:textFill>
        </w:rPr>
      </w:pPr>
      <w:r w:rsidRPr="00246FB8">
        <w:rPr>
          <w:color w:val="000000"/>
          <w:w w:val="15"/>
          <w:shd w:val="solid" w:color="000000" w:fill="000000"/>
          <w:fitText w:val="380" w:id="-1230764791"/>
          <w14:textFill>
            <w14:solidFill>
              <w14:srgbClr w14:val="000000">
                <w14:alpha w14:val="100000"/>
              </w14:srgbClr>
            </w14:solidFill>
          </w14:textFill>
        </w:rPr>
        <w:t>|                                                                                                                                                                                                                                                                                                                                                                                                                                                                                                                                                                                                                                                                                                                                                                                                                                                                                                                              ||</w:t>
      </w:r>
      <w:r w:rsidRPr="00246FB8">
        <w:rPr>
          <w:color w:val="000000"/>
          <w:spacing w:val="-7715"/>
          <w:w w:val="15"/>
          <w:shd w:val="solid" w:color="000000" w:fill="000000"/>
          <w:fitText w:val="380" w:id="-1230764791"/>
          <w14:textFill>
            <w14:solidFill>
              <w14:srgbClr w14:val="000000">
                <w14:alpha w14:val="100000"/>
              </w14:srgbClr>
            </w14:solidFill>
          </w14:textFill>
        </w:rPr>
        <w:t>|</w:t>
      </w:r>
      <w:r w:rsidRPr="00AE34D7">
        <w:rPr>
          <w:color w:val="000000"/>
          <w:w w:val="15"/>
          <w:shd w:val="solid" w:color="000000" w:fill="000000"/>
          <w14:textFill>
            <w14:solidFill>
              <w14:srgbClr w14:val="000000">
                <w14:alpha w14:val="100000"/>
              </w14:srgbClr>
            </w14:solidFill>
          </w14:textFill>
        </w:rPr>
        <w:t xml:space="preserve">|||||||||||       </w:t>
      </w:r>
      <w:r w:rsidR="00A2318B" w:rsidRPr="00246FB8">
        <w:rPr>
          <w:color w:val="000000"/>
          <w:w w:val="15"/>
          <w:shd w:val="solid" w:color="000000" w:fill="000000"/>
          <w:fitText w:val="8347" w:id="-1230764288"/>
          <w14:textFill>
            <w14:solidFill>
              <w14:srgbClr w14:val="000000">
                <w14:alpha w14:val="100000"/>
              </w14:srgbClr>
            </w14:solidFill>
          </w14:textFill>
        </w:rPr>
        <w:t xml:space="preserve">|||                                                                                                                                                                                                                                                                                                                                                                                                                                                                                                                                                                                                                                                                                                                                                                                                                                                                                                                                                                                                                                                                                                                                                                    </w:t>
      </w:r>
      <w:r w:rsidR="00A2318B" w:rsidRPr="00246FB8">
        <w:rPr>
          <w:color w:val="000000"/>
          <w:spacing w:val="-1825"/>
          <w:w w:val="15"/>
          <w:shd w:val="solid" w:color="000000" w:fill="000000"/>
          <w:fitText w:val="8347" w:id="-1230764288"/>
          <w14:textFill>
            <w14:solidFill>
              <w14:srgbClr w14:val="000000">
                <w14:alpha w14:val="100000"/>
              </w14:srgbClr>
            </w14:solidFill>
          </w14:textFill>
        </w:rPr>
        <w:t xml:space="preserve"> </w:t>
      </w:r>
      <w:r w:rsidR="00A2318B" w:rsidRPr="00484A36">
        <w:rPr>
          <w:color w:val="000000"/>
          <w:shd w:val="solid" w:color="000000" w:fill="000000"/>
          <w14:textFill>
            <w14:solidFill>
              <w14:srgbClr w14:val="000000">
                <w14:alpha w14:val="100000"/>
              </w14:srgbClr>
            </w14:solidFill>
          </w14:textFill>
        </w:rPr>
        <w:t xml:space="preserve">  </w:t>
      </w:r>
      <w:r w:rsidR="00A2318B" w:rsidRPr="00246FB8">
        <w:rPr>
          <w:color w:val="000000"/>
          <w:w w:val="15"/>
          <w:shd w:val="solid" w:color="000000" w:fill="000000"/>
          <w:fitText w:val="8347" w:id="-1230764287"/>
          <w14:textFill>
            <w14:solidFill>
              <w14:srgbClr w14:val="000000">
                <w14:alpha w14:val="100000"/>
              </w14:srgbClr>
            </w14:solidFill>
          </w14:textFill>
        </w:rPr>
        <w:t xml:space="preserve">|||                                                                                                                                                                                                                                                                                                                                                                                                                                                                                                                                                                                                                                                                                                                                                                                                                                                                                                                                                                                                                                                                                                                                                                    </w:t>
      </w:r>
      <w:r w:rsidR="00A2318B" w:rsidRPr="00246FB8">
        <w:rPr>
          <w:color w:val="000000"/>
          <w:spacing w:val="-1825"/>
          <w:w w:val="15"/>
          <w:shd w:val="solid" w:color="000000" w:fill="000000"/>
          <w:fitText w:val="8347" w:id="-1230764287"/>
          <w14:textFill>
            <w14:solidFill>
              <w14:srgbClr w14:val="000000">
                <w14:alpha w14:val="100000"/>
              </w14:srgbClr>
            </w14:solidFill>
          </w14:textFill>
        </w:rPr>
        <w:t xml:space="preserve"> </w:t>
      </w:r>
      <w:r w:rsidR="00A2318B" w:rsidRPr="00484A36">
        <w:rPr>
          <w:color w:val="000000"/>
          <w:shd w:val="solid" w:color="000000" w:fill="000000"/>
          <w14:textFill>
            <w14:solidFill>
              <w14:srgbClr w14:val="000000">
                <w14:alpha w14:val="100000"/>
              </w14:srgbClr>
            </w14:solidFill>
          </w14:textFill>
        </w:rPr>
        <w:t xml:space="preserve">       </w:t>
      </w:r>
      <w:r w:rsidR="00A2318B" w:rsidRPr="00246FB8">
        <w:rPr>
          <w:color w:val="000000"/>
          <w:w w:val="15"/>
          <w:shd w:val="solid" w:color="000000" w:fill="000000"/>
          <w:fitText w:val="8347" w:id="-1230764286"/>
          <w14:textFill>
            <w14:solidFill>
              <w14:srgbClr w14:val="000000">
                <w14:alpha w14:val="100000"/>
              </w14:srgbClr>
            </w14:solidFill>
          </w14:textFill>
        </w:rPr>
        <w:t xml:space="preserve">|                                                                                                                                                                                                                                                                                                                                                                                                                                                                                                                                                                                                                                                                                                                                                                                                                                                                                                                                                                                                                                                                                                                                                                    </w:t>
      </w:r>
      <w:r w:rsidR="00A2318B" w:rsidRPr="00246FB8">
        <w:rPr>
          <w:color w:val="000000"/>
          <w:spacing w:val="-1811"/>
          <w:w w:val="15"/>
          <w:shd w:val="solid" w:color="000000" w:fill="000000"/>
          <w:fitText w:val="8347" w:id="-1230764286"/>
          <w14:textFill>
            <w14:solidFill>
              <w14:srgbClr w14:val="000000">
                <w14:alpha w14:val="100000"/>
              </w14:srgbClr>
            </w14:solidFill>
          </w14:textFill>
        </w:rPr>
        <w:t xml:space="preserve"> </w:t>
      </w:r>
      <w:r w:rsidR="00A2318B" w:rsidRPr="00484A36">
        <w:rPr>
          <w:color w:val="000000"/>
          <w:shd w:val="solid" w:color="000000" w:fill="000000"/>
          <w14:textFill>
            <w14:solidFill>
              <w14:srgbClr w14:val="000000">
                <w14:alpha w14:val="100000"/>
              </w14:srgbClr>
            </w14:solidFill>
          </w14:textFill>
        </w:rPr>
        <w:t xml:space="preserve">  </w:t>
      </w:r>
      <w:r w:rsidR="00A2318B" w:rsidRPr="00246FB8">
        <w:rPr>
          <w:color w:val="000000"/>
          <w:w w:val="15"/>
          <w:shd w:val="solid" w:color="000000" w:fill="000000"/>
          <w:fitText w:val="8347" w:id="-1230764285"/>
          <w14:textFill>
            <w14:solidFill>
              <w14:srgbClr w14:val="000000">
                <w14:alpha w14:val="100000"/>
              </w14:srgbClr>
            </w14:solidFill>
          </w14:textFill>
        </w:rPr>
        <w:t xml:space="preserve">|||                                                                                                                                                                                                                                                                                                                                                                                                                                                                                                                                                                                                                                                                                                                                                                                                                                                                                                                                                                                                                                                                                                                                                                    </w:t>
      </w:r>
      <w:r w:rsidR="00A2318B" w:rsidRPr="00246FB8">
        <w:rPr>
          <w:color w:val="000000"/>
          <w:spacing w:val="-1825"/>
          <w:w w:val="15"/>
          <w:shd w:val="solid" w:color="000000" w:fill="000000"/>
          <w:fitText w:val="8347" w:id="-1230764285"/>
          <w14:textFill>
            <w14:solidFill>
              <w14:srgbClr w14:val="000000">
                <w14:alpha w14:val="100000"/>
              </w14:srgbClr>
            </w14:solidFill>
          </w14:textFill>
        </w:rPr>
        <w:t xml:space="preserve"> </w:t>
      </w:r>
      <w:r w:rsidR="00A2318B" w:rsidRPr="00484A36">
        <w:rPr>
          <w:color w:val="000000"/>
          <w:shd w:val="solid" w:color="000000" w:fill="000000"/>
          <w14:textFill>
            <w14:solidFill>
              <w14:srgbClr w14:val="000000">
                <w14:alpha w14:val="100000"/>
              </w14:srgbClr>
            </w14:solidFill>
          </w14:textFill>
        </w:rPr>
        <w:t xml:space="preserve">                       </w:t>
      </w:r>
      <w:r w:rsidRPr="00AE34D7">
        <w:rPr>
          <w:color w:val="000000"/>
          <w:w w:val="15"/>
          <w:shd w:val="solid" w:color="000000" w:fill="000000"/>
          <w14:textFill>
            <w14:solidFill>
              <w14:srgbClr w14:val="000000">
                <w14:alpha w14:val="100000"/>
              </w14:srgbClr>
            </w14:solidFill>
          </w14:textFill>
        </w:rPr>
        <w:t xml:space="preserve">                                                                     </w:t>
      </w:r>
    </w:p>
    <w:p w14:paraId="3316559A" w14:textId="7DC97CA7" w:rsidR="002D29C3" w:rsidRPr="00484A36" w:rsidRDefault="00484A36" w:rsidP="00484A36">
      <w:pPr>
        <w:rPr>
          <w:rFonts w:ascii="Segoe UI" w:eastAsia="Times New Roman" w:hAnsi="Segoe UI" w:cs="Segoe UI"/>
          <w:color w:val="4472C4" w:themeColor="accent1"/>
          <w:sz w:val="22"/>
          <w:szCs w:val="22"/>
        </w:rPr>
      </w:pPr>
      <w:r w:rsidRPr="00484A36">
        <w:rPr>
          <w:color w:val="000000"/>
          <w:w w:val="15"/>
          <w:shd w:val="solid" w:color="000000" w:fill="000000"/>
          <w14:textFill>
            <w14:solidFill>
              <w14:srgbClr w14:val="000000">
                <w14:alpha w14:val="100000"/>
              </w14:srgbClr>
            </w14:solidFill>
          </w14:textFill>
        </w:rPr>
        <w:t xml:space="preserve">|  </w:t>
      </w:r>
    </w:p>
    <w:p w14:paraId="6EF4A4C6" w14:textId="77777777" w:rsidR="00164B45" w:rsidRDefault="00164B45" w:rsidP="00164B45">
      <w:pPr>
        <w:spacing w:after="0"/>
        <w:jc w:val="both"/>
        <w:rPr>
          <w:rFonts w:ascii="Segoe UI" w:eastAsia="Times New Roman" w:hAnsi="Segoe UI" w:cs="Segoe UI"/>
          <w:i/>
          <w:iCs/>
          <w:sz w:val="22"/>
          <w:szCs w:val="22"/>
        </w:rPr>
      </w:pPr>
      <w:r w:rsidRPr="00D60F51">
        <w:rPr>
          <w:rFonts w:ascii="Segoe UI" w:eastAsia="Times New Roman" w:hAnsi="Segoe UI" w:cs="Segoe UI"/>
          <w:i/>
          <w:iCs/>
          <w:sz w:val="22"/>
          <w:szCs w:val="22"/>
        </w:rPr>
        <w:t>Training</w:t>
      </w:r>
    </w:p>
    <w:p w14:paraId="2434B0B2" w14:textId="5D48B6EF" w:rsidR="00A2318B" w:rsidRDefault="00A2318B" w:rsidP="00164B45">
      <w:pPr>
        <w:spacing w:after="0"/>
        <w:jc w:val="both"/>
        <w:rPr>
          <w:rFonts w:ascii="Segoe UI" w:eastAsia="Times New Roman" w:hAnsi="Segoe UI" w:cs="Segoe UI"/>
          <w:i/>
          <w:iCs/>
          <w:sz w:val="22"/>
          <w:szCs w:val="22"/>
        </w:rPr>
      </w:pPr>
      <w:r w:rsidRPr="00246FB8">
        <w:rPr>
          <w:color w:val="000000"/>
          <w:w w:val="15"/>
          <w:shd w:val="solid" w:color="000000" w:fill="000000"/>
          <w:fitText w:val="8347" w:id="-1230764282"/>
          <w14:textFill>
            <w14:solidFill>
              <w14:srgbClr w14:val="000000">
                <w14:alpha w14:val="100000"/>
              </w14:srgbClr>
            </w14:solidFill>
          </w14:textFill>
        </w:rPr>
        <w:t xml:space="preserve">|||                                                                                                                                                                                                                                                                                                                                                                                                                                                                                                                                                                                                                                                                                                                                                                                                                                                                                                                                                                                                                                                                                                                                                                    </w:t>
      </w:r>
      <w:r w:rsidRPr="00246FB8">
        <w:rPr>
          <w:color w:val="000000"/>
          <w:spacing w:val="-1825"/>
          <w:w w:val="15"/>
          <w:shd w:val="solid" w:color="000000" w:fill="000000"/>
          <w:fitText w:val="8347" w:id="-1230764282"/>
          <w14:textFill>
            <w14:solidFill>
              <w14:srgbClr w14:val="000000">
                <w14:alpha w14:val="100000"/>
              </w14:srgbClr>
            </w14:solidFill>
          </w14:textFill>
        </w:rPr>
        <w:t xml:space="preserve"> </w:t>
      </w:r>
      <w:r w:rsidRPr="00484A36">
        <w:rPr>
          <w:color w:val="000000"/>
          <w:shd w:val="solid" w:color="000000" w:fill="000000"/>
          <w14:textFill>
            <w14:solidFill>
              <w14:srgbClr w14:val="000000">
                <w14:alpha w14:val="100000"/>
              </w14:srgbClr>
            </w14:solidFill>
          </w14:textFill>
        </w:rPr>
        <w:t xml:space="preserve">  </w:t>
      </w:r>
      <w:r w:rsidRPr="00246FB8">
        <w:rPr>
          <w:color w:val="000000"/>
          <w:w w:val="15"/>
          <w:shd w:val="solid" w:color="000000" w:fill="000000"/>
          <w:fitText w:val="8347" w:id="-1230764281"/>
          <w14:textFill>
            <w14:solidFill>
              <w14:srgbClr w14:val="000000">
                <w14:alpha w14:val="100000"/>
              </w14:srgbClr>
            </w14:solidFill>
          </w14:textFill>
        </w:rPr>
        <w:t xml:space="preserve">|||                                                                                                                                                                                                                                                                                                                                                                                                                                                                                                                                                                                                                                                                                                                                                                                                                                                                                                                                                                                                                                                                                                                                                                    </w:t>
      </w:r>
      <w:r w:rsidRPr="00246FB8">
        <w:rPr>
          <w:color w:val="000000"/>
          <w:spacing w:val="-1825"/>
          <w:w w:val="15"/>
          <w:shd w:val="solid" w:color="000000" w:fill="000000"/>
          <w:fitText w:val="8347" w:id="-1230764281"/>
          <w14:textFill>
            <w14:solidFill>
              <w14:srgbClr w14:val="000000">
                <w14:alpha w14:val="100000"/>
              </w14:srgbClr>
            </w14:solidFill>
          </w14:textFill>
        </w:rPr>
        <w:t xml:space="preserve"> </w:t>
      </w:r>
      <w:r w:rsidRPr="00484A36">
        <w:rPr>
          <w:color w:val="000000"/>
          <w:shd w:val="solid" w:color="000000" w:fill="000000"/>
          <w14:textFill>
            <w14:solidFill>
              <w14:srgbClr w14:val="000000">
                <w14:alpha w14:val="100000"/>
              </w14:srgbClr>
            </w14:solidFill>
          </w14:textFill>
        </w:rPr>
        <w:t xml:space="preserve">                       </w:t>
      </w:r>
    </w:p>
    <w:p w14:paraId="416B6ADA" w14:textId="77777777" w:rsidR="00A2318B" w:rsidRDefault="00A2318B" w:rsidP="00164B45">
      <w:pPr>
        <w:spacing w:after="0"/>
        <w:jc w:val="both"/>
        <w:rPr>
          <w:color w:val="000000"/>
          <w:shd w:val="solid" w:color="000000" w:fill="000000"/>
          <w14:textFill>
            <w14:solidFill>
              <w14:srgbClr w14:val="000000">
                <w14:alpha w14:val="100000"/>
              </w14:srgbClr>
            </w14:solidFill>
          </w14:textFill>
        </w:rPr>
      </w:pPr>
      <w:r w:rsidRPr="00246FB8">
        <w:rPr>
          <w:color w:val="000000"/>
          <w:w w:val="15"/>
          <w:shd w:val="solid" w:color="000000" w:fill="000000"/>
          <w:fitText w:val="8347" w:id="-1230764280"/>
          <w14:textFill>
            <w14:solidFill>
              <w14:srgbClr w14:val="000000">
                <w14:alpha w14:val="100000"/>
              </w14:srgbClr>
            </w14:solidFill>
          </w14:textFill>
        </w:rPr>
        <w:t xml:space="preserve">|||                                                                                                                                                                                                                                                                                                                                                                                                                                                                                                                                                                                                                                                                                                                                                                                                                                                                                                                                                                                                                                                                                                                                                                    </w:t>
      </w:r>
      <w:r w:rsidRPr="00246FB8">
        <w:rPr>
          <w:color w:val="000000"/>
          <w:spacing w:val="-1825"/>
          <w:w w:val="15"/>
          <w:shd w:val="solid" w:color="000000" w:fill="000000"/>
          <w:fitText w:val="8347" w:id="-1230764280"/>
          <w14:textFill>
            <w14:solidFill>
              <w14:srgbClr w14:val="000000">
                <w14:alpha w14:val="100000"/>
              </w14:srgbClr>
            </w14:solidFill>
          </w14:textFill>
        </w:rPr>
        <w:t xml:space="preserve"> </w:t>
      </w:r>
      <w:r w:rsidRPr="00484A36">
        <w:rPr>
          <w:color w:val="000000"/>
          <w:shd w:val="solid" w:color="000000" w:fill="000000"/>
          <w14:textFill>
            <w14:solidFill>
              <w14:srgbClr w14:val="000000">
                <w14:alpha w14:val="100000"/>
              </w14:srgbClr>
            </w14:solidFill>
          </w14:textFill>
        </w:rPr>
        <w:t xml:space="preserve">  </w:t>
      </w:r>
      <w:r w:rsidRPr="00246FB8">
        <w:rPr>
          <w:color w:val="000000"/>
          <w:w w:val="15"/>
          <w:shd w:val="solid" w:color="000000" w:fill="000000"/>
          <w:fitText w:val="8347" w:id="-1230764279"/>
          <w14:textFill>
            <w14:solidFill>
              <w14:srgbClr w14:val="000000">
                <w14:alpha w14:val="100000"/>
              </w14:srgbClr>
            </w14:solidFill>
          </w14:textFill>
        </w:rPr>
        <w:t xml:space="preserve">|||                                                                                                                                                                                                                                                                                                                                                                                                                                                                                                                                                                                                                                                                                                                                                                                                                                                                                                                                                                                                                                                                                                                                                                    </w:t>
      </w:r>
      <w:r w:rsidRPr="00246FB8">
        <w:rPr>
          <w:color w:val="000000"/>
          <w:spacing w:val="-1825"/>
          <w:w w:val="15"/>
          <w:shd w:val="solid" w:color="000000" w:fill="000000"/>
          <w:fitText w:val="8347" w:id="-1230764279"/>
          <w14:textFill>
            <w14:solidFill>
              <w14:srgbClr w14:val="000000">
                <w14:alpha w14:val="100000"/>
              </w14:srgbClr>
            </w14:solidFill>
          </w14:textFill>
        </w:rPr>
        <w:t xml:space="preserve"> </w:t>
      </w:r>
      <w:r w:rsidRPr="00484A36">
        <w:rPr>
          <w:color w:val="000000"/>
          <w:shd w:val="solid" w:color="000000" w:fill="000000"/>
          <w14:textFill>
            <w14:solidFill>
              <w14:srgbClr w14:val="000000">
                <w14:alpha w14:val="100000"/>
              </w14:srgbClr>
            </w14:solidFill>
          </w14:textFill>
        </w:rPr>
        <w:t xml:space="preserve"> </w:t>
      </w:r>
    </w:p>
    <w:p w14:paraId="7843D4D4" w14:textId="0F752EA9" w:rsidR="00A2318B" w:rsidRPr="00D60F51" w:rsidRDefault="00A2318B" w:rsidP="00164B45">
      <w:pPr>
        <w:spacing w:after="0"/>
        <w:jc w:val="both"/>
        <w:rPr>
          <w:rFonts w:ascii="Segoe UI" w:eastAsia="Times New Roman" w:hAnsi="Segoe UI" w:cs="Segoe UI"/>
          <w:sz w:val="22"/>
          <w:szCs w:val="22"/>
        </w:rPr>
      </w:pPr>
      <w:r w:rsidRPr="00246FB8">
        <w:rPr>
          <w:color w:val="000000"/>
          <w:w w:val="15"/>
          <w:shd w:val="solid" w:color="000000" w:fill="000000"/>
          <w:fitText w:val="380" w:id="-1230764032"/>
          <w14:textFill>
            <w14:solidFill>
              <w14:srgbClr w14:val="000000">
                <w14:alpha w14:val="100000"/>
              </w14:srgbClr>
            </w14:solidFill>
          </w14:textFill>
        </w:rPr>
        <w:t>|                                                                                                                                                                                                                                                                                                                                                                                                                                                                                                                                                                                                                                                                                                                                                                                                                                                                                                                              ||</w:t>
      </w:r>
      <w:r w:rsidRPr="00246FB8">
        <w:rPr>
          <w:color w:val="000000"/>
          <w:spacing w:val="-7715"/>
          <w:w w:val="15"/>
          <w:shd w:val="solid" w:color="000000" w:fill="000000"/>
          <w:fitText w:val="380" w:id="-1230764032"/>
          <w14:textFill>
            <w14:solidFill>
              <w14:srgbClr w14:val="000000">
                <w14:alpha w14:val="100000"/>
              </w14:srgbClr>
            </w14:solidFill>
          </w14:textFill>
        </w:rPr>
        <w:t>|</w:t>
      </w:r>
      <w:r w:rsidRPr="00AE34D7">
        <w:rPr>
          <w:color w:val="000000"/>
          <w:w w:val="15"/>
          <w:shd w:val="solid" w:color="000000" w:fill="000000"/>
          <w14:textFill>
            <w14:solidFill>
              <w14:srgbClr w14:val="000000">
                <w14:alpha w14:val="100000"/>
              </w14:srgbClr>
            </w14:solidFill>
          </w14:textFill>
        </w:rPr>
        <w:t xml:space="preserve">|||||||||||       </w:t>
      </w:r>
      <w:r w:rsidRPr="00484A36">
        <w:rPr>
          <w:color w:val="000000"/>
          <w:shd w:val="solid" w:color="000000" w:fill="000000"/>
          <w14:textFill>
            <w14:solidFill>
              <w14:srgbClr w14:val="000000">
                <w14:alpha w14:val="100000"/>
              </w14:srgbClr>
            </w14:solidFill>
          </w14:textFill>
        </w:rPr>
        <w:t xml:space="preserve">                      </w:t>
      </w:r>
    </w:p>
    <w:p w14:paraId="093ADD27" w14:textId="77777777" w:rsidR="00BC7668" w:rsidRDefault="00BC7668" w:rsidP="00407B82">
      <w:pPr>
        <w:spacing w:after="0" w:line="240" w:lineRule="auto"/>
        <w:rPr>
          <w:rFonts w:ascii="Segoe UI" w:eastAsia="Times New Roman" w:hAnsi="Segoe UI"/>
          <w:b/>
          <w:color w:val="000000"/>
          <w:sz w:val="22"/>
        </w:rPr>
      </w:pPr>
    </w:p>
    <w:p w14:paraId="12019EB2" w14:textId="38D50B5C" w:rsidR="00407B82" w:rsidRPr="00407B82" w:rsidRDefault="00A2318B" w:rsidP="00407B82">
      <w:pPr>
        <w:spacing w:after="0" w:line="240" w:lineRule="auto"/>
        <w:rPr>
          <w:rFonts w:ascii="Segoe UI" w:eastAsia="Times New Roman" w:hAnsi="Segoe UI"/>
          <w:b/>
          <w:color w:val="000000"/>
          <w:sz w:val="22"/>
        </w:rPr>
      </w:pPr>
      <w:r>
        <w:rPr>
          <w:rFonts w:ascii="Segoe UI" w:eastAsia="Times New Roman" w:hAnsi="Segoe UI"/>
          <w:b/>
          <w:color w:val="000000"/>
          <w:sz w:val="22"/>
        </w:rPr>
        <w:t>I</w:t>
      </w:r>
      <w:r w:rsidR="00407B82" w:rsidRPr="004B032C">
        <w:rPr>
          <w:rFonts w:ascii="Segoe UI" w:eastAsia="Times New Roman" w:hAnsi="Segoe UI"/>
          <w:b/>
          <w:color w:val="000000"/>
          <w:sz w:val="22"/>
        </w:rPr>
        <w:t>ndicate the proposed setting(s) in which the proposed health technology will be delivered:</w:t>
      </w:r>
      <w:r w:rsidR="00407B82" w:rsidRPr="00407B82">
        <w:rPr>
          <w:rFonts w:ascii="Segoe UI" w:eastAsia="Times New Roman" w:hAnsi="Segoe UI"/>
          <w:b/>
          <w:color w:val="000000"/>
          <w:sz w:val="22"/>
        </w:rPr>
        <w:t xml:space="preserve"> </w:t>
      </w:r>
    </w:p>
    <w:p w14:paraId="6331DB58" w14:textId="77777777" w:rsidR="00407B82" w:rsidRPr="00407B82" w:rsidRDefault="00407B82" w:rsidP="00407B82">
      <w:pPr>
        <w:spacing w:after="0" w:line="240" w:lineRule="auto"/>
        <w:rPr>
          <w:rFonts w:ascii="Segoe UI" w:eastAsia="Times New Roman" w:hAnsi="Segoe UI"/>
          <w:b/>
          <w:color w:val="000000"/>
          <w:sz w:val="22"/>
        </w:rPr>
      </w:pPr>
    </w:p>
    <w:p w14:paraId="0AB8A028"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Consulting rooms </w:t>
      </w:r>
    </w:p>
    <w:p w14:paraId="67E4C232"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Day surgery centre</w:t>
      </w:r>
    </w:p>
    <w:p w14:paraId="4DFAE3B0"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Emergency Department </w:t>
      </w:r>
    </w:p>
    <w:p w14:paraId="2CFDA384"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Inpatient private hospital</w:t>
      </w:r>
    </w:p>
    <w:p w14:paraId="1976CADC" w14:textId="3320B6B0" w:rsidR="00407B82" w:rsidRPr="00FA3866" w:rsidRDefault="003265B4" w:rsidP="00407B82">
      <w:pPr>
        <w:spacing w:after="0" w:line="240" w:lineRule="auto"/>
        <w:rPr>
          <w:rFonts w:ascii="Segoe UI" w:eastAsia="Times New Roman" w:hAnsi="Segoe UI" w:cs="Segoe UI"/>
          <w:bCs/>
          <w:sz w:val="22"/>
          <w:szCs w:val="22"/>
        </w:rPr>
      </w:pPr>
      <w:r w:rsidRPr="00FA3866">
        <w:rPr>
          <w:rFonts w:ascii="Segoe UI" w:eastAsia="Times New Roman" w:hAnsi="Segoe UI" w:cs="Segoe UI"/>
          <w:bCs/>
          <w:sz w:val="22"/>
          <w:szCs w:val="22"/>
        </w:rPr>
        <w:fldChar w:fldCharType="begin">
          <w:ffData>
            <w:name w:val="Check1"/>
            <w:enabled/>
            <w:calcOnExit w:val="0"/>
            <w:checkBox>
              <w:sizeAuto/>
              <w:default w:val="1"/>
            </w:checkBox>
          </w:ffData>
        </w:fldChar>
      </w:r>
      <w:bookmarkStart w:id="5" w:name="Check1"/>
      <w:r w:rsidRPr="00FA3866">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FA3866">
        <w:rPr>
          <w:rFonts w:ascii="Segoe UI" w:eastAsia="Times New Roman" w:hAnsi="Segoe UI" w:cs="Segoe UI"/>
          <w:bCs/>
          <w:sz w:val="22"/>
          <w:szCs w:val="22"/>
        </w:rPr>
        <w:fldChar w:fldCharType="end"/>
      </w:r>
      <w:bookmarkEnd w:id="5"/>
      <w:r w:rsidR="00407B82" w:rsidRPr="00FA3866">
        <w:rPr>
          <w:rFonts w:ascii="Segoe UI" w:eastAsia="Times New Roman" w:hAnsi="Segoe UI" w:cs="Segoe UI"/>
          <w:bCs/>
          <w:sz w:val="22"/>
          <w:szCs w:val="22"/>
        </w:rPr>
        <w:t xml:space="preserve"> Inpatient public hospital </w:t>
      </w:r>
    </w:p>
    <w:p w14:paraId="7D510D78"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Laboratory</w:t>
      </w:r>
    </w:p>
    <w:p w14:paraId="297EB399" w14:textId="5C141778" w:rsidR="00407B82" w:rsidRPr="00FA3866" w:rsidRDefault="003265B4" w:rsidP="00407B82">
      <w:pPr>
        <w:spacing w:after="0" w:line="240" w:lineRule="auto"/>
        <w:rPr>
          <w:rFonts w:ascii="Segoe UI" w:eastAsia="Times New Roman" w:hAnsi="Segoe UI" w:cs="Segoe UI"/>
          <w:bCs/>
          <w:sz w:val="22"/>
          <w:szCs w:val="22"/>
        </w:rPr>
      </w:pPr>
      <w:r w:rsidRPr="00FA3866">
        <w:rPr>
          <w:rFonts w:ascii="Segoe UI" w:eastAsia="Times New Roman" w:hAnsi="Segoe UI" w:cs="Segoe UI"/>
          <w:bCs/>
          <w:sz w:val="22"/>
          <w:szCs w:val="22"/>
        </w:rPr>
        <w:fldChar w:fldCharType="begin">
          <w:ffData>
            <w:name w:val=""/>
            <w:enabled/>
            <w:calcOnExit w:val="0"/>
            <w:checkBox>
              <w:sizeAuto/>
              <w:default w:val="1"/>
            </w:checkBox>
          </w:ffData>
        </w:fldChar>
      </w:r>
      <w:r w:rsidRPr="00FA3866">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FA3866">
        <w:rPr>
          <w:rFonts w:ascii="Segoe UI" w:eastAsia="Times New Roman" w:hAnsi="Segoe UI" w:cs="Segoe UI"/>
          <w:bCs/>
          <w:sz w:val="22"/>
          <w:szCs w:val="22"/>
        </w:rPr>
        <w:fldChar w:fldCharType="end"/>
      </w:r>
      <w:r w:rsidR="00407B82" w:rsidRPr="00FA3866">
        <w:rPr>
          <w:rFonts w:ascii="Segoe UI" w:eastAsia="Times New Roman" w:hAnsi="Segoe UI" w:cs="Segoe UI"/>
          <w:bCs/>
          <w:sz w:val="22"/>
          <w:szCs w:val="22"/>
        </w:rPr>
        <w:t xml:space="preserve"> Outpatient clinic </w:t>
      </w:r>
    </w:p>
    <w:p w14:paraId="7CBCC9EC"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Patient’s home</w:t>
      </w:r>
    </w:p>
    <w:p w14:paraId="719B5EAA"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Point of care testing </w:t>
      </w:r>
    </w:p>
    <w:p w14:paraId="708B8A61"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Residential aged care facility</w:t>
      </w:r>
    </w:p>
    <w:p w14:paraId="3448975C"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Other (please specify) </w:t>
      </w:r>
    </w:p>
    <w:p w14:paraId="5FE38275" w14:textId="77777777" w:rsidR="00407B82" w:rsidRPr="00407B82" w:rsidRDefault="00407B82" w:rsidP="00407B82">
      <w:pPr>
        <w:spacing w:after="0" w:line="240" w:lineRule="auto"/>
        <w:ind w:left="-284"/>
        <w:rPr>
          <w:rFonts w:ascii="Segoe UI" w:eastAsia="Times New Roman" w:hAnsi="Segoe UI" w:cs="Segoe UI"/>
          <w:b/>
          <w:sz w:val="22"/>
          <w:szCs w:val="22"/>
        </w:rPr>
      </w:pPr>
    </w:p>
    <w:p w14:paraId="673B72C2" w14:textId="704A5E90" w:rsidR="00FA3866" w:rsidRPr="00FA3866" w:rsidRDefault="005763D1" w:rsidP="00FA3866">
      <w:pPr>
        <w:spacing w:before="120" w:after="240" w:line="240" w:lineRule="auto"/>
        <w:jc w:val="both"/>
        <w:rPr>
          <w:rFonts w:ascii="Segoe UI" w:hAnsi="Segoe UI" w:cs="Segoe UI"/>
          <w:sz w:val="22"/>
          <w:szCs w:val="22"/>
        </w:rPr>
      </w:pPr>
      <w:r w:rsidRPr="00872AE4">
        <w:rPr>
          <w:noProof/>
        </w:rPr>
        <w:drawing>
          <wp:inline distT="0" distB="0" distL="0" distR="0" wp14:anchorId="2C5B0B86" wp14:editId="41BE47C5">
            <wp:extent cx="5923915" cy="1905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9539" cy="191324"/>
                    </a:xfrm>
                    <a:prstGeom prst="rect">
                      <a:avLst/>
                    </a:prstGeom>
                    <a:noFill/>
                    <a:ln>
                      <a:noFill/>
                    </a:ln>
                  </pic:spPr>
                </pic:pic>
              </a:graphicData>
            </a:graphic>
          </wp:inline>
        </w:drawing>
      </w:r>
    </w:p>
    <w:p w14:paraId="360E505B" w14:textId="496F39BE" w:rsidR="00407B82" w:rsidRPr="00407B82" w:rsidRDefault="00FA3866" w:rsidP="00FA3866">
      <w:pPr>
        <w:spacing w:before="120" w:after="240" w:line="240" w:lineRule="auto"/>
        <w:jc w:val="both"/>
        <w:rPr>
          <w:rFonts w:asciiTheme="minorHAnsi" w:eastAsia="Times New Roman" w:hAnsiTheme="minorHAnsi" w:cs="Calibri"/>
          <w:color w:val="000000"/>
          <w:sz w:val="22"/>
          <w:szCs w:val="22"/>
        </w:rPr>
      </w:pPr>
      <w:r>
        <w:rPr>
          <w:rFonts w:ascii="Segoe UI" w:hAnsi="Segoe UI" w:cs="Segoe UI"/>
          <w:sz w:val="22"/>
          <w:szCs w:val="22"/>
        </w:rPr>
        <w:t>Furthermore, it</w:t>
      </w:r>
      <w:r w:rsidRPr="00FA3866">
        <w:rPr>
          <w:rFonts w:ascii="Segoe UI" w:hAnsi="Segoe UI" w:cs="Segoe UI"/>
          <w:sz w:val="22"/>
          <w:szCs w:val="22"/>
        </w:rPr>
        <w:t xml:space="preserve"> is Janssen’s understanding that the NHRA includes funding from both the Commonwealth Government (50%) and the governments of the relevant states and territories (50%) (Addendum to the National Health Reform Agreement 2020-2025; NHRA-addendum-2020-2025.pdf (health.qld.gov.au). Thus, the same joint funding mechanism is requested for </w:t>
      </w:r>
      <w:proofErr w:type="spellStart"/>
      <w:r w:rsidRPr="00FA3866">
        <w:rPr>
          <w:rFonts w:ascii="Segoe UI" w:hAnsi="Segoe UI" w:cs="Segoe UI"/>
          <w:sz w:val="22"/>
          <w:szCs w:val="22"/>
        </w:rPr>
        <w:t>cilta-cel</w:t>
      </w:r>
      <w:proofErr w:type="spellEnd"/>
      <w:r w:rsidRPr="00FA3866">
        <w:rPr>
          <w:rFonts w:ascii="Segoe UI" w:hAnsi="Segoe UI" w:cs="Segoe UI"/>
          <w:sz w:val="22"/>
          <w:szCs w:val="22"/>
        </w:rPr>
        <w:t>.</w:t>
      </w:r>
    </w:p>
    <w:p w14:paraId="2DC16138" w14:textId="6021A867" w:rsidR="00441E81" w:rsidRDefault="00407B82">
      <w:pPr>
        <w:rPr>
          <w:rFonts w:ascii="Segoe UI" w:eastAsia="Times New Roman" w:hAnsi="Segoe UI"/>
          <w:bCs/>
          <w:color w:val="000000"/>
          <w:sz w:val="22"/>
        </w:rPr>
      </w:pPr>
      <w:r w:rsidRPr="00407B82">
        <w:rPr>
          <w:rFonts w:ascii="Segoe UI" w:eastAsia="Times New Roman" w:hAnsi="Segoe UI"/>
          <w:b/>
          <w:color w:val="000000"/>
          <w:sz w:val="22"/>
        </w:rPr>
        <w:t xml:space="preserve">Is the proposed health technology intended to be entirely rendered inside Australia? </w:t>
      </w:r>
      <w:r w:rsidR="001864E1">
        <w:rPr>
          <w:rFonts w:ascii="Segoe UI" w:eastAsia="Times New Roman" w:hAnsi="Segoe UI"/>
          <w:bCs/>
          <w:color w:val="000000"/>
          <w:sz w:val="22"/>
        </w:rPr>
        <w:br/>
      </w:r>
      <w:r w:rsidRPr="001864E1">
        <w:rPr>
          <w:rFonts w:ascii="Segoe UI" w:eastAsia="Times New Roman" w:hAnsi="Segoe UI"/>
          <w:bCs/>
          <w:sz w:val="22"/>
        </w:rPr>
        <w:t>No</w:t>
      </w:r>
    </w:p>
    <w:p w14:paraId="52E4A5E0" w14:textId="24FF3EF6" w:rsidR="00407B82" w:rsidRPr="00441E81" w:rsidRDefault="00407B82" w:rsidP="00441E81">
      <w:pPr>
        <w:rPr>
          <w:rFonts w:ascii="Segoe UI" w:eastAsia="Times New Roman" w:hAnsi="Segoe UI"/>
          <w:bCs/>
          <w:color w:val="000000"/>
          <w:sz w:val="22"/>
        </w:rPr>
      </w:pPr>
      <w:r w:rsidRPr="00407B82">
        <w:rPr>
          <w:rFonts w:ascii="Segoe UI" w:eastAsia="Times New Roman" w:hAnsi="Segoe UI"/>
          <w:b/>
          <w:color w:val="000000"/>
          <w:sz w:val="22"/>
        </w:rPr>
        <w:lastRenderedPageBreak/>
        <w:t>Please provide additional details on the proposed health technology to be rendered outside of Australia:</w:t>
      </w:r>
      <w:r w:rsidR="00441E81">
        <w:rPr>
          <w:rFonts w:ascii="Segoe UI" w:eastAsia="Times New Roman" w:hAnsi="Segoe UI"/>
          <w:bCs/>
          <w:color w:val="000000"/>
          <w:sz w:val="22"/>
        </w:rPr>
        <w:br/>
      </w:r>
      <w:r w:rsidR="00983BC1" w:rsidRPr="00FA3866">
        <w:rPr>
          <w:rFonts w:ascii="Segoe UI" w:eastAsia="Times New Roman" w:hAnsi="Segoe UI" w:cs="Segoe UI"/>
          <w:sz w:val="22"/>
          <w:szCs w:val="22"/>
        </w:rPr>
        <w:t xml:space="preserve">Most of the medical service will be rendered in Australia. The exception is the manufacturing of the </w:t>
      </w:r>
      <w:proofErr w:type="spellStart"/>
      <w:r w:rsidR="00983BC1" w:rsidRPr="00FA3866">
        <w:rPr>
          <w:rFonts w:ascii="Segoe UI" w:eastAsia="Times New Roman" w:hAnsi="Segoe UI" w:cs="Segoe UI"/>
          <w:sz w:val="22"/>
          <w:szCs w:val="22"/>
        </w:rPr>
        <w:t>cilta-cel</w:t>
      </w:r>
      <w:proofErr w:type="spellEnd"/>
      <w:r w:rsidR="00983BC1" w:rsidRPr="00FA3866">
        <w:rPr>
          <w:rFonts w:ascii="Segoe UI" w:eastAsia="Times New Roman" w:hAnsi="Segoe UI" w:cs="Segoe UI"/>
          <w:sz w:val="22"/>
          <w:szCs w:val="22"/>
        </w:rPr>
        <w:t xml:space="preserve"> CAR-T product which occurs in the Janssen manufacturing centre in Raritan (NJ, USA).</w:t>
      </w:r>
    </w:p>
    <w:p w14:paraId="28BC6847" w14:textId="77777777"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t>Comparator</w:t>
      </w:r>
    </w:p>
    <w:p w14:paraId="5EF946D4" w14:textId="77777777" w:rsidR="00407B82" w:rsidRPr="00407B82" w:rsidRDefault="00407B82" w:rsidP="00407B82">
      <w:pPr>
        <w:spacing w:after="0" w:line="240" w:lineRule="auto"/>
        <w:rPr>
          <w:rFonts w:ascii="Segoe UI" w:eastAsia="Times New Roman" w:hAnsi="Segoe UI" w:cs="Segoe UI"/>
          <w:b/>
          <w:bCs/>
          <w:sz w:val="22"/>
          <w:szCs w:val="22"/>
        </w:rPr>
      </w:pPr>
      <w:r w:rsidRPr="00407B82">
        <w:rPr>
          <w:rFonts w:ascii="Segoe UI" w:eastAsia="Times New Roman" w:hAnsi="Segoe UI" w:cs="Segoe UI"/>
          <w:b/>
          <w:bCs/>
          <w:sz w:val="22"/>
          <w:szCs w:val="22"/>
        </w:rPr>
        <w:t>Nominate the appropriate comparator(s) for the proposed medical service (</w:t>
      </w:r>
      <w:proofErr w:type="gramStart"/>
      <w:r w:rsidRPr="00407B82">
        <w:rPr>
          <w:rFonts w:ascii="Segoe UI" w:eastAsia="Times New Roman" w:hAnsi="Segoe UI" w:cs="Segoe UI"/>
          <w:b/>
          <w:bCs/>
          <w:sz w:val="22"/>
          <w:szCs w:val="22"/>
        </w:rPr>
        <w:t>i.e.</w:t>
      </w:r>
      <w:proofErr w:type="gramEnd"/>
      <w:r w:rsidRPr="00407B82">
        <w:rPr>
          <w:rFonts w:ascii="Segoe UI" w:eastAsia="Times New Roman" w:hAnsi="Segoe UI" w:cs="Segoe UI"/>
          <w:b/>
          <w:bCs/>
          <w:sz w:val="22"/>
          <w:szCs w:val="22"/>
        </w:rPr>
        <w:t xml:space="preserve"> how is the proposed population currently managed in the absence of the proposed medical service being available in the </w:t>
      </w:r>
      <w:r w:rsidRPr="00407B82">
        <w:rPr>
          <w:rFonts w:ascii="Segoe UI" w:eastAsia="Times New Roman" w:hAnsi="Segoe UI" w:cs="Segoe UI"/>
          <w:b/>
          <w:bCs/>
          <w:sz w:val="22"/>
          <w:szCs w:val="22"/>
          <w:u w:val="single"/>
        </w:rPr>
        <w:t>Australian health care system)</w:t>
      </w:r>
      <w:r w:rsidRPr="00407B82">
        <w:rPr>
          <w:rFonts w:ascii="Segoe UI" w:eastAsia="Times New Roman" w:hAnsi="Segoe UI" w:cs="Segoe UI"/>
          <w:b/>
          <w:bCs/>
          <w:sz w:val="22"/>
          <w:szCs w:val="22"/>
        </w:rPr>
        <w:t>. This includes identifying health care resources that are needed to be delivered at the same time as the comparator service:</w:t>
      </w:r>
    </w:p>
    <w:p w14:paraId="56DD5DCA" w14:textId="58DE9E28" w:rsidR="00886AED" w:rsidRPr="00FA3866" w:rsidRDefault="00886AED" w:rsidP="00FA3866">
      <w:pPr>
        <w:spacing w:before="120" w:after="240" w:line="240" w:lineRule="auto"/>
        <w:rPr>
          <w:rFonts w:ascii="Segoe UI" w:eastAsia="Times New Roman" w:hAnsi="Segoe UI" w:cs="Segoe UI"/>
          <w:bCs/>
          <w:sz w:val="22"/>
          <w:szCs w:val="22"/>
        </w:rPr>
      </w:pPr>
      <w:r w:rsidRPr="00FA3866">
        <w:rPr>
          <w:rFonts w:ascii="Segoe UI" w:eastAsia="Times New Roman" w:hAnsi="Segoe UI" w:cs="Segoe UI"/>
          <w:bCs/>
          <w:sz w:val="22"/>
          <w:szCs w:val="22"/>
        </w:rPr>
        <w:t xml:space="preserve">The nominated comparators </w:t>
      </w:r>
      <w:r w:rsidR="00FA3866" w:rsidRPr="00FA3866">
        <w:rPr>
          <w:rFonts w:ascii="Segoe UI" w:eastAsia="Times New Roman" w:hAnsi="Segoe UI" w:cs="Segoe UI"/>
          <w:bCs/>
          <w:sz w:val="22"/>
          <w:szCs w:val="22"/>
        </w:rPr>
        <w:t xml:space="preserve">that reflect Australian clinical practice </w:t>
      </w:r>
      <w:r w:rsidRPr="00FA3866">
        <w:rPr>
          <w:rFonts w:ascii="Segoe UI" w:eastAsia="Times New Roman" w:hAnsi="Segoe UI" w:cs="Segoe UI"/>
          <w:bCs/>
          <w:sz w:val="22"/>
          <w:szCs w:val="22"/>
        </w:rPr>
        <w:t>are:</w:t>
      </w:r>
    </w:p>
    <w:p w14:paraId="0563E108" w14:textId="77777777" w:rsidR="00886AED" w:rsidRPr="00FA3866" w:rsidRDefault="00886AED" w:rsidP="00FA3866">
      <w:pPr>
        <w:numPr>
          <w:ilvl w:val="0"/>
          <w:numId w:val="2"/>
        </w:numPr>
        <w:spacing w:before="120" w:after="240" w:line="240" w:lineRule="auto"/>
        <w:rPr>
          <w:rFonts w:ascii="Segoe UI" w:eastAsia="Times New Roman" w:hAnsi="Segoe UI" w:cs="Segoe UI"/>
          <w:bCs/>
          <w:sz w:val="22"/>
          <w:szCs w:val="22"/>
        </w:rPr>
      </w:pPr>
      <w:r w:rsidRPr="00FA3866">
        <w:rPr>
          <w:rFonts w:ascii="Segoe UI" w:eastAsia="Times New Roman" w:hAnsi="Segoe UI" w:cs="Segoe UI"/>
          <w:bCs/>
          <w:sz w:val="22"/>
          <w:szCs w:val="22"/>
        </w:rPr>
        <w:t xml:space="preserve">Pomalidomide with dexamethasone (Pd), </w:t>
      </w:r>
    </w:p>
    <w:p w14:paraId="63BCB0CB" w14:textId="77777777" w:rsidR="00886AED" w:rsidRPr="00FA3866" w:rsidRDefault="00886AED" w:rsidP="00FA3866">
      <w:pPr>
        <w:numPr>
          <w:ilvl w:val="0"/>
          <w:numId w:val="2"/>
        </w:numPr>
        <w:spacing w:before="120" w:after="240" w:line="240" w:lineRule="auto"/>
        <w:rPr>
          <w:rFonts w:ascii="Segoe UI" w:eastAsia="Times New Roman" w:hAnsi="Segoe UI" w:cs="Segoe UI"/>
          <w:bCs/>
          <w:sz w:val="22"/>
          <w:szCs w:val="22"/>
        </w:rPr>
      </w:pPr>
      <w:r w:rsidRPr="00FA3866">
        <w:rPr>
          <w:rFonts w:ascii="Segoe UI" w:eastAsia="Times New Roman" w:hAnsi="Segoe UI" w:cs="Segoe UI"/>
          <w:bCs/>
          <w:sz w:val="22"/>
          <w:szCs w:val="22"/>
        </w:rPr>
        <w:t>Carfilzomib with dexamethasone (Cd),</w:t>
      </w:r>
    </w:p>
    <w:p w14:paraId="1427CBDD" w14:textId="0069BD67" w:rsidR="00407B82" w:rsidRPr="00246FB8" w:rsidRDefault="00886AED" w:rsidP="00246FB8">
      <w:pPr>
        <w:numPr>
          <w:ilvl w:val="0"/>
          <w:numId w:val="2"/>
        </w:numPr>
        <w:spacing w:before="120" w:after="240" w:line="240" w:lineRule="auto"/>
        <w:rPr>
          <w:rFonts w:ascii="Segoe UI" w:eastAsia="Times New Roman" w:hAnsi="Segoe UI" w:cs="Segoe UI"/>
          <w:bCs/>
          <w:sz w:val="22"/>
          <w:szCs w:val="22"/>
        </w:rPr>
      </w:pPr>
      <w:r w:rsidRPr="00FA3866">
        <w:rPr>
          <w:rFonts w:ascii="Segoe UI" w:eastAsia="Times New Roman" w:hAnsi="Segoe UI" w:cs="Segoe UI"/>
          <w:bCs/>
          <w:sz w:val="22"/>
          <w:szCs w:val="22"/>
        </w:rPr>
        <w:t>Selinexor with dexamethasone (Sd).</w:t>
      </w:r>
    </w:p>
    <w:p w14:paraId="04DAB078" w14:textId="5F1BEABF" w:rsidR="00407B82" w:rsidRPr="001864E1" w:rsidRDefault="00407B82" w:rsidP="001864E1">
      <w:pPr>
        <w:rPr>
          <w:rFonts w:ascii="Segoe UI" w:eastAsia="Times New Roman" w:hAnsi="Segoe UI"/>
          <w:b/>
          <w:color w:val="000000"/>
          <w:sz w:val="22"/>
        </w:rPr>
      </w:pPr>
      <w:r w:rsidRPr="00407B82">
        <w:rPr>
          <w:rFonts w:ascii="Segoe UI" w:eastAsia="Times New Roman" w:hAnsi="Segoe UI"/>
          <w:b/>
          <w:color w:val="000000"/>
          <w:sz w:val="22"/>
        </w:rPr>
        <w:t xml:space="preserve">List any existing MBS item numbers that are relevant for the nominated comparators: </w:t>
      </w:r>
      <w:r w:rsidR="001864E1">
        <w:rPr>
          <w:rFonts w:ascii="Segoe UI" w:eastAsia="Times New Roman" w:hAnsi="Segoe UI"/>
          <w:b/>
          <w:color w:val="000000"/>
          <w:sz w:val="22"/>
        </w:rPr>
        <w:br/>
      </w:r>
      <w:r w:rsidR="00886AED" w:rsidRPr="00FA3866">
        <w:rPr>
          <w:rFonts w:ascii="Segoe UI" w:eastAsia="Times New Roman" w:hAnsi="Segoe UI" w:cs="Segoe UI"/>
          <w:sz w:val="22"/>
          <w:szCs w:val="22"/>
        </w:rPr>
        <w:t>N/A</w:t>
      </w:r>
    </w:p>
    <w:p w14:paraId="075F3062" w14:textId="7168DE0F" w:rsidR="00407B82" w:rsidRPr="001864E1" w:rsidRDefault="00407B82" w:rsidP="001864E1">
      <w:pPr>
        <w:spacing w:after="0" w:line="240" w:lineRule="auto"/>
        <w:rPr>
          <w:rFonts w:ascii="Segoe UI" w:eastAsia="Times New Roman" w:hAnsi="Segoe UI"/>
          <w:b/>
          <w:color w:val="000000"/>
          <w:sz w:val="22"/>
        </w:rPr>
      </w:pPr>
      <w:r w:rsidRPr="00D5139A">
        <w:rPr>
          <w:rFonts w:ascii="Segoe UI" w:eastAsia="Times New Roman" w:hAnsi="Segoe UI"/>
          <w:b/>
          <w:color w:val="000000"/>
          <w:sz w:val="22"/>
        </w:rPr>
        <w:t>Please provide a rationale for why this is a comparator:</w:t>
      </w:r>
      <w:r w:rsidR="001864E1">
        <w:rPr>
          <w:rFonts w:ascii="Segoe UI" w:eastAsia="Times New Roman" w:hAnsi="Segoe UI"/>
          <w:b/>
          <w:color w:val="000000"/>
          <w:sz w:val="22"/>
        </w:rPr>
        <w:br/>
      </w:r>
      <w:r w:rsidR="00886AED" w:rsidRPr="00FA3866">
        <w:rPr>
          <w:rFonts w:ascii="Segoe UI" w:eastAsia="Times New Roman" w:hAnsi="Segoe UI" w:cs="Segoe UI"/>
          <w:sz w:val="22"/>
          <w:szCs w:val="22"/>
        </w:rPr>
        <w:t xml:space="preserve">In the initial </w:t>
      </w:r>
      <w:r w:rsidR="00636E76" w:rsidRPr="00FA3866">
        <w:rPr>
          <w:rFonts w:ascii="Segoe UI" w:eastAsia="Times New Roman" w:hAnsi="Segoe UI" w:cs="Segoe UI"/>
          <w:sz w:val="22"/>
          <w:szCs w:val="22"/>
        </w:rPr>
        <w:t>ADAR</w:t>
      </w:r>
      <w:r w:rsidR="00886AED" w:rsidRPr="00FA3866">
        <w:rPr>
          <w:rFonts w:ascii="Segoe UI" w:eastAsia="Times New Roman" w:hAnsi="Segoe UI" w:cs="Segoe UI"/>
          <w:sz w:val="22"/>
          <w:szCs w:val="22"/>
        </w:rPr>
        <w:t xml:space="preserve"> </w:t>
      </w:r>
      <w:r w:rsidR="00636E76" w:rsidRPr="00FA3866">
        <w:rPr>
          <w:rFonts w:ascii="Segoe UI" w:eastAsia="Times New Roman" w:hAnsi="Segoe UI" w:cs="Segoe UI"/>
          <w:sz w:val="22"/>
          <w:szCs w:val="22"/>
        </w:rPr>
        <w:t>lodged in February 2022</w:t>
      </w:r>
      <w:r w:rsidR="00FA3866" w:rsidRPr="00FA3866">
        <w:rPr>
          <w:rFonts w:ascii="Segoe UI" w:eastAsia="Times New Roman" w:hAnsi="Segoe UI" w:cs="Segoe UI"/>
          <w:sz w:val="22"/>
          <w:szCs w:val="22"/>
        </w:rPr>
        <w:t xml:space="preserve"> (ID1690)</w:t>
      </w:r>
      <w:r w:rsidR="00886AED" w:rsidRPr="00FA3866">
        <w:rPr>
          <w:rFonts w:ascii="Segoe UI" w:eastAsia="Times New Roman" w:hAnsi="Segoe UI" w:cs="Segoe UI"/>
          <w:sz w:val="22"/>
          <w:szCs w:val="22"/>
        </w:rPr>
        <w:t xml:space="preserve">, Pd, and Cd were identified as the most relevant comparators for </w:t>
      </w:r>
      <w:r w:rsidR="00FA3866" w:rsidRPr="00FA3866">
        <w:rPr>
          <w:rFonts w:ascii="Segoe UI" w:eastAsia="Times New Roman" w:hAnsi="Segoe UI" w:cs="Segoe UI"/>
          <w:sz w:val="22"/>
          <w:szCs w:val="22"/>
        </w:rPr>
        <w:t>4L+</w:t>
      </w:r>
      <w:r w:rsidR="00886AED" w:rsidRPr="00FA3866">
        <w:rPr>
          <w:rFonts w:ascii="Segoe UI" w:eastAsia="Times New Roman" w:hAnsi="Segoe UI" w:cs="Segoe UI"/>
          <w:sz w:val="22"/>
          <w:szCs w:val="22"/>
        </w:rPr>
        <w:t xml:space="preserve"> MM (</w:t>
      </w:r>
      <w:proofErr w:type="gramStart"/>
      <w:r w:rsidR="00886AED" w:rsidRPr="00FA3866">
        <w:rPr>
          <w:rFonts w:ascii="Segoe UI" w:eastAsia="Times New Roman" w:hAnsi="Segoe UI" w:cs="Segoe UI"/>
          <w:sz w:val="22"/>
          <w:szCs w:val="22"/>
        </w:rPr>
        <w:t>i.e.</w:t>
      </w:r>
      <w:proofErr w:type="gramEnd"/>
      <w:r w:rsidR="00886AED" w:rsidRPr="00FA3866">
        <w:rPr>
          <w:rFonts w:ascii="Segoe UI" w:eastAsia="Times New Roman" w:hAnsi="Segoe UI" w:cs="Segoe UI"/>
          <w:sz w:val="22"/>
          <w:szCs w:val="22"/>
        </w:rPr>
        <w:t xml:space="preserve"> including </w:t>
      </w:r>
      <w:r w:rsidR="00636E76" w:rsidRPr="00FA3866">
        <w:rPr>
          <w:rFonts w:ascii="Segoe UI" w:eastAsia="Times New Roman" w:hAnsi="Segoe UI" w:cs="Segoe UI"/>
          <w:sz w:val="22"/>
          <w:szCs w:val="22"/>
        </w:rPr>
        <w:t>5L+</w:t>
      </w:r>
      <w:r w:rsidR="00886AED" w:rsidRPr="00FA3866">
        <w:rPr>
          <w:rFonts w:ascii="Segoe UI" w:eastAsia="Times New Roman" w:hAnsi="Segoe UI" w:cs="Segoe UI"/>
          <w:sz w:val="22"/>
          <w:szCs w:val="22"/>
        </w:rPr>
        <w:t xml:space="preserve"> MM). These were accepted by the MSAC and remain relevant comparators</w:t>
      </w:r>
      <w:r w:rsidR="00FA3866" w:rsidRPr="00FA3866">
        <w:rPr>
          <w:rFonts w:ascii="Segoe UI" w:eastAsia="Times New Roman" w:hAnsi="Segoe UI" w:cs="Segoe UI"/>
          <w:sz w:val="22"/>
          <w:szCs w:val="22"/>
        </w:rPr>
        <w:t xml:space="preserve"> as part of this application and its ADAR</w:t>
      </w:r>
      <w:r w:rsidR="00886AED" w:rsidRPr="00FA3866">
        <w:rPr>
          <w:rFonts w:ascii="Segoe UI" w:eastAsia="Times New Roman" w:hAnsi="Segoe UI" w:cs="Segoe UI"/>
          <w:sz w:val="22"/>
          <w:szCs w:val="22"/>
        </w:rPr>
        <w:t xml:space="preserve">. </w:t>
      </w:r>
      <w:r w:rsidR="00636E76" w:rsidRPr="00FA3866">
        <w:rPr>
          <w:rFonts w:ascii="Segoe UI" w:eastAsia="Times New Roman" w:hAnsi="Segoe UI" w:cs="Segoe UI"/>
          <w:sz w:val="22"/>
          <w:szCs w:val="22"/>
        </w:rPr>
        <w:t>This</w:t>
      </w:r>
      <w:r w:rsidR="00FA3866" w:rsidRPr="00FA3866">
        <w:rPr>
          <w:rFonts w:ascii="Segoe UI" w:eastAsia="Times New Roman" w:hAnsi="Segoe UI" w:cs="Segoe UI"/>
          <w:sz w:val="22"/>
          <w:szCs w:val="22"/>
        </w:rPr>
        <w:t xml:space="preserve"> application for 5L+ MM</w:t>
      </w:r>
      <w:r w:rsidR="00636E76" w:rsidRPr="00FA3866">
        <w:rPr>
          <w:rFonts w:ascii="Segoe UI" w:eastAsia="Times New Roman" w:hAnsi="Segoe UI" w:cs="Segoe UI"/>
          <w:sz w:val="22"/>
          <w:szCs w:val="22"/>
        </w:rPr>
        <w:t xml:space="preserve"> also includes the addition of Sd following its PBS listing for the 5L+ MM population in 2022. </w:t>
      </w:r>
      <w:r w:rsidR="00886AED" w:rsidRPr="00FA3866">
        <w:rPr>
          <w:rFonts w:ascii="Segoe UI" w:eastAsia="Times New Roman" w:hAnsi="Segoe UI" w:cs="Segoe UI"/>
          <w:sz w:val="22"/>
          <w:szCs w:val="22"/>
        </w:rPr>
        <w:t xml:space="preserve">Clinical expert advice provided to Janssen has indicated that there is no standard of care in later line MM because the </w:t>
      </w:r>
      <w:r w:rsidR="00D5139A">
        <w:rPr>
          <w:rFonts w:ascii="Segoe UI" w:eastAsia="Times New Roman" w:hAnsi="Segoe UI" w:cs="Segoe UI"/>
          <w:sz w:val="22"/>
          <w:szCs w:val="22"/>
        </w:rPr>
        <w:t xml:space="preserve">available </w:t>
      </w:r>
      <w:r w:rsidR="00886AED" w:rsidRPr="00FA3866">
        <w:rPr>
          <w:rFonts w:ascii="Segoe UI" w:eastAsia="Times New Roman" w:hAnsi="Segoe UI" w:cs="Segoe UI"/>
          <w:sz w:val="22"/>
          <w:szCs w:val="22"/>
        </w:rPr>
        <w:t xml:space="preserve">options include </w:t>
      </w:r>
      <w:r w:rsidR="00D5139A" w:rsidRPr="00FA3866">
        <w:rPr>
          <w:rFonts w:ascii="Segoe UI" w:eastAsia="Times New Roman" w:hAnsi="Segoe UI" w:cs="Segoe UI"/>
          <w:sz w:val="22"/>
          <w:szCs w:val="22"/>
        </w:rPr>
        <w:t>i</w:t>
      </w:r>
      <w:r w:rsidR="00D5139A">
        <w:rPr>
          <w:rFonts w:ascii="Segoe UI" w:eastAsia="Times New Roman" w:hAnsi="Segoe UI" w:cs="Segoe UI"/>
          <w:sz w:val="22"/>
          <w:szCs w:val="22"/>
        </w:rPr>
        <w:t>neffective r</w:t>
      </w:r>
      <w:r w:rsidR="00886AED" w:rsidRPr="00FA3866">
        <w:rPr>
          <w:rFonts w:ascii="Segoe UI" w:eastAsia="Times New Roman" w:hAnsi="Segoe UI" w:cs="Segoe UI"/>
          <w:sz w:val="22"/>
          <w:szCs w:val="22"/>
        </w:rPr>
        <w:t>egimens, and classes of therapies, previously received by this population</w:t>
      </w:r>
      <w:r w:rsidR="00D5139A">
        <w:rPr>
          <w:rFonts w:ascii="Segoe UI" w:eastAsia="Times New Roman" w:hAnsi="Segoe UI" w:cs="Segoe UI"/>
          <w:sz w:val="22"/>
          <w:szCs w:val="22"/>
        </w:rPr>
        <w:t xml:space="preserve"> for which their MM is refractory too</w:t>
      </w:r>
      <w:r w:rsidR="00886AED" w:rsidRPr="00FA3866">
        <w:rPr>
          <w:rFonts w:ascii="Segoe UI" w:eastAsia="Times New Roman" w:hAnsi="Segoe UI" w:cs="Segoe UI"/>
          <w:sz w:val="22"/>
          <w:szCs w:val="22"/>
        </w:rPr>
        <w:t>.</w:t>
      </w:r>
      <w:r w:rsidR="00FA3866">
        <w:rPr>
          <w:rFonts w:ascii="Segoe UI" w:eastAsia="Times New Roman" w:hAnsi="Segoe UI" w:cs="Segoe UI"/>
          <w:sz w:val="22"/>
          <w:szCs w:val="22"/>
        </w:rPr>
        <w:t xml:space="preserve"> </w:t>
      </w:r>
      <w:r w:rsidR="00FA3866" w:rsidRPr="00FA3866">
        <w:rPr>
          <w:rFonts w:ascii="Segoe UI" w:eastAsia="Times New Roman" w:hAnsi="Segoe UI" w:cs="Segoe UI"/>
          <w:sz w:val="22"/>
          <w:szCs w:val="22"/>
        </w:rPr>
        <w:t>Thus, highlighting the lack of standard of care in this setting in Australia, a clear statement that new, and superior options, are desperately needed.</w:t>
      </w:r>
    </w:p>
    <w:p w14:paraId="69CFDED7" w14:textId="77777777" w:rsidR="00407B82" w:rsidRPr="00407B82" w:rsidRDefault="00407B82" w:rsidP="00407B82">
      <w:pPr>
        <w:spacing w:after="0" w:line="240" w:lineRule="auto"/>
        <w:rPr>
          <w:rFonts w:ascii="Segoe UI" w:eastAsia="Times New Roman" w:hAnsi="Segoe UI"/>
          <w:b/>
          <w:color w:val="000000"/>
          <w:sz w:val="22"/>
        </w:rPr>
      </w:pPr>
    </w:p>
    <w:p w14:paraId="66A4C3A2"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Pattern of substitution – Will the proposed health technology wholly replace the proposed comparator, partially replace the proposed comparator, displace the proposed </w:t>
      </w:r>
      <w:proofErr w:type="gramStart"/>
      <w:r w:rsidRPr="00407B82">
        <w:rPr>
          <w:rFonts w:ascii="Segoe UI" w:eastAsia="Times New Roman" w:hAnsi="Segoe UI"/>
          <w:b/>
          <w:color w:val="000000"/>
          <w:sz w:val="22"/>
        </w:rPr>
        <w:t>comparator</w:t>
      </w:r>
      <w:proofErr w:type="gramEnd"/>
      <w:r w:rsidRPr="00407B82">
        <w:rPr>
          <w:rFonts w:ascii="Segoe UI" w:eastAsia="Times New Roman" w:hAnsi="Segoe UI"/>
          <w:b/>
          <w:color w:val="000000"/>
          <w:sz w:val="22"/>
        </w:rPr>
        <w:t xml:space="preserve"> or be used in combination with the proposed comparator? </w:t>
      </w:r>
      <w:r w:rsidRPr="00407B82">
        <w:rPr>
          <w:rFonts w:ascii="Segoe UI" w:eastAsia="Times New Roman" w:hAnsi="Segoe UI"/>
          <w:bCs/>
          <w:color w:val="000000"/>
          <w:sz w:val="22"/>
        </w:rPr>
        <w:t>(</w:t>
      </w:r>
      <w:proofErr w:type="gramStart"/>
      <w:r w:rsidRPr="00407B82">
        <w:rPr>
          <w:rFonts w:ascii="Segoe UI" w:eastAsia="Times New Roman" w:hAnsi="Segoe UI"/>
          <w:bCs/>
          <w:color w:val="000000"/>
          <w:sz w:val="22"/>
        </w:rPr>
        <w:t>please</w:t>
      </w:r>
      <w:proofErr w:type="gramEnd"/>
      <w:r w:rsidRPr="00407B82">
        <w:rPr>
          <w:rFonts w:ascii="Segoe UI" w:eastAsia="Times New Roman" w:hAnsi="Segoe UI"/>
          <w:bCs/>
          <w:color w:val="000000"/>
          <w:sz w:val="22"/>
        </w:rPr>
        <w:t xml:space="preserve"> select your response)</w:t>
      </w:r>
    </w:p>
    <w:p w14:paraId="59F1FC69" w14:textId="77777777" w:rsidR="00407B82" w:rsidRPr="00407B82" w:rsidRDefault="00407B82" w:rsidP="00407B82">
      <w:pPr>
        <w:spacing w:after="0" w:line="240" w:lineRule="auto"/>
        <w:rPr>
          <w:rFonts w:ascii="Segoe UI" w:eastAsia="Times New Roman" w:hAnsi="Segoe UI"/>
          <w:b/>
          <w:color w:val="000000"/>
          <w:sz w:val="22"/>
        </w:rPr>
      </w:pPr>
    </w:p>
    <w:p w14:paraId="336D2AD4" w14:textId="77777777" w:rsidR="00407B82" w:rsidRPr="00407B82" w:rsidRDefault="00407B82" w:rsidP="001864E1">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None – used with the comparator </w:t>
      </w:r>
    </w:p>
    <w:p w14:paraId="7E10C2F4" w14:textId="77777777" w:rsidR="00407B82" w:rsidRPr="00407B82" w:rsidRDefault="00407B82" w:rsidP="001864E1">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Displaced – comparator will likely be used following the proposed technology in some patients</w:t>
      </w:r>
    </w:p>
    <w:p w14:paraId="641416D4" w14:textId="5593CCAF" w:rsidR="00407B82" w:rsidRPr="00407B82" w:rsidRDefault="00886AED" w:rsidP="001864E1">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407B82" w:rsidRPr="00407B82">
        <w:rPr>
          <w:rFonts w:ascii="Segoe UI" w:eastAsia="Times New Roman" w:hAnsi="Segoe UI" w:cs="Segoe UI"/>
          <w:bCs/>
          <w:sz w:val="22"/>
          <w:szCs w:val="22"/>
        </w:rPr>
        <w:t xml:space="preserve"> Partial – in some cases, the proposed technology will replace the use of the comparator, but not in all cases </w:t>
      </w:r>
    </w:p>
    <w:p w14:paraId="71BCBD85" w14:textId="77777777" w:rsidR="00407B82" w:rsidRPr="00407B82" w:rsidRDefault="00407B82" w:rsidP="001864E1">
      <w:pPr>
        <w:spacing w:after="0" w:line="240" w:lineRule="auto"/>
        <w:rPr>
          <w:rFonts w:ascii="Segoe UI" w:eastAsia="Times New Roman" w:hAnsi="Segoe UI" w:cs="Segoe UI"/>
          <w:b/>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Full – subjects who receive the proposed intervention will not receive the comparator</w:t>
      </w:r>
    </w:p>
    <w:p w14:paraId="0A11548D" w14:textId="7393D75B" w:rsidR="00605181" w:rsidRDefault="00605181">
      <w:pPr>
        <w:rPr>
          <w:rFonts w:ascii="Segoe UI" w:eastAsia="Times New Roman" w:hAnsi="Segoe UI"/>
          <w:b/>
          <w:color w:val="000000"/>
          <w:sz w:val="22"/>
        </w:rPr>
      </w:pPr>
    </w:p>
    <w:p w14:paraId="13E6BC1A" w14:textId="0D297244"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lastRenderedPageBreak/>
        <w:t>Please outline and explain the extent to which the current comparator is expected to be substituted:</w:t>
      </w:r>
    </w:p>
    <w:p w14:paraId="3EB3D4E2" w14:textId="24109AC3" w:rsidR="00974CF6" w:rsidRPr="00D5139A" w:rsidRDefault="00974CF6" w:rsidP="00246FB8">
      <w:pPr>
        <w:spacing w:after="240" w:line="240" w:lineRule="auto"/>
        <w:jc w:val="both"/>
        <w:rPr>
          <w:rFonts w:ascii="Segoe UI" w:eastAsia="Times New Roman" w:hAnsi="Segoe UI" w:cs="Segoe UI"/>
          <w:sz w:val="22"/>
          <w:szCs w:val="22"/>
        </w:rPr>
      </w:pPr>
      <w:proofErr w:type="spellStart"/>
      <w:r w:rsidRPr="00D5139A">
        <w:rPr>
          <w:rFonts w:ascii="Segoe UI" w:eastAsia="Times New Roman" w:hAnsi="Segoe UI" w:cs="Segoe UI"/>
          <w:sz w:val="22"/>
          <w:szCs w:val="22"/>
        </w:rPr>
        <w:t>Cilta-cel</w:t>
      </w:r>
      <w:proofErr w:type="spellEnd"/>
      <w:r w:rsidRPr="00D5139A">
        <w:rPr>
          <w:rFonts w:ascii="Segoe UI" w:eastAsia="Times New Roman" w:hAnsi="Segoe UI" w:cs="Segoe UI"/>
          <w:sz w:val="22"/>
          <w:szCs w:val="22"/>
        </w:rPr>
        <w:t xml:space="preserve"> will not </w:t>
      </w:r>
      <w:r w:rsidR="00D5139A" w:rsidRPr="00D5139A">
        <w:rPr>
          <w:rFonts w:ascii="Segoe UI" w:eastAsia="Times New Roman" w:hAnsi="Segoe UI" w:cs="Segoe UI"/>
          <w:sz w:val="22"/>
          <w:szCs w:val="22"/>
        </w:rPr>
        <w:t>be</w:t>
      </w:r>
      <w:r w:rsidRPr="00D5139A">
        <w:rPr>
          <w:rFonts w:ascii="Segoe UI" w:eastAsia="Times New Roman" w:hAnsi="Segoe UI" w:cs="Segoe UI"/>
          <w:sz w:val="22"/>
          <w:szCs w:val="22"/>
        </w:rPr>
        <w:t xml:space="preserve"> </w:t>
      </w:r>
      <w:r w:rsidR="00D5139A" w:rsidRPr="00D5139A">
        <w:rPr>
          <w:rFonts w:ascii="Segoe UI" w:eastAsia="Times New Roman" w:hAnsi="Segoe UI" w:cs="Segoe UI"/>
          <w:sz w:val="22"/>
          <w:szCs w:val="22"/>
        </w:rPr>
        <w:t xml:space="preserve">used in </w:t>
      </w:r>
      <w:r w:rsidRPr="00D5139A">
        <w:rPr>
          <w:rFonts w:ascii="Segoe UI" w:eastAsia="Times New Roman" w:hAnsi="Segoe UI" w:cs="Segoe UI"/>
          <w:sz w:val="22"/>
          <w:szCs w:val="22"/>
        </w:rPr>
        <w:t xml:space="preserve">100% </w:t>
      </w:r>
      <w:r w:rsidR="00D5139A" w:rsidRPr="00D5139A">
        <w:rPr>
          <w:rFonts w:ascii="Segoe UI" w:eastAsia="Times New Roman" w:hAnsi="Segoe UI" w:cs="Segoe UI"/>
          <w:sz w:val="22"/>
          <w:szCs w:val="22"/>
        </w:rPr>
        <w:t>of the</w:t>
      </w:r>
      <w:r w:rsidRPr="00D5139A">
        <w:rPr>
          <w:rFonts w:ascii="Segoe UI" w:eastAsia="Times New Roman" w:hAnsi="Segoe UI" w:cs="Segoe UI"/>
          <w:sz w:val="22"/>
          <w:szCs w:val="22"/>
        </w:rPr>
        <w:t xml:space="preserve"> 5L+ MM </w:t>
      </w:r>
      <w:r w:rsidR="00D5139A" w:rsidRPr="00D5139A">
        <w:rPr>
          <w:rFonts w:ascii="Segoe UI" w:eastAsia="Times New Roman" w:hAnsi="Segoe UI" w:cs="Segoe UI"/>
          <w:sz w:val="22"/>
          <w:szCs w:val="22"/>
        </w:rPr>
        <w:t>population</w:t>
      </w:r>
      <w:r w:rsidRPr="00D5139A">
        <w:rPr>
          <w:rFonts w:ascii="Segoe UI" w:eastAsia="Times New Roman" w:hAnsi="Segoe UI" w:cs="Segoe UI"/>
          <w:sz w:val="22"/>
          <w:szCs w:val="22"/>
        </w:rPr>
        <w:t xml:space="preserve">, and thus a patient may still be treated with Sd, Pd, or Cd, if they are not of suitable fitness for </w:t>
      </w:r>
      <w:proofErr w:type="spellStart"/>
      <w:r w:rsidRPr="00D5139A">
        <w:rPr>
          <w:rFonts w:ascii="Segoe UI" w:eastAsia="Times New Roman" w:hAnsi="Segoe UI" w:cs="Segoe UI"/>
          <w:sz w:val="22"/>
          <w:szCs w:val="22"/>
        </w:rPr>
        <w:t>cilta-cel</w:t>
      </w:r>
      <w:proofErr w:type="spellEnd"/>
      <w:r w:rsidRPr="00D5139A">
        <w:rPr>
          <w:rFonts w:ascii="Segoe UI" w:eastAsia="Times New Roman" w:hAnsi="Segoe UI" w:cs="Segoe UI"/>
          <w:sz w:val="22"/>
          <w:szCs w:val="22"/>
        </w:rPr>
        <w:t xml:space="preserve"> therapy. Despite the high efficacy shown in the CARTITUDE-1, not all patients in the 5L+ MM setting will be able to tolerate </w:t>
      </w:r>
      <w:proofErr w:type="spellStart"/>
      <w:r w:rsidRPr="00D5139A">
        <w:rPr>
          <w:rFonts w:ascii="Segoe UI" w:eastAsia="Times New Roman" w:hAnsi="Segoe UI" w:cs="Segoe UI"/>
          <w:sz w:val="22"/>
          <w:szCs w:val="22"/>
        </w:rPr>
        <w:t>cilta-cel</w:t>
      </w:r>
      <w:proofErr w:type="spellEnd"/>
      <w:r w:rsidRPr="00D5139A">
        <w:rPr>
          <w:rFonts w:ascii="Segoe UI" w:eastAsia="Times New Roman" w:hAnsi="Segoe UI" w:cs="Segoe UI"/>
          <w:sz w:val="22"/>
          <w:szCs w:val="22"/>
        </w:rPr>
        <w:t xml:space="preserve">, so it will only partially replace and displace Sd, Pd, or Cd. Suitability and uptake of </w:t>
      </w:r>
      <w:proofErr w:type="spellStart"/>
      <w:r w:rsidRPr="00D5139A">
        <w:rPr>
          <w:rFonts w:ascii="Segoe UI" w:eastAsia="Times New Roman" w:hAnsi="Segoe UI" w:cs="Segoe UI"/>
          <w:sz w:val="22"/>
          <w:szCs w:val="22"/>
        </w:rPr>
        <w:t>cilta-cel</w:t>
      </w:r>
      <w:proofErr w:type="spellEnd"/>
      <w:r w:rsidRPr="00D5139A">
        <w:rPr>
          <w:rFonts w:ascii="Segoe UI" w:eastAsia="Times New Roman" w:hAnsi="Segoe UI" w:cs="Segoe UI"/>
          <w:sz w:val="22"/>
          <w:szCs w:val="22"/>
        </w:rPr>
        <w:t xml:space="preserve"> will be moderated by the fact that:</w:t>
      </w:r>
    </w:p>
    <w:p w14:paraId="13FAA65D" w14:textId="77777777" w:rsidR="00974CF6" w:rsidRPr="00D5139A" w:rsidRDefault="00974CF6" w:rsidP="00D5139A">
      <w:pPr>
        <w:spacing w:before="120" w:after="240" w:line="240" w:lineRule="auto"/>
        <w:jc w:val="both"/>
        <w:rPr>
          <w:rFonts w:ascii="Segoe UI" w:eastAsia="Times New Roman" w:hAnsi="Segoe UI" w:cs="Segoe UI"/>
          <w:sz w:val="22"/>
          <w:szCs w:val="22"/>
        </w:rPr>
      </w:pPr>
      <w:r w:rsidRPr="00D5139A">
        <w:rPr>
          <w:rFonts w:ascii="Segoe UI" w:eastAsia="Times New Roman" w:hAnsi="Segoe UI" w:cs="Segoe UI"/>
          <w:sz w:val="22"/>
          <w:szCs w:val="22"/>
        </w:rPr>
        <w:t xml:space="preserve">Only patients who have received prior PI, </w:t>
      </w:r>
      <w:proofErr w:type="spellStart"/>
      <w:r w:rsidRPr="00D5139A">
        <w:rPr>
          <w:rFonts w:ascii="Segoe UI" w:eastAsia="Times New Roman" w:hAnsi="Segoe UI" w:cs="Segoe UI"/>
          <w:sz w:val="22"/>
          <w:szCs w:val="22"/>
        </w:rPr>
        <w:t>IMiD</w:t>
      </w:r>
      <w:proofErr w:type="spellEnd"/>
      <w:r w:rsidRPr="00D5139A">
        <w:rPr>
          <w:rFonts w:ascii="Segoe UI" w:eastAsia="Times New Roman" w:hAnsi="Segoe UI" w:cs="Segoe UI"/>
          <w:sz w:val="22"/>
          <w:szCs w:val="22"/>
        </w:rPr>
        <w:t xml:space="preserve"> and anti-CD38 can receive </w:t>
      </w:r>
      <w:proofErr w:type="spellStart"/>
      <w:r w:rsidRPr="00D5139A">
        <w:rPr>
          <w:rFonts w:ascii="Segoe UI" w:eastAsia="Times New Roman" w:hAnsi="Segoe UI" w:cs="Segoe UI"/>
          <w:sz w:val="22"/>
          <w:szCs w:val="22"/>
        </w:rPr>
        <w:t>cilta-cel</w:t>
      </w:r>
      <w:proofErr w:type="spellEnd"/>
      <w:r w:rsidRPr="00D5139A">
        <w:rPr>
          <w:rFonts w:ascii="Segoe UI" w:eastAsia="Times New Roman" w:hAnsi="Segoe UI" w:cs="Segoe UI"/>
          <w:sz w:val="22"/>
          <w:szCs w:val="22"/>
        </w:rPr>
        <w:t>. However, by the time a patient reaches 5L MM in Australian clinical practice it is highly likely they have had exposure to each of these treatment classes. Although daratumumab (anti-CD38 inhibitor) is only available on the PBS as a second-line option, it is also available compassionately, and has been since 2017, for people who have exhausted all PBS options and have not previously received prior anti-CD38 therapy (as described above).</w:t>
      </w:r>
    </w:p>
    <w:p w14:paraId="15CAFB07" w14:textId="33D06C13" w:rsidR="00407B82" w:rsidRPr="00D5139A" w:rsidRDefault="00974CF6" w:rsidP="00D5139A">
      <w:pPr>
        <w:spacing w:before="120" w:after="240" w:line="240" w:lineRule="auto"/>
        <w:jc w:val="both"/>
        <w:rPr>
          <w:rFonts w:ascii="Segoe UI" w:eastAsia="Times New Roman" w:hAnsi="Segoe UI" w:cs="Segoe UI"/>
          <w:sz w:val="22"/>
          <w:szCs w:val="22"/>
        </w:rPr>
      </w:pPr>
      <w:r w:rsidRPr="00D5139A">
        <w:rPr>
          <w:rFonts w:ascii="Segoe UI" w:eastAsia="Times New Roman" w:hAnsi="Segoe UI" w:cs="Segoe UI"/>
          <w:sz w:val="22"/>
          <w:szCs w:val="22"/>
        </w:rPr>
        <w:t xml:space="preserve">Only a portion of patients will be able to tolerate or be fit enough for treatment and can travel to the treatment site which may be interstate. Receiving CAR-T therapy is a strenuous process needing apheresis, chemotherapy conditioning, and the infusion which is associated with a risk of significant toxicity. Thus, only those with sufficient fitness will be considered for it. This </w:t>
      </w:r>
      <w:r w:rsidR="00D5139A">
        <w:rPr>
          <w:rFonts w:ascii="Segoe UI" w:eastAsia="Times New Roman" w:hAnsi="Segoe UI" w:cs="Segoe UI"/>
          <w:sz w:val="22"/>
          <w:szCs w:val="22"/>
        </w:rPr>
        <w:t>will inform</w:t>
      </w:r>
      <w:r w:rsidRPr="00D5139A">
        <w:rPr>
          <w:rFonts w:ascii="Segoe UI" w:eastAsia="Times New Roman" w:hAnsi="Segoe UI" w:cs="Segoe UI"/>
          <w:sz w:val="22"/>
          <w:szCs w:val="22"/>
        </w:rPr>
        <w:t xml:space="preserve"> the patient estimates presented in </w:t>
      </w:r>
      <w:r w:rsidR="00D5139A">
        <w:rPr>
          <w:rFonts w:ascii="Segoe UI" w:eastAsia="Times New Roman" w:hAnsi="Segoe UI" w:cs="Segoe UI"/>
          <w:sz w:val="22"/>
          <w:szCs w:val="22"/>
        </w:rPr>
        <w:t>the</w:t>
      </w:r>
      <w:r w:rsidRPr="00D5139A">
        <w:rPr>
          <w:rFonts w:ascii="Segoe UI" w:eastAsia="Times New Roman" w:hAnsi="Segoe UI" w:cs="Segoe UI"/>
          <w:sz w:val="22"/>
          <w:szCs w:val="22"/>
        </w:rPr>
        <w:t xml:space="preserve"> ADAR</w:t>
      </w:r>
      <w:r w:rsidR="00D5139A">
        <w:rPr>
          <w:rFonts w:ascii="Segoe UI" w:eastAsia="Times New Roman" w:hAnsi="Segoe UI" w:cs="Segoe UI"/>
          <w:sz w:val="22"/>
          <w:szCs w:val="22"/>
        </w:rPr>
        <w:t xml:space="preserve"> relevant to this application</w:t>
      </w:r>
      <w:r w:rsidRPr="00D5139A">
        <w:rPr>
          <w:rFonts w:ascii="Segoe UI" w:eastAsia="Times New Roman" w:hAnsi="Segoe UI" w:cs="Segoe UI"/>
          <w:sz w:val="22"/>
          <w:szCs w:val="22"/>
        </w:rPr>
        <w:t>.</w:t>
      </w:r>
    </w:p>
    <w:p w14:paraId="270D08C2" w14:textId="77777777" w:rsidR="00407B82" w:rsidRPr="00407B82" w:rsidRDefault="00407B82" w:rsidP="00407B82">
      <w:pPr>
        <w:spacing w:after="0" w:line="240" w:lineRule="auto"/>
        <w:rPr>
          <w:rFonts w:ascii="Segoe UI" w:eastAsia="Times New Roman" w:hAnsi="Segoe UI"/>
          <w:b/>
          <w:color w:val="000000"/>
          <w:sz w:val="22"/>
        </w:rPr>
      </w:pPr>
    </w:p>
    <w:p w14:paraId="7600E01D" w14:textId="77777777"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t>Outcomes</w:t>
      </w:r>
    </w:p>
    <w:p w14:paraId="45B32575" w14:textId="2722DD15"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List the key health outcomes (major and minor – prioritising major key health outcomes first) that will need to be measured in assessing the clinical claim for the proposed medical service/technology (versus the comparator):</w:t>
      </w:r>
    </w:p>
    <w:p w14:paraId="04B0D9CA" w14:textId="3A0EE441" w:rsidR="00407B82" w:rsidRPr="00407B82" w:rsidRDefault="00481FE8"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407B82" w:rsidRPr="00407B82">
        <w:rPr>
          <w:rFonts w:ascii="Segoe UI" w:eastAsia="Times New Roman" w:hAnsi="Segoe UI" w:cs="Segoe UI"/>
          <w:bCs/>
          <w:sz w:val="22"/>
          <w:szCs w:val="22"/>
        </w:rPr>
        <w:t xml:space="preserve"> Health benefits </w:t>
      </w:r>
    </w:p>
    <w:p w14:paraId="0F9FDD86"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Health harms</w:t>
      </w:r>
    </w:p>
    <w:p w14:paraId="03020792"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Resources </w:t>
      </w:r>
    </w:p>
    <w:p w14:paraId="7FE90DC1" w14:textId="77777777" w:rsidR="00407B82" w:rsidRPr="00407B82" w:rsidRDefault="00407B82" w:rsidP="00407B82">
      <w:pPr>
        <w:spacing w:after="0" w:line="240" w:lineRule="auto"/>
        <w:rPr>
          <w:rFonts w:ascii="Segoe UI" w:eastAsia="Times New Roman" w:hAnsi="Segoe UI" w:cs="Segoe UI"/>
          <w:b/>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Value of knowing</w:t>
      </w:r>
    </w:p>
    <w:p w14:paraId="606ECE6E" w14:textId="77777777" w:rsidR="00407B82" w:rsidRPr="00407B82" w:rsidRDefault="00407B82" w:rsidP="00407B82">
      <w:pPr>
        <w:spacing w:after="0" w:line="240" w:lineRule="auto"/>
        <w:rPr>
          <w:rFonts w:ascii="Segoe UI" w:eastAsia="Times New Roman" w:hAnsi="Segoe UI"/>
          <w:b/>
          <w:color w:val="000000"/>
          <w:sz w:val="22"/>
        </w:rPr>
      </w:pPr>
    </w:p>
    <w:p w14:paraId="15F2316C" w14:textId="77777777"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Outcome description – please include information about whether a change in patient management, or prognosis, occurs </w:t>
      </w:r>
      <w:proofErr w:type="gramStart"/>
      <w:r w:rsidRPr="00407B82">
        <w:rPr>
          <w:rFonts w:ascii="Segoe UI" w:eastAsia="Times New Roman" w:hAnsi="Segoe UI"/>
          <w:b/>
          <w:color w:val="000000"/>
          <w:sz w:val="22"/>
        </w:rPr>
        <w:t>as a result of</w:t>
      </w:r>
      <w:proofErr w:type="gramEnd"/>
      <w:r w:rsidRPr="00407B82">
        <w:rPr>
          <w:rFonts w:ascii="Segoe UI" w:eastAsia="Times New Roman" w:hAnsi="Segoe UI"/>
          <w:b/>
          <w:color w:val="000000"/>
          <w:sz w:val="22"/>
        </w:rPr>
        <w:t xml:space="preserve"> the test information:</w:t>
      </w:r>
    </w:p>
    <w:p w14:paraId="69CB8F0A" w14:textId="5CEB2F74" w:rsidR="00C77B39" w:rsidRDefault="00C77B39" w:rsidP="00407B82">
      <w:pPr>
        <w:spacing w:after="0" w:line="240" w:lineRule="auto"/>
        <w:rPr>
          <w:rFonts w:ascii="Segoe UI" w:eastAsia="Times New Roman" w:hAnsi="Segoe UI"/>
          <w:bCs/>
          <w:color w:val="000000"/>
          <w:sz w:val="22"/>
        </w:rPr>
      </w:pPr>
      <w:r>
        <w:rPr>
          <w:rFonts w:ascii="Segoe UI" w:eastAsia="Times New Roman" w:hAnsi="Segoe UI"/>
          <w:bCs/>
          <w:color w:val="000000"/>
          <w:sz w:val="22"/>
        </w:rPr>
        <w:t>N/A</w:t>
      </w:r>
    </w:p>
    <w:p w14:paraId="60A8EF5B" w14:textId="77777777" w:rsidR="00C77B39" w:rsidRPr="00C77B39" w:rsidRDefault="00C77B39" w:rsidP="00407B82">
      <w:pPr>
        <w:spacing w:after="0" w:line="240" w:lineRule="auto"/>
        <w:rPr>
          <w:rFonts w:ascii="Segoe UI" w:eastAsia="Times New Roman" w:hAnsi="Segoe UI"/>
          <w:bCs/>
          <w:color w:val="000000"/>
          <w:sz w:val="22"/>
        </w:rPr>
      </w:pPr>
    </w:p>
    <w:p w14:paraId="2372BDD0" w14:textId="77777777" w:rsidR="00407B82" w:rsidRPr="00407B82" w:rsidRDefault="00407B82" w:rsidP="00407B82">
      <w:pPr>
        <w:spacing w:after="0" w:line="240" w:lineRule="auto"/>
        <w:rPr>
          <w:rFonts w:ascii="Segoe UI" w:eastAsia="Times New Roman" w:hAnsi="Segoe UI"/>
          <w:b/>
          <w:color w:val="000000"/>
          <w:sz w:val="22"/>
        </w:rPr>
      </w:pPr>
    </w:p>
    <w:p w14:paraId="40A52ADA" w14:textId="77777777"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t>Proposed MBS items</w:t>
      </w:r>
    </w:p>
    <w:p w14:paraId="1B69B175" w14:textId="77777777" w:rsidR="00407B82" w:rsidRPr="00407B82" w:rsidRDefault="00407B82" w:rsidP="00246FB8">
      <w:pPr>
        <w:spacing w:after="0"/>
        <w:rPr>
          <w:rFonts w:ascii="Segoe UI" w:eastAsia="Times New Roman" w:hAnsi="Segoe UI"/>
          <w:b/>
          <w:color w:val="000000"/>
          <w:sz w:val="22"/>
        </w:rPr>
      </w:pPr>
      <w:r w:rsidRPr="00407B82">
        <w:rPr>
          <w:rFonts w:ascii="Segoe UI" w:eastAsia="Times New Roman" w:hAnsi="Segoe UI"/>
          <w:b/>
          <w:color w:val="000000"/>
          <w:sz w:val="22"/>
        </w:rPr>
        <w:t>How is the technology/service funded at present? (</w:t>
      </w:r>
      <w:proofErr w:type="gramStart"/>
      <w:r w:rsidRPr="00407B82">
        <w:rPr>
          <w:rFonts w:ascii="Segoe UI" w:eastAsia="Times New Roman" w:hAnsi="Segoe UI"/>
          <w:b/>
          <w:color w:val="000000"/>
          <w:sz w:val="22"/>
        </w:rPr>
        <w:t>for</w:t>
      </w:r>
      <w:proofErr w:type="gramEnd"/>
      <w:r w:rsidRPr="00407B82">
        <w:rPr>
          <w:rFonts w:ascii="Segoe UI" w:eastAsia="Times New Roman" w:hAnsi="Segoe UI"/>
          <w:b/>
          <w:color w:val="000000"/>
          <w:sz w:val="22"/>
        </w:rPr>
        <w:t xml:space="preserve"> example: research funding; State-based funding; self-funded by patients; no funding or payments): </w:t>
      </w:r>
    </w:p>
    <w:p w14:paraId="40C99B30" w14:textId="3AE8CF47" w:rsidR="00407B82" w:rsidRPr="00407B82" w:rsidRDefault="00091A84" w:rsidP="00407B82">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 xml:space="preserve">No funding (not </w:t>
      </w:r>
      <w:r w:rsidR="00D5139A">
        <w:rPr>
          <w:rFonts w:ascii="Segoe UI" w:eastAsia="Times New Roman" w:hAnsi="Segoe UI" w:cs="Segoe UI"/>
          <w:sz w:val="22"/>
          <w:szCs w:val="22"/>
        </w:rPr>
        <w:t xml:space="preserve">currently </w:t>
      </w:r>
      <w:r>
        <w:rPr>
          <w:rFonts w:ascii="Segoe UI" w:eastAsia="Times New Roman" w:hAnsi="Segoe UI" w:cs="Segoe UI"/>
          <w:sz w:val="22"/>
          <w:szCs w:val="22"/>
        </w:rPr>
        <w:t>funded)</w:t>
      </w:r>
    </w:p>
    <w:p w14:paraId="1153576F"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454DEC61" w14:textId="5BD60DB2" w:rsidR="00407B82" w:rsidRDefault="00407B82" w:rsidP="00407B82">
      <w:pPr>
        <w:spacing w:after="0" w:line="240" w:lineRule="auto"/>
        <w:rPr>
          <w:rFonts w:ascii="Segoe UI" w:eastAsia="Times New Roman" w:hAnsi="Segoe UI" w:cs="Segoe UI"/>
          <w:sz w:val="22"/>
          <w:szCs w:val="22"/>
        </w:rPr>
      </w:pPr>
      <w:r w:rsidRPr="00407B82">
        <w:rPr>
          <w:rFonts w:ascii="Segoe UI" w:eastAsia="Times New Roman" w:hAnsi="Segoe UI" w:cs="Segoe UI"/>
          <w:b/>
          <w:bCs/>
          <w:sz w:val="22"/>
          <w:szCs w:val="22"/>
        </w:rPr>
        <w:t xml:space="preserve">Please provide at least one proposed item with their descriptor and associated costs, for each population/Intervention: </w:t>
      </w:r>
    </w:p>
    <w:p w14:paraId="597221C6" w14:textId="0ECC4B0F" w:rsidR="00407B82" w:rsidRPr="00D5139A" w:rsidRDefault="00091A84" w:rsidP="00246FB8">
      <w:pPr>
        <w:spacing w:after="240" w:line="240" w:lineRule="auto"/>
        <w:jc w:val="both"/>
        <w:rPr>
          <w:rFonts w:ascii="Segoe UI" w:eastAsia="Times New Roman" w:hAnsi="Segoe UI" w:cs="Segoe UI"/>
          <w:b/>
          <w:bCs/>
          <w:sz w:val="22"/>
          <w:szCs w:val="22"/>
        </w:rPr>
      </w:pPr>
      <w:r w:rsidRPr="00D5139A">
        <w:rPr>
          <w:rFonts w:ascii="Segoe UI" w:eastAsia="Times New Roman" w:hAnsi="Segoe UI" w:cs="Segoe UI"/>
          <w:sz w:val="22"/>
          <w:szCs w:val="22"/>
        </w:rPr>
        <w:t>N/A – In accordance with CAR-Ts that have been evaluated by MSAC and are currently funded (i.e., Kymriah</w:t>
      </w:r>
      <w:r w:rsidRPr="00F50E75">
        <w:rPr>
          <w:rFonts w:ascii="Segoe UI" w:eastAsia="Times New Roman" w:hAnsi="Segoe UI" w:cs="Segoe UI"/>
          <w:sz w:val="22"/>
          <w:szCs w:val="22"/>
          <w:vertAlign w:val="superscript"/>
        </w:rPr>
        <w:t>®</w:t>
      </w:r>
      <w:r w:rsidRPr="00D5139A">
        <w:rPr>
          <w:rFonts w:ascii="Segoe UI" w:eastAsia="Times New Roman" w:hAnsi="Segoe UI" w:cs="Segoe UI"/>
          <w:sz w:val="22"/>
          <w:szCs w:val="22"/>
        </w:rPr>
        <w:t>)</w:t>
      </w:r>
      <w:r w:rsidR="00C77B39" w:rsidRPr="00D5139A">
        <w:rPr>
          <w:rFonts w:ascii="Segoe UI" w:eastAsia="Times New Roman" w:hAnsi="Segoe UI" w:cs="Segoe UI"/>
          <w:sz w:val="22"/>
          <w:szCs w:val="22"/>
        </w:rPr>
        <w:t xml:space="preserve"> and treatment site survey results which confirm that the setting of care for </w:t>
      </w:r>
      <w:proofErr w:type="spellStart"/>
      <w:r w:rsidR="00C77B39" w:rsidRPr="00D5139A">
        <w:rPr>
          <w:rFonts w:ascii="Segoe UI" w:eastAsia="Times New Roman" w:hAnsi="Segoe UI" w:cs="Segoe UI"/>
          <w:sz w:val="22"/>
          <w:szCs w:val="22"/>
        </w:rPr>
        <w:t>cilta-cel</w:t>
      </w:r>
      <w:proofErr w:type="spellEnd"/>
      <w:r w:rsidR="00C77B39" w:rsidRPr="00D5139A">
        <w:rPr>
          <w:rFonts w:ascii="Segoe UI" w:eastAsia="Times New Roman" w:hAnsi="Segoe UI" w:cs="Segoe UI"/>
          <w:sz w:val="22"/>
          <w:szCs w:val="22"/>
        </w:rPr>
        <w:t xml:space="preserve"> will be the same as the current CAR-</w:t>
      </w:r>
      <w:proofErr w:type="gramStart"/>
      <w:r w:rsidR="00C77B39" w:rsidRPr="00D5139A">
        <w:rPr>
          <w:rFonts w:ascii="Segoe UI" w:eastAsia="Times New Roman" w:hAnsi="Segoe UI" w:cs="Segoe UI"/>
          <w:sz w:val="22"/>
          <w:szCs w:val="22"/>
        </w:rPr>
        <w:t>T’s</w:t>
      </w:r>
      <w:proofErr w:type="gramEnd"/>
      <w:r w:rsidR="00C77B39" w:rsidRPr="00D5139A">
        <w:rPr>
          <w:rFonts w:ascii="Segoe UI" w:eastAsia="Times New Roman" w:hAnsi="Segoe UI" w:cs="Segoe UI"/>
          <w:sz w:val="22"/>
          <w:szCs w:val="22"/>
        </w:rPr>
        <w:t xml:space="preserve"> funded under the NHRA</w:t>
      </w:r>
      <w:r w:rsidRPr="00D5139A">
        <w:rPr>
          <w:rFonts w:ascii="Segoe UI" w:eastAsia="Times New Roman" w:hAnsi="Segoe UI" w:cs="Segoe UI"/>
          <w:sz w:val="22"/>
          <w:szCs w:val="22"/>
        </w:rPr>
        <w:t xml:space="preserve">, Janssen understands that </w:t>
      </w:r>
      <w:proofErr w:type="spellStart"/>
      <w:r w:rsidRPr="00D5139A">
        <w:rPr>
          <w:rFonts w:ascii="Segoe UI" w:eastAsia="Times New Roman" w:hAnsi="Segoe UI" w:cs="Segoe UI"/>
          <w:sz w:val="22"/>
          <w:szCs w:val="22"/>
        </w:rPr>
        <w:t>cilta-cel</w:t>
      </w:r>
      <w:proofErr w:type="spellEnd"/>
      <w:r w:rsidRPr="00D5139A">
        <w:rPr>
          <w:rFonts w:ascii="Segoe UI" w:eastAsia="Times New Roman" w:hAnsi="Segoe UI" w:cs="Segoe UI"/>
          <w:sz w:val="22"/>
          <w:szCs w:val="22"/>
        </w:rPr>
        <w:t xml:space="preserve"> will not be funded through the MBS but </w:t>
      </w:r>
      <w:r w:rsidR="00C77B39" w:rsidRPr="00D5139A">
        <w:rPr>
          <w:rFonts w:ascii="Segoe UI" w:eastAsia="Times New Roman" w:hAnsi="Segoe UI" w:cs="Segoe UI"/>
          <w:sz w:val="22"/>
          <w:szCs w:val="22"/>
        </w:rPr>
        <w:t>through</w:t>
      </w:r>
      <w:r w:rsidRPr="00D5139A">
        <w:rPr>
          <w:rFonts w:ascii="Segoe UI" w:eastAsia="Times New Roman" w:hAnsi="Segoe UI" w:cs="Segoe UI"/>
          <w:sz w:val="22"/>
          <w:szCs w:val="22"/>
        </w:rPr>
        <w:t xml:space="preserve"> NHRA</w:t>
      </w:r>
      <w:r w:rsidR="00C77B39" w:rsidRPr="00D5139A">
        <w:rPr>
          <w:rFonts w:ascii="Segoe UI" w:eastAsia="Times New Roman" w:hAnsi="Segoe UI" w:cs="Segoe UI"/>
          <w:sz w:val="22"/>
          <w:szCs w:val="22"/>
        </w:rPr>
        <w:t xml:space="preserve">. </w:t>
      </w:r>
    </w:p>
    <w:p w14:paraId="67339BA4" w14:textId="1090378E" w:rsidR="00407B82" w:rsidRPr="001864E1"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 xml:space="preserve">Proposed item details </w:t>
      </w:r>
    </w:p>
    <w:p w14:paraId="3A6DFF73" w14:textId="325F641B" w:rsidR="00407B82" w:rsidRPr="00407B82" w:rsidRDefault="001864E1" w:rsidP="00407B82">
      <w:pPr>
        <w:spacing w:after="0" w:line="240" w:lineRule="auto"/>
        <w:rPr>
          <w:rFonts w:ascii="Segoe UI" w:eastAsia="Times New Roman" w:hAnsi="Segoe UI"/>
          <w:bCs/>
          <w:color w:val="000000"/>
          <w:sz w:val="22"/>
        </w:rPr>
      </w:pPr>
      <w:bookmarkStart w:id="6" w:name="_Hlk121232719"/>
      <w:r>
        <w:rPr>
          <w:rFonts w:ascii="Segoe UI" w:eastAsia="Times New Roman" w:hAnsi="Segoe UI"/>
          <w:bCs/>
          <w:color w:val="000000"/>
          <w:sz w:val="22"/>
        </w:rPr>
        <w:t>N/A</w:t>
      </w:r>
    </w:p>
    <w:bookmarkEnd w:id="6"/>
    <w:p w14:paraId="28EDA04B" w14:textId="77777777" w:rsidR="00407B82" w:rsidRPr="00407B82" w:rsidRDefault="00407B82" w:rsidP="00407B82">
      <w:pPr>
        <w:spacing w:after="0" w:line="240" w:lineRule="auto"/>
        <w:rPr>
          <w:rFonts w:ascii="Segoe UI" w:eastAsia="Times New Roman" w:hAnsi="Segoe UI"/>
          <w:bCs/>
          <w:color w:val="000000"/>
          <w:sz w:val="22"/>
        </w:rPr>
      </w:pPr>
    </w:p>
    <w:p w14:paraId="57BC60AD" w14:textId="77777777" w:rsidR="00246FB8" w:rsidRDefault="00246FB8">
      <w:pPr>
        <w:rPr>
          <w:rFonts w:ascii="Segoe UI" w:eastAsia="Times New Roman" w:hAnsi="Segoe UI"/>
          <w:b/>
          <w:color w:val="000000"/>
          <w:sz w:val="32"/>
        </w:rPr>
      </w:pPr>
      <w:r>
        <w:rPr>
          <w:rFonts w:ascii="Segoe UI" w:eastAsia="Times New Roman" w:hAnsi="Segoe UI"/>
          <w:b/>
          <w:color w:val="000000"/>
          <w:sz w:val="32"/>
        </w:rPr>
        <w:br w:type="page"/>
      </w:r>
    </w:p>
    <w:p w14:paraId="6B2409B4" w14:textId="34B67BE9"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t>Algorithms</w:t>
      </w:r>
    </w:p>
    <w:p w14:paraId="60952A70" w14:textId="77777777" w:rsidR="00407B82" w:rsidRPr="00407B82" w:rsidRDefault="00407B82" w:rsidP="00407B82">
      <w:pPr>
        <w:rPr>
          <w:rFonts w:ascii="Segoe UI" w:eastAsia="Times New Roman" w:hAnsi="Segoe UI"/>
          <w:b/>
          <w:color w:val="000000"/>
          <w:u w:val="single"/>
        </w:rPr>
      </w:pPr>
      <w:r w:rsidRPr="00407B82">
        <w:rPr>
          <w:rFonts w:ascii="Segoe UI" w:eastAsia="Times New Roman" w:hAnsi="Segoe UI"/>
          <w:b/>
          <w:color w:val="000000"/>
          <w:u w:val="single"/>
        </w:rPr>
        <w:t>Preparation for using the health technology</w:t>
      </w:r>
    </w:p>
    <w:p w14:paraId="5589E1D4" w14:textId="77777777" w:rsidR="00407B82" w:rsidRPr="00407B82" w:rsidRDefault="00407B82" w:rsidP="00407B82">
      <w:pPr>
        <w:spacing w:after="0" w:line="240" w:lineRule="auto"/>
        <w:rPr>
          <w:rFonts w:ascii="Segoe UI" w:eastAsia="Times New Roman" w:hAnsi="Segoe UI"/>
          <w:b/>
          <w:color w:val="000000"/>
          <w:sz w:val="22"/>
        </w:rPr>
      </w:pPr>
      <w:r w:rsidRPr="00130C92">
        <w:rPr>
          <w:rFonts w:ascii="Segoe UI" w:eastAsia="Times New Roman" w:hAnsi="Segoe UI"/>
          <w:b/>
          <w:color w:val="000000"/>
          <w:sz w:val="22"/>
        </w:rPr>
        <w:t xml:space="preserve">Define and summarise the clinical management algorithm, including any required tests or healthcare resources, before patients would be eligible for the </w:t>
      </w:r>
      <w:r w:rsidRPr="00130C92">
        <w:rPr>
          <w:rFonts w:ascii="Segoe UI" w:eastAsia="Times New Roman" w:hAnsi="Segoe UI"/>
          <w:b/>
          <w:color w:val="000000"/>
          <w:sz w:val="22"/>
          <w:u w:val="single"/>
        </w:rPr>
        <w:t>proposed health technology</w:t>
      </w:r>
      <w:r w:rsidRPr="00130C92">
        <w:rPr>
          <w:rFonts w:ascii="Segoe UI" w:eastAsia="Times New Roman" w:hAnsi="Segoe UI"/>
          <w:b/>
          <w:color w:val="000000"/>
          <w:sz w:val="22"/>
        </w:rPr>
        <w:t>:</w:t>
      </w:r>
    </w:p>
    <w:p w14:paraId="16EC2CBF" w14:textId="7D7D63C4" w:rsidR="00281E3E" w:rsidRPr="00281E3E" w:rsidRDefault="00281E3E" w:rsidP="001864E1">
      <w:pPr>
        <w:spacing w:before="120" w:after="240" w:line="240" w:lineRule="auto"/>
        <w:rPr>
          <w:rFonts w:ascii="Segoe UI" w:eastAsia="Times New Roman" w:hAnsi="Segoe UI" w:cs="Segoe UI"/>
          <w:sz w:val="22"/>
          <w:szCs w:val="22"/>
        </w:rPr>
      </w:pPr>
      <w:r w:rsidRPr="00281E3E">
        <w:rPr>
          <w:rFonts w:ascii="Segoe UI" w:eastAsia="Times New Roman" w:hAnsi="Segoe UI" w:cs="Segoe UI"/>
          <w:sz w:val="22"/>
          <w:szCs w:val="22"/>
        </w:rPr>
        <w:t>The management of patients with MM is individualised and many factors are considered in making treatment decisions determined by age, comorbidities, frailty, and disability.</w:t>
      </w:r>
    </w:p>
    <w:p w14:paraId="227F24DD" w14:textId="64E3EC46" w:rsidR="00130C92" w:rsidRPr="00281E3E" w:rsidRDefault="00130C92" w:rsidP="001864E1">
      <w:pPr>
        <w:spacing w:before="120" w:after="120" w:line="240" w:lineRule="auto"/>
        <w:rPr>
          <w:rFonts w:ascii="Segoe UI" w:eastAsia="Times New Roman" w:hAnsi="Segoe UI" w:cs="Segoe UI"/>
          <w:i/>
          <w:iCs/>
          <w:sz w:val="22"/>
          <w:szCs w:val="22"/>
        </w:rPr>
      </w:pPr>
      <w:r w:rsidRPr="00281E3E">
        <w:rPr>
          <w:rFonts w:ascii="Segoe UI" w:eastAsia="Times New Roman" w:hAnsi="Segoe UI" w:cs="Segoe UI"/>
          <w:i/>
          <w:iCs/>
          <w:sz w:val="22"/>
          <w:szCs w:val="22"/>
        </w:rPr>
        <w:t>Treatment of Newly diagnosed MM</w:t>
      </w:r>
    </w:p>
    <w:p w14:paraId="7CE553F7" w14:textId="7F6A0CEF" w:rsidR="00130C92" w:rsidRPr="00281E3E" w:rsidRDefault="00130C92" w:rsidP="001864E1">
      <w:pPr>
        <w:spacing w:before="120" w:after="240" w:line="240" w:lineRule="auto"/>
        <w:rPr>
          <w:rFonts w:ascii="Segoe UI" w:eastAsia="Times New Roman" w:hAnsi="Segoe UI" w:cs="Segoe UI"/>
          <w:sz w:val="22"/>
          <w:szCs w:val="22"/>
        </w:rPr>
      </w:pPr>
      <w:r w:rsidRPr="00281E3E">
        <w:rPr>
          <w:rFonts w:ascii="Segoe UI" w:eastAsia="Times New Roman" w:hAnsi="Segoe UI" w:cs="Segoe UI"/>
          <w:sz w:val="22"/>
          <w:szCs w:val="22"/>
        </w:rPr>
        <w:t xml:space="preserve">At diagnosis, patients with MM are classified into transplant eligible and transplant ineligible. Eligibility for autologous transplantation is assessed on age, </w:t>
      </w:r>
      <w:proofErr w:type="gramStart"/>
      <w:r w:rsidRPr="00281E3E">
        <w:rPr>
          <w:rFonts w:ascii="Segoe UI" w:eastAsia="Times New Roman" w:hAnsi="Segoe UI" w:cs="Segoe UI"/>
          <w:sz w:val="22"/>
          <w:szCs w:val="22"/>
        </w:rPr>
        <w:t>comorbidities</w:t>
      </w:r>
      <w:proofErr w:type="gramEnd"/>
      <w:r w:rsidRPr="00281E3E">
        <w:rPr>
          <w:rFonts w:ascii="Segoe UI" w:eastAsia="Times New Roman" w:hAnsi="Segoe UI" w:cs="Segoe UI"/>
          <w:sz w:val="22"/>
          <w:szCs w:val="22"/>
        </w:rPr>
        <w:t xml:space="preserve"> and frailty. The upper age limit for transplantation is generally 70–75 years in Australia. </w:t>
      </w:r>
    </w:p>
    <w:p w14:paraId="3655DB38" w14:textId="2218ABF8" w:rsidR="00130C92" w:rsidRPr="00281E3E" w:rsidRDefault="00130C92" w:rsidP="001864E1">
      <w:pPr>
        <w:spacing w:before="120" w:after="240" w:line="240" w:lineRule="auto"/>
        <w:rPr>
          <w:rFonts w:ascii="Segoe UI" w:eastAsia="Times New Roman" w:hAnsi="Segoe UI" w:cs="Segoe UI"/>
          <w:sz w:val="22"/>
          <w:szCs w:val="22"/>
        </w:rPr>
      </w:pPr>
      <w:r w:rsidRPr="00281E3E">
        <w:rPr>
          <w:rFonts w:ascii="Segoe UI" w:eastAsia="Times New Roman" w:hAnsi="Segoe UI" w:cs="Segoe UI"/>
          <w:sz w:val="22"/>
          <w:szCs w:val="22"/>
        </w:rPr>
        <w:t>The treatment algorithm is informed by the Australian MSAG guidelines and the PBS restrictions for currently available therapies. Currently available myeloma therapies in Australia include four classes of therapeutic agents – proteosome inhibitors (PI [</w:t>
      </w:r>
      <w:proofErr w:type="gramStart"/>
      <w:r w:rsidRPr="00281E3E">
        <w:rPr>
          <w:rFonts w:ascii="Segoe UI" w:eastAsia="Times New Roman" w:hAnsi="Segoe UI" w:cs="Segoe UI"/>
          <w:sz w:val="22"/>
          <w:szCs w:val="22"/>
        </w:rPr>
        <w:t>e.g.</w:t>
      </w:r>
      <w:proofErr w:type="gramEnd"/>
      <w:r w:rsidRPr="00281E3E">
        <w:rPr>
          <w:rFonts w:ascii="Segoe UI" w:eastAsia="Times New Roman" w:hAnsi="Segoe UI" w:cs="Segoe UI"/>
          <w:sz w:val="22"/>
          <w:szCs w:val="22"/>
        </w:rPr>
        <w:t xml:space="preserve"> bortezomib, carfilzomib]), immunomodulator drugs (</w:t>
      </w:r>
      <w:proofErr w:type="spellStart"/>
      <w:r w:rsidRPr="00281E3E">
        <w:rPr>
          <w:rFonts w:ascii="Segoe UI" w:eastAsia="Times New Roman" w:hAnsi="Segoe UI" w:cs="Segoe UI"/>
          <w:sz w:val="22"/>
          <w:szCs w:val="22"/>
        </w:rPr>
        <w:t>IMiDs</w:t>
      </w:r>
      <w:proofErr w:type="spellEnd"/>
      <w:r w:rsidRPr="00281E3E">
        <w:rPr>
          <w:rFonts w:ascii="Segoe UI" w:eastAsia="Times New Roman" w:hAnsi="Segoe UI" w:cs="Segoe UI"/>
          <w:sz w:val="22"/>
          <w:szCs w:val="22"/>
        </w:rPr>
        <w:t xml:space="preserve"> [e.g. thalidomide, lenalidomide, pomalidomide]), monoclonal antibodies (</w:t>
      </w:r>
      <w:proofErr w:type="spellStart"/>
      <w:r w:rsidRPr="00281E3E">
        <w:rPr>
          <w:rFonts w:ascii="Segoe UI" w:eastAsia="Times New Roman" w:hAnsi="Segoe UI" w:cs="Segoe UI"/>
          <w:sz w:val="22"/>
          <w:szCs w:val="22"/>
        </w:rPr>
        <w:t>elotuzumab</w:t>
      </w:r>
      <w:proofErr w:type="spellEnd"/>
      <w:r w:rsidRPr="00281E3E">
        <w:rPr>
          <w:rFonts w:ascii="Segoe UI" w:eastAsia="Times New Roman" w:hAnsi="Segoe UI" w:cs="Segoe UI"/>
          <w:sz w:val="22"/>
          <w:szCs w:val="22"/>
        </w:rPr>
        <w:t xml:space="preserve">, daratumumab) and most recently following the PBS listing of </w:t>
      </w:r>
      <w:proofErr w:type="spellStart"/>
      <w:r w:rsidRPr="00281E3E">
        <w:rPr>
          <w:rFonts w:ascii="Segoe UI" w:eastAsia="Times New Roman" w:hAnsi="Segoe UI" w:cs="Segoe UI"/>
          <w:sz w:val="22"/>
          <w:szCs w:val="22"/>
        </w:rPr>
        <w:t>selinexor</w:t>
      </w:r>
      <w:proofErr w:type="spellEnd"/>
      <w:r w:rsidRPr="00281E3E">
        <w:rPr>
          <w:rFonts w:ascii="Segoe UI" w:eastAsia="Times New Roman" w:hAnsi="Segoe UI" w:cs="Segoe UI"/>
          <w:sz w:val="22"/>
          <w:szCs w:val="22"/>
        </w:rPr>
        <w:t>, selective inhibitor of nuclear export (SINE) (</w:t>
      </w:r>
      <w:r w:rsidRPr="00F50E75">
        <w:rPr>
          <w:rFonts w:ascii="Segoe UI" w:eastAsia="Times New Roman" w:hAnsi="Segoe UI" w:cs="Segoe UI"/>
          <w:color w:val="4472C4" w:themeColor="accent1"/>
          <w:sz w:val="22"/>
          <w:szCs w:val="22"/>
        </w:rPr>
        <w:t>Quach et al 2019; Tomlinson et al, 2018</w:t>
      </w:r>
      <w:r w:rsidRPr="00281E3E">
        <w:rPr>
          <w:rFonts w:ascii="Segoe UI" w:eastAsia="Times New Roman" w:hAnsi="Segoe UI" w:cs="Segoe UI"/>
          <w:sz w:val="22"/>
          <w:szCs w:val="22"/>
        </w:rPr>
        <w:t>).</w:t>
      </w:r>
    </w:p>
    <w:p w14:paraId="3AA66EE4" w14:textId="681154DF" w:rsidR="00130C92" w:rsidRPr="00281E3E" w:rsidRDefault="00130C92" w:rsidP="001864E1">
      <w:pPr>
        <w:spacing w:before="120" w:after="240" w:line="240" w:lineRule="auto"/>
        <w:rPr>
          <w:rFonts w:ascii="Segoe UI" w:eastAsia="Times New Roman" w:hAnsi="Segoe UI" w:cs="Segoe UI"/>
          <w:sz w:val="22"/>
          <w:szCs w:val="22"/>
        </w:rPr>
      </w:pPr>
      <w:r w:rsidRPr="00281E3E">
        <w:rPr>
          <w:rFonts w:ascii="Segoe UI" w:eastAsia="Times New Roman" w:hAnsi="Segoe UI" w:cs="Segoe UI"/>
          <w:sz w:val="22"/>
          <w:szCs w:val="22"/>
        </w:rPr>
        <w:t xml:space="preserve">Most transplant eligible patients will receive a </w:t>
      </w:r>
      <w:r w:rsidR="00D16069">
        <w:rPr>
          <w:rFonts w:ascii="Segoe UI" w:eastAsia="Times New Roman" w:hAnsi="Segoe UI" w:cs="Segoe UI"/>
          <w:sz w:val="22"/>
          <w:szCs w:val="22"/>
        </w:rPr>
        <w:t>b</w:t>
      </w:r>
      <w:r w:rsidR="00D16069" w:rsidRPr="00281E3E">
        <w:rPr>
          <w:rFonts w:ascii="Segoe UI" w:eastAsia="Times New Roman" w:hAnsi="Segoe UI" w:cs="Segoe UI"/>
          <w:sz w:val="22"/>
          <w:szCs w:val="22"/>
        </w:rPr>
        <w:t>ortezomib, lenalidomide plus dexamethasone (</w:t>
      </w:r>
      <w:proofErr w:type="spellStart"/>
      <w:r w:rsidR="00D16069" w:rsidRPr="00281E3E">
        <w:rPr>
          <w:rFonts w:ascii="Segoe UI" w:eastAsia="Times New Roman" w:hAnsi="Segoe UI" w:cs="Segoe UI"/>
          <w:sz w:val="22"/>
          <w:szCs w:val="22"/>
        </w:rPr>
        <w:t>BLd</w:t>
      </w:r>
      <w:proofErr w:type="spellEnd"/>
      <w:r w:rsidR="00D16069" w:rsidRPr="00281E3E">
        <w:rPr>
          <w:rFonts w:ascii="Segoe UI" w:eastAsia="Times New Roman" w:hAnsi="Segoe UI" w:cs="Segoe UI"/>
          <w:sz w:val="22"/>
          <w:szCs w:val="22"/>
        </w:rPr>
        <w:t xml:space="preserve">) </w:t>
      </w:r>
      <w:r w:rsidRPr="00281E3E">
        <w:rPr>
          <w:rFonts w:ascii="Segoe UI" w:eastAsia="Times New Roman" w:hAnsi="Segoe UI" w:cs="Segoe UI"/>
          <w:sz w:val="22"/>
          <w:szCs w:val="22"/>
        </w:rPr>
        <w:t xml:space="preserve">and go on to receive lenalidomide maintenance after transplantation. The MSAG clinical guideline (2022) recommends that patients who are ineligible for ASCT but who are </w:t>
      </w:r>
      <w:proofErr w:type="gramStart"/>
      <w:r w:rsidRPr="00281E3E">
        <w:rPr>
          <w:rFonts w:ascii="Segoe UI" w:eastAsia="Times New Roman" w:hAnsi="Segoe UI" w:cs="Segoe UI"/>
          <w:sz w:val="22"/>
          <w:szCs w:val="22"/>
        </w:rPr>
        <w:t>fit</w:t>
      </w:r>
      <w:proofErr w:type="gramEnd"/>
      <w:r w:rsidRPr="00281E3E">
        <w:rPr>
          <w:rFonts w:ascii="Segoe UI" w:eastAsia="Times New Roman" w:hAnsi="Segoe UI" w:cs="Segoe UI"/>
          <w:sz w:val="22"/>
          <w:szCs w:val="22"/>
        </w:rPr>
        <w:t xml:space="preserve"> or intermediate-fit should undergo standard treatment regimens containing an </w:t>
      </w:r>
      <w:proofErr w:type="spellStart"/>
      <w:r w:rsidRPr="00281E3E">
        <w:rPr>
          <w:rFonts w:ascii="Segoe UI" w:eastAsia="Times New Roman" w:hAnsi="Segoe UI" w:cs="Segoe UI"/>
          <w:sz w:val="22"/>
          <w:szCs w:val="22"/>
        </w:rPr>
        <w:t>IMiD</w:t>
      </w:r>
      <w:proofErr w:type="spellEnd"/>
      <w:r w:rsidRPr="00281E3E">
        <w:rPr>
          <w:rFonts w:ascii="Segoe UI" w:eastAsia="Times New Roman" w:hAnsi="Segoe UI" w:cs="Segoe UI"/>
          <w:sz w:val="22"/>
          <w:szCs w:val="22"/>
        </w:rPr>
        <w:t xml:space="preserve"> and/or a proteasome inhibitor (i.e., </w:t>
      </w:r>
      <w:proofErr w:type="spellStart"/>
      <w:r w:rsidRPr="00281E3E">
        <w:rPr>
          <w:rFonts w:ascii="Segoe UI" w:eastAsia="Times New Roman" w:hAnsi="Segoe UI" w:cs="Segoe UI"/>
          <w:sz w:val="22"/>
          <w:szCs w:val="22"/>
        </w:rPr>
        <w:t>BLd</w:t>
      </w:r>
      <w:proofErr w:type="spellEnd"/>
      <w:r w:rsidRPr="00281E3E">
        <w:rPr>
          <w:rFonts w:ascii="Segoe UI" w:eastAsia="Times New Roman" w:hAnsi="Segoe UI" w:cs="Segoe UI"/>
          <w:sz w:val="22"/>
          <w:szCs w:val="22"/>
        </w:rPr>
        <w:t>, Ld or other bortezomib-based regimens [</w:t>
      </w:r>
      <w:proofErr w:type="spellStart"/>
      <w:r w:rsidRPr="00281E3E">
        <w:rPr>
          <w:rFonts w:ascii="Segoe UI" w:eastAsia="Times New Roman" w:hAnsi="Segoe UI" w:cs="Segoe UI"/>
          <w:sz w:val="22"/>
          <w:szCs w:val="22"/>
        </w:rPr>
        <w:t>BCd</w:t>
      </w:r>
      <w:proofErr w:type="spellEnd"/>
      <w:r w:rsidRPr="00281E3E">
        <w:rPr>
          <w:rFonts w:ascii="Segoe UI" w:eastAsia="Times New Roman" w:hAnsi="Segoe UI" w:cs="Segoe UI"/>
          <w:sz w:val="22"/>
          <w:szCs w:val="22"/>
        </w:rPr>
        <w:t xml:space="preserve">]), while frail (and typically much older) patients should be considered for doublet therapies (i.e., </w:t>
      </w:r>
      <w:proofErr w:type="spellStart"/>
      <w:r w:rsidRPr="00281E3E">
        <w:rPr>
          <w:rFonts w:ascii="Segoe UI" w:eastAsia="Times New Roman" w:hAnsi="Segoe UI" w:cs="Segoe UI"/>
          <w:sz w:val="22"/>
          <w:szCs w:val="22"/>
        </w:rPr>
        <w:t>Ld</w:t>
      </w:r>
      <w:proofErr w:type="spellEnd"/>
      <w:r w:rsidRPr="00281E3E">
        <w:rPr>
          <w:rFonts w:ascii="Segoe UI" w:eastAsia="Times New Roman" w:hAnsi="Segoe UI" w:cs="Segoe UI"/>
          <w:sz w:val="22"/>
          <w:szCs w:val="22"/>
        </w:rPr>
        <w:t>, Bd) with or without reduced dose-intensity.</w:t>
      </w:r>
    </w:p>
    <w:p w14:paraId="33FE9D3E" w14:textId="192EFCD6" w:rsidR="00130C92" w:rsidRPr="00281E3E" w:rsidRDefault="00130C92" w:rsidP="001864E1">
      <w:pPr>
        <w:spacing w:before="120" w:after="120" w:line="240" w:lineRule="auto"/>
        <w:rPr>
          <w:rFonts w:ascii="Segoe UI" w:eastAsia="Times New Roman" w:hAnsi="Segoe UI" w:cs="Segoe UI"/>
          <w:i/>
          <w:iCs/>
          <w:sz w:val="22"/>
          <w:szCs w:val="22"/>
        </w:rPr>
      </w:pPr>
      <w:r w:rsidRPr="00281E3E">
        <w:rPr>
          <w:rFonts w:ascii="Segoe UI" w:eastAsia="Times New Roman" w:hAnsi="Segoe UI" w:cs="Segoe UI"/>
          <w:i/>
          <w:iCs/>
          <w:sz w:val="22"/>
          <w:szCs w:val="22"/>
        </w:rPr>
        <w:t>Treatment of RR MM</w:t>
      </w:r>
    </w:p>
    <w:p w14:paraId="49E3293E" w14:textId="16BD7097" w:rsidR="00130C92" w:rsidRPr="00281E3E" w:rsidRDefault="00130C92" w:rsidP="001864E1">
      <w:pPr>
        <w:spacing w:before="120" w:after="240" w:line="240" w:lineRule="auto"/>
        <w:rPr>
          <w:rFonts w:ascii="Segoe UI" w:eastAsia="Times New Roman" w:hAnsi="Segoe UI" w:cs="Segoe UI"/>
          <w:sz w:val="22"/>
          <w:szCs w:val="22"/>
        </w:rPr>
      </w:pPr>
      <w:r w:rsidRPr="00281E3E">
        <w:rPr>
          <w:rFonts w:ascii="Segoe UI" w:eastAsia="Times New Roman" w:hAnsi="Segoe UI" w:cs="Segoe UI"/>
          <w:sz w:val="22"/>
          <w:szCs w:val="22"/>
        </w:rPr>
        <w:t xml:space="preserve">The type of prior therapy </w:t>
      </w:r>
      <w:proofErr w:type="gramStart"/>
      <w:r w:rsidRPr="00281E3E">
        <w:rPr>
          <w:rFonts w:ascii="Segoe UI" w:eastAsia="Times New Roman" w:hAnsi="Segoe UI" w:cs="Segoe UI"/>
          <w:sz w:val="22"/>
          <w:szCs w:val="22"/>
        </w:rPr>
        <w:t>received,</w:t>
      </w:r>
      <w:proofErr w:type="gramEnd"/>
      <w:r w:rsidRPr="00281E3E">
        <w:rPr>
          <w:rFonts w:ascii="Segoe UI" w:eastAsia="Times New Roman" w:hAnsi="Segoe UI" w:cs="Segoe UI"/>
          <w:sz w:val="22"/>
          <w:szCs w:val="22"/>
        </w:rPr>
        <w:t xml:space="preserve"> response and associated toxicities with prior therapy are important factors which determine treatment of relapsed/refractory patients in the second line setting. Treatments PBS listed for patients with RRMM include lenalidomide, bortezomib, </w:t>
      </w:r>
      <w:proofErr w:type="spellStart"/>
      <w:r w:rsidRPr="00281E3E">
        <w:rPr>
          <w:rFonts w:ascii="Segoe UI" w:eastAsia="Times New Roman" w:hAnsi="Segoe UI" w:cs="Segoe UI"/>
          <w:sz w:val="22"/>
          <w:szCs w:val="22"/>
        </w:rPr>
        <w:t>elotuzumab</w:t>
      </w:r>
      <w:proofErr w:type="spellEnd"/>
      <w:r w:rsidRPr="00281E3E">
        <w:rPr>
          <w:rFonts w:ascii="Segoe UI" w:eastAsia="Times New Roman" w:hAnsi="Segoe UI" w:cs="Segoe UI"/>
          <w:sz w:val="22"/>
          <w:szCs w:val="22"/>
        </w:rPr>
        <w:t xml:space="preserve">, carfilzomib, pomalidomide, </w:t>
      </w:r>
      <w:proofErr w:type="spellStart"/>
      <w:r w:rsidRPr="00281E3E">
        <w:rPr>
          <w:rFonts w:ascii="Segoe UI" w:eastAsia="Times New Roman" w:hAnsi="Segoe UI" w:cs="Segoe UI"/>
          <w:sz w:val="22"/>
          <w:szCs w:val="22"/>
        </w:rPr>
        <w:t>selinexor</w:t>
      </w:r>
      <w:proofErr w:type="spellEnd"/>
      <w:r w:rsidRPr="00281E3E">
        <w:rPr>
          <w:rFonts w:ascii="Segoe UI" w:eastAsia="Times New Roman" w:hAnsi="Segoe UI" w:cs="Segoe UI"/>
          <w:sz w:val="22"/>
          <w:szCs w:val="22"/>
        </w:rPr>
        <w:t xml:space="preserve"> and thalidomide. </w:t>
      </w:r>
      <w:proofErr w:type="gramStart"/>
      <w:r w:rsidRPr="00281E3E">
        <w:rPr>
          <w:rFonts w:ascii="Segoe UI" w:eastAsia="Times New Roman" w:hAnsi="Segoe UI" w:cs="Segoe UI"/>
          <w:sz w:val="22"/>
          <w:szCs w:val="22"/>
        </w:rPr>
        <w:t>These treatments,</w:t>
      </w:r>
      <w:proofErr w:type="gramEnd"/>
      <w:r w:rsidRPr="00281E3E">
        <w:rPr>
          <w:rFonts w:ascii="Segoe UI" w:eastAsia="Times New Roman" w:hAnsi="Segoe UI" w:cs="Segoe UI"/>
          <w:sz w:val="22"/>
          <w:szCs w:val="22"/>
        </w:rPr>
        <w:t xml:space="preserve"> may or may not be used in combination with chemotherapies and/or corticosteroids (most commonly dexamethasone). Lenalidomide, bortezomib, carfilzomib, </w:t>
      </w:r>
      <w:proofErr w:type="spellStart"/>
      <w:r w:rsidRPr="00281E3E">
        <w:rPr>
          <w:rFonts w:ascii="Segoe UI" w:eastAsia="Times New Roman" w:hAnsi="Segoe UI" w:cs="Segoe UI"/>
          <w:sz w:val="22"/>
          <w:szCs w:val="22"/>
        </w:rPr>
        <w:t>elotuzumab</w:t>
      </w:r>
      <w:proofErr w:type="spellEnd"/>
      <w:r w:rsidRPr="00281E3E">
        <w:rPr>
          <w:rFonts w:ascii="Segoe UI" w:eastAsia="Times New Roman" w:hAnsi="Segoe UI" w:cs="Segoe UI"/>
          <w:sz w:val="22"/>
          <w:szCs w:val="22"/>
        </w:rPr>
        <w:t>, pomalidomide</w:t>
      </w:r>
      <w:r w:rsidR="00D16069">
        <w:rPr>
          <w:rFonts w:ascii="Segoe UI" w:eastAsia="Times New Roman" w:hAnsi="Segoe UI" w:cs="Segoe UI"/>
          <w:sz w:val="22"/>
          <w:szCs w:val="22"/>
        </w:rPr>
        <w:t xml:space="preserve">, </w:t>
      </w:r>
      <w:proofErr w:type="spellStart"/>
      <w:r w:rsidR="00D16069">
        <w:rPr>
          <w:rFonts w:ascii="Segoe UI" w:eastAsia="Times New Roman" w:hAnsi="Segoe UI" w:cs="Segoe UI"/>
          <w:sz w:val="22"/>
          <w:szCs w:val="22"/>
        </w:rPr>
        <w:t>selinexor</w:t>
      </w:r>
      <w:proofErr w:type="spellEnd"/>
      <w:r w:rsidRPr="00281E3E">
        <w:rPr>
          <w:rFonts w:ascii="Segoe UI" w:eastAsia="Times New Roman" w:hAnsi="Segoe UI" w:cs="Segoe UI"/>
          <w:sz w:val="22"/>
          <w:szCs w:val="22"/>
        </w:rPr>
        <w:t xml:space="preserve"> and thalidomide have line agnostic PBS listings in the RRMM setting. </w:t>
      </w:r>
      <w:r w:rsidR="00D16069">
        <w:rPr>
          <w:rFonts w:ascii="Segoe UI" w:eastAsia="Times New Roman" w:hAnsi="Segoe UI" w:cs="Segoe UI"/>
          <w:sz w:val="22"/>
          <w:szCs w:val="22"/>
        </w:rPr>
        <w:t>D</w:t>
      </w:r>
      <w:r w:rsidRPr="00281E3E">
        <w:rPr>
          <w:rFonts w:ascii="Segoe UI" w:eastAsia="Times New Roman" w:hAnsi="Segoe UI" w:cs="Segoe UI"/>
          <w:sz w:val="22"/>
          <w:szCs w:val="22"/>
        </w:rPr>
        <w:t xml:space="preserve">aratumumab, bortezomib </w:t>
      </w:r>
      <w:r w:rsidRPr="00281E3E">
        <w:rPr>
          <w:rFonts w:ascii="Segoe UI" w:eastAsia="Times New Roman" w:hAnsi="Segoe UI" w:cs="Segoe UI"/>
          <w:sz w:val="22"/>
          <w:szCs w:val="22"/>
        </w:rPr>
        <w:lastRenderedPageBreak/>
        <w:t>and dexamethasone (</w:t>
      </w:r>
      <w:proofErr w:type="spellStart"/>
      <w:r w:rsidRPr="00281E3E">
        <w:rPr>
          <w:rFonts w:ascii="Segoe UI" w:eastAsia="Times New Roman" w:hAnsi="Segoe UI" w:cs="Segoe UI"/>
          <w:sz w:val="22"/>
          <w:szCs w:val="22"/>
        </w:rPr>
        <w:t>DBd</w:t>
      </w:r>
      <w:proofErr w:type="spellEnd"/>
      <w:r w:rsidRPr="00281E3E">
        <w:rPr>
          <w:rFonts w:ascii="Segoe UI" w:eastAsia="Times New Roman" w:hAnsi="Segoe UI" w:cs="Segoe UI"/>
          <w:sz w:val="22"/>
          <w:szCs w:val="22"/>
        </w:rPr>
        <w:t xml:space="preserve">) </w:t>
      </w:r>
      <w:r w:rsidR="00D16069">
        <w:rPr>
          <w:rFonts w:ascii="Segoe UI" w:eastAsia="Times New Roman" w:hAnsi="Segoe UI" w:cs="Segoe UI"/>
          <w:sz w:val="22"/>
          <w:szCs w:val="22"/>
        </w:rPr>
        <w:t>is</w:t>
      </w:r>
      <w:r w:rsidRPr="00281E3E">
        <w:rPr>
          <w:rFonts w:ascii="Segoe UI" w:eastAsia="Times New Roman" w:hAnsi="Segoe UI" w:cs="Segoe UI"/>
          <w:sz w:val="22"/>
          <w:szCs w:val="22"/>
        </w:rPr>
        <w:t xml:space="preserve"> PBS listed for second-line MM only (</w:t>
      </w:r>
      <w:proofErr w:type="gramStart"/>
      <w:r w:rsidRPr="00281E3E">
        <w:rPr>
          <w:rFonts w:ascii="Segoe UI" w:eastAsia="Times New Roman" w:hAnsi="Segoe UI" w:cs="Segoe UI"/>
          <w:sz w:val="22"/>
          <w:szCs w:val="22"/>
        </w:rPr>
        <w:t>i.e.</w:t>
      </w:r>
      <w:proofErr w:type="gramEnd"/>
      <w:r w:rsidRPr="00281E3E">
        <w:rPr>
          <w:rFonts w:ascii="Segoe UI" w:eastAsia="Times New Roman" w:hAnsi="Segoe UI" w:cs="Segoe UI"/>
          <w:sz w:val="22"/>
          <w:szCs w:val="22"/>
        </w:rPr>
        <w:t xml:space="preserve"> not a line agnostic PBS listing).</w:t>
      </w:r>
    </w:p>
    <w:p w14:paraId="2AB20192" w14:textId="30974B8A" w:rsidR="00130C92" w:rsidRPr="00281E3E" w:rsidRDefault="00130C92" w:rsidP="001864E1">
      <w:pPr>
        <w:spacing w:before="120" w:after="240" w:line="240" w:lineRule="auto"/>
        <w:rPr>
          <w:rFonts w:ascii="Segoe UI" w:eastAsia="Times New Roman" w:hAnsi="Segoe UI" w:cs="Segoe UI"/>
          <w:sz w:val="22"/>
          <w:szCs w:val="22"/>
        </w:rPr>
      </w:pPr>
      <w:r w:rsidRPr="00281E3E">
        <w:rPr>
          <w:rFonts w:ascii="Segoe UI" w:eastAsia="Times New Roman" w:hAnsi="Segoe UI" w:cs="Segoe UI"/>
          <w:sz w:val="22"/>
          <w:szCs w:val="22"/>
        </w:rPr>
        <w:t xml:space="preserve">No best sequence has been defined for RRMM but generally it is recommended to switch drug class at each relapse, especially if remission to prior medicines was short or a patient had concerning associated toxicity. Further, access and choice in the RRMM setting may also be determined by the PBS restrictions. </w:t>
      </w:r>
    </w:p>
    <w:p w14:paraId="09F313E9" w14:textId="77777777" w:rsidR="00130C92" w:rsidRPr="00281E3E" w:rsidRDefault="00130C92" w:rsidP="001864E1">
      <w:pPr>
        <w:spacing w:before="120" w:after="240" w:line="240" w:lineRule="auto"/>
        <w:rPr>
          <w:rFonts w:ascii="Segoe UI" w:eastAsia="Times New Roman" w:hAnsi="Segoe UI" w:cs="Segoe UI"/>
          <w:sz w:val="22"/>
          <w:szCs w:val="22"/>
        </w:rPr>
      </w:pPr>
      <w:proofErr w:type="spellStart"/>
      <w:r w:rsidRPr="00281E3E">
        <w:rPr>
          <w:rFonts w:ascii="Segoe UI" w:eastAsia="Times New Roman" w:hAnsi="Segoe UI" w:cs="Segoe UI"/>
          <w:sz w:val="22"/>
          <w:szCs w:val="22"/>
        </w:rPr>
        <w:t>DBd</w:t>
      </w:r>
      <w:proofErr w:type="spellEnd"/>
      <w:r w:rsidRPr="00281E3E">
        <w:rPr>
          <w:rFonts w:ascii="Segoe UI" w:eastAsia="Times New Roman" w:hAnsi="Segoe UI" w:cs="Segoe UI"/>
          <w:sz w:val="22"/>
          <w:szCs w:val="22"/>
        </w:rPr>
        <w:t xml:space="preserve"> is a clinically appropriate treatment option for most second line MM patients. </w:t>
      </w:r>
      <w:proofErr w:type="spellStart"/>
      <w:r w:rsidRPr="00281E3E">
        <w:rPr>
          <w:rFonts w:ascii="Segoe UI" w:eastAsia="Times New Roman" w:hAnsi="Segoe UI" w:cs="Segoe UI"/>
          <w:sz w:val="22"/>
          <w:szCs w:val="22"/>
        </w:rPr>
        <w:t>DBd</w:t>
      </w:r>
      <w:proofErr w:type="spellEnd"/>
      <w:r w:rsidRPr="00281E3E">
        <w:rPr>
          <w:rFonts w:ascii="Segoe UI" w:eastAsia="Times New Roman" w:hAnsi="Segoe UI" w:cs="Segoe UI"/>
          <w:sz w:val="22"/>
          <w:szCs w:val="22"/>
        </w:rPr>
        <w:t xml:space="preserve"> is also appropriate for patients who had previously received bortezomib-based therapy (unless patients are refractory, intolerant or contraindicated to bortezomib) or an </w:t>
      </w:r>
      <w:proofErr w:type="spellStart"/>
      <w:r w:rsidRPr="00281E3E">
        <w:rPr>
          <w:rFonts w:ascii="Segoe UI" w:eastAsia="Times New Roman" w:hAnsi="Segoe UI" w:cs="Segoe UI"/>
          <w:sz w:val="22"/>
          <w:szCs w:val="22"/>
        </w:rPr>
        <w:t>IMiD</w:t>
      </w:r>
      <w:proofErr w:type="spellEnd"/>
      <w:r w:rsidRPr="00281E3E">
        <w:rPr>
          <w:rFonts w:ascii="Segoe UI" w:eastAsia="Times New Roman" w:hAnsi="Segoe UI" w:cs="Segoe UI"/>
          <w:sz w:val="22"/>
          <w:szCs w:val="22"/>
        </w:rPr>
        <w:t xml:space="preserve">, typically lenalidomide, as 1L treatment. Since </w:t>
      </w:r>
      <w:proofErr w:type="spellStart"/>
      <w:r w:rsidRPr="00281E3E">
        <w:rPr>
          <w:rFonts w:ascii="Segoe UI" w:eastAsia="Times New Roman" w:hAnsi="Segoe UI" w:cs="Segoe UI"/>
          <w:sz w:val="22"/>
          <w:szCs w:val="22"/>
        </w:rPr>
        <w:t>DBd</w:t>
      </w:r>
      <w:proofErr w:type="spellEnd"/>
      <w:r w:rsidRPr="00281E3E">
        <w:rPr>
          <w:rFonts w:ascii="Segoe UI" w:eastAsia="Times New Roman" w:hAnsi="Segoe UI" w:cs="Segoe UI"/>
          <w:sz w:val="22"/>
          <w:szCs w:val="22"/>
        </w:rPr>
        <w:t xml:space="preserve"> was PBS listed, its uptake has been very high (given its superior efficacy to other available therapies). As such, </w:t>
      </w:r>
      <w:proofErr w:type="spellStart"/>
      <w:r w:rsidRPr="00281E3E">
        <w:rPr>
          <w:rFonts w:ascii="Segoe UI" w:eastAsia="Times New Roman" w:hAnsi="Segoe UI" w:cs="Segoe UI"/>
          <w:sz w:val="22"/>
          <w:szCs w:val="22"/>
        </w:rPr>
        <w:t>DBd</w:t>
      </w:r>
      <w:proofErr w:type="spellEnd"/>
      <w:r w:rsidRPr="00281E3E">
        <w:rPr>
          <w:rFonts w:ascii="Segoe UI" w:eastAsia="Times New Roman" w:hAnsi="Segoe UI" w:cs="Segoe UI"/>
          <w:sz w:val="22"/>
          <w:szCs w:val="22"/>
        </w:rPr>
        <w:t xml:space="preserve"> is used at 2L in most patients.</w:t>
      </w:r>
    </w:p>
    <w:p w14:paraId="4D4F8B44" w14:textId="78A63971" w:rsidR="00130C92" w:rsidRPr="00281E3E" w:rsidRDefault="00130C92" w:rsidP="001864E1">
      <w:pPr>
        <w:spacing w:before="120" w:after="240" w:line="240" w:lineRule="auto"/>
        <w:rPr>
          <w:rFonts w:ascii="Segoe UI" w:eastAsia="Times New Roman" w:hAnsi="Segoe UI" w:cs="Segoe UI"/>
          <w:sz w:val="22"/>
          <w:szCs w:val="22"/>
        </w:rPr>
      </w:pPr>
      <w:r w:rsidRPr="00281E3E">
        <w:rPr>
          <w:rFonts w:ascii="Segoe UI" w:eastAsia="Times New Roman" w:hAnsi="Segoe UI" w:cs="Segoe UI"/>
          <w:sz w:val="22"/>
          <w:szCs w:val="22"/>
        </w:rPr>
        <w:t xml:space="preserve">The availability, and response to previous therapies received plays a major role in treatment selection in the later stage setting. Due to the PBS listings of </w:t>
      </w:r>
      <w:proofErr w:type="spellStart"/>
      <w:r w:rsidRPr="00281E3E">
        <w:rPr>
          <w:rFonts w:ascii="Segoe UI" w:eastAsia="Times New Roman" w:hAnsi="Segoe UI" w:cs="Segoe UI"/>
          <w:sz w:val="22"/>
          <w:szCs w:val="22"/>
        </w:rPr>
        <w:t>BLd</w:t>
      </w:r>
      <w:proofErr w:type="spellEnd"/>
      <w:r w:rsidRPr="00281E3E">
        <w:rPr>
          <w:rFonts w:ascii="Segoe UI" w:eastAsia="Times New Roman" w:hAnsi="Segoe UI" w:cs="Segoe UI"/>
          <w:sz w:val="22"/>
          <w:szCs w:val="22"/>
        </w:rPr>
        <w:t xml:space="preserve"> and </w:t>
      </w:r>
      <w:proofErr w:type="spellStart"/>
      <w:r w:rsidRPr="00281E3E">
        <w:rPr>
          <w:rFonts w:ascii="Segoe UI" w:eastAsia="Times New Roman" w:hAnsi="Segoe UI" w:cs="Segoe UI"/>
          <w:sz w:val="22"/>
          <w:szCs w:val="22"/>
        </w:rPr>
        <w:t>Ld</w:t>
      </w:r>
      <w:proofErr w:type="spellEnd"/>
      <w:r w:rsidRPr="00281E3E">
        <w:rPr>
          <w:rFonts w:ascii="Segoe UI" w:eastAsia="Times New Roman" w:hAnsi="Segoe UI" w:cs="Segoe UI"/>
          <w:sz w:val="22"/>
          <w:szCs w:val="22"/>
        </w:rPr>
        <w:t xml:space="preserve"> in the first-line and </w:t>
      </w:r>
      <w:proofErr w:type="spellStart"/>
      <w:r w:rsidRPr="00281E3E">
        <w:rPr>
          <w:rFonts w:ascii="Segoe UI" w:eastAsia="Times New Roman" w:hAnsi="Segoe UI" w:cs="Segoe UI"/>
          <w:sz w:val="22"/>
          <w:szCs w:val="22"/>
        </w:rPr>
        <w:t>DBd</w:t>
      </w:r>
      <w:proofErr w:type="spellEnd"/>
      <w:r w:rsidRPr="00281E3E">
        <w:rPr>
          <w:rFonts w:ascii="Segoe UI" w:eastAsia="Times New Roman" w:hAnsi="Segoe UI" w:cs="Segoe UI"/>
          <w:sz w:val="22"/>
          <w:szCs w:val="22"/>
        </w:rPr>
        <w:t xml:space="preserve"> in the second-line MM settings referred to above, it is anticipated that the use of lenalidomide will reduce in the 3L+ setting and that there will be an increase in the use of carfilzomib in the 3L setting as it </w:t>
      </w:r>
      <w:r w:rsidR="00D16069">
        <w:rPr>
          <w:rFonts w:ascii="Segoe UI" w:eastAsia="Times New Roman" w:hAnsi="Segoe UI" w:cs="Segoe UI"/>
          <w:sz w:val="22"/>
          <w:szCs w:val="22"/>
        </w:rPr>
        <w:t>is being</w:t>
      </w:r>
      <w:r w:rsidRPr="00281E3E">
        <w:rPr>
          <w:rFonts w:ascii="Segoe UI" w:eastAsia="Times New Roman" w:hAnsi="Segoe UI" w:cs="Segoe UI"/>
          <w:sz w:val="22"/>
          <w:szCs w:val="22"/>
        </w:rPr>
        <w:t xml:space="preserve"> displaced in the 2L setting by </w:t>
      </w:r>
      <w:proofErr w:type="spellStart"/>
      <w:r w:rsidRPr="00281E3E">
        <w:rPr>
          <w:rFonts w:ascii="Segoe UI" w:eastAsia="Times New Roman" w:hAnsi="Segoe UI" w:cs="Segoe UI"/>
          <w:sz w:val="22"/>
          <w:szCs w:val="22"/>
        </w:rPr>
        <w:t>DBd</w:t>
      </w:r>
      <w:proofErr w:type="spellEnd"/>
      <w:r w:rsidRPr="00281E3E">
        <w:rPr>
          <w:rFonts w:ascii="Segoe UI" w:eastAsia="Times New Roman" w:hAnsi="Segoe UI" w:cs="Segoe UI"/>
          <w:sz w:val="22"/>
          <w:szCs w:val="22"/>
        </w:rPr>
        <w:t>. However, carfilzomib will also continue to be used in the 4L</w:t>
      </w:r>
      <w:r w:rsidR="00D16069">
        <w:rPr>
          <w:rFonts w:ascii="Segoe UI" w:eastAsia="Times New Roman" w:hAnsi="Segoe UI" w:cs="Segoe UI"/>
          <w:sz w:val="22"/>
          <w:szCs w:val="22"/>
        </w:rPr>
        <w:t>+</w:t>
      </w:r>
      <w:r w:rsidRPr="00281E3E">
        <w:rPr>
          <w:rFonts w:ascii="Segoe UI" w:eastAsia="Times New Roman" w:hAnsi="Segoe UI" w:cs="Segoe UI"/>
          <w:sz w:val="22"/>
          <w:szCs w:val="22"/>
        </w:rPr>
        <w:t xml:space="preserve"> setting </w:t>
      </w:r>
      <w:proofErr w:type="gramStart"/>
      <w:r w:rsidRPr="00281E3E">
        <w:rPr>
          <w:rFonts w:ascii="Segoe UI" w:eastAsia="Times New Roman" w:hAnsi="Segoe UI" w:cs="Segoe UI"/>
          <w:sz w:val="22"/>
          <w:szCs w:val="22"/>
        </w:rPr>
        <w:t>as a result of</w:t>
      </w:r>
      <w:proofErr w:type="gramEnd"/>
      <w:r w:rsidRPr="00281E3E">
        <w:rPr>
          <w:rFonts w:ascii="Segoe UI" w:eastAsia="Times New Roman" w:hAnsi="Segoe UI" w:cs="Segoe UI"/>
          <w:sz w:val="22"/>
          <w:szCs w:val="22"/>
        </w:rPr>
        <w:t xml:space="preserve"> the PBS listings of pomalidomide, bortezomib and dexamethasone (</w:t>
      </w:r>
      <w:proofErr w:type="spellStart"/>
      <w:r w:rsidRPr="00281E3E">
        <w:rPr>
          <w:rFonts w:ascii="Segoe UI" w:eastAsia="Times New Roman" w:hAnsi="Segoe UI" w:cs="Segoe UI"/>
          <w:sz w:val="22"/>
          <w:szCs w:val="22"/>
        </w:rPr>
        <w:t>PBd</w:t>
      </w:r>
      <w:proofErr w:type="spellEnd"/>
      <w:r w:rsidRPr="00281E3E">
        <w:rPr>
          <w:rFonts w:ascii="Segoe UI" w:eastAsia="Times New Roman" w:hAnsi="Segoe UI" w:cs="Segoe UI"/>
          <w:sz w:val="22"/>
          <w:szCs w:val="22"/>
        </w:rPr>
        <w:t xml:space="preserve">), and </w:t>
      </w:r>
      <w:proofErr w:type="spellStart"/>
      <w:r w:rsidRPr="00281E3E">
        <w:rPr>
          <w:rFonts w:ascii="Segoe UI" w:eastAsia="Times New Roman" w:hAnsi="Segoe UI" w:cs="Segoe UI"/>
          <w:sz w:val="22"/>
          <w:szCs w:val="22"/>
        </w:rPr>
        <w:t>elotuzumab</w:t>
      </w:r>
      <w:proofErr w:type="spellEnd"/>
      <w:r w:rsidRPr="00281E3E">
        <w:rPr>
          <w:rFonts w:ascii="Segoe UI" w:eastAsia="Times New Roman" w:hAnsi="Segoe UI" w:cs="Segoe UI"/>
          <w:sz w:val="22"/>
          <w:szCs w:val="22"/>
        </w:rPr>
        <w:t>, lenalidomide and dexamethasone (</w:t>
      </w:r>
      <w:proofErr w:type="spellStart"/>
      <w:r w:rsidRPr="00281E3E">
        <w:rPr>
          <w:rFonts w:ascii="Segoe UI" w:eastAsia="Times New Roman" w:hAnsi="Segoe UI" w:cs="Segoe UI"/>
          <w:sz w:val="22"/>
          <w:szCs w:val="22"/>
        </w:rPr>
        <w:t>ELd</w:t>
      </w:r>
      <w:proofErr w:type="spellEnd"/>
      <w:r w:rsidRPr="00281E3E">
        <w:rPr>
          <w:rFonts w:ascii="Segoe UI" w:eastAsia="Times New Roman" w:hAnsi="Segoe UI" w:cs="Segoe UI"/>
          <w:sz w:val="22"/>
          <w:szCs w:val="22"/>
        </w:rPr>
        <w:t>), which are likely to be used in the 3L setting for some patients. For 4L</w:t>
      </w:r>
      <w:r w:rsidR="00D16069">
        <w:rPr>
          <w:rFonts w:ascii="Segoe UI" w:eastAsia="Times New Roman" w:hAnsi="Segoe UI" w:cs="Segoe UI"/>
          <w:sz w:val="22"/>
          <w:szCs w:val="22"/>
        </w:rPr>
        <w:t>+</w:t>
      </w:r>
      <w:r w:rsidRPr="00281E3E">
        <w:rPr>
          <w:rFonts w:ascii="Segoe UI" w:eastAsia="Times New Roman" w:hAnsi="Segoe UI" w:cs="Segoe UI"/>
          <w:sz w:val="22"/>
          <w:szCs w:val="22"/>
        </w:rPr>
        <w:t xml:space="preserve"> MM, pomalidomide and carfilzomib are generally prescribed in Australian clinical practice. Pomalidomide, is an </w:t>
      </w:r>
      <w:proofErr w:type="spellStart"/>
      <w:r w:rsidRPr="00281E3E">
        <w:rPr>
          <w:rFonts w:ascii="Segoe UI" w:eastAsia="Times New Roman" w:hAnsi="Segoe UI" w:cs="Segoe UI"/>
          <w:sz w:val="22"/>
          <w:szCs w:val="22"/>
        </w:rPr>
        <w:t>IMiD</w:t>
      </w:r>
      <w:proofErr w:type="spellEnd"/>
      <w:r w:rsidRPr="00281E3E">
        <w:rPr>
          <w:rFonts w:ascii="Segoe UI" w:eastAsia="Times New Roman" w:hAnsi="Segoe UI" w:cs="Segoe UI"/>
          <w:sz w:val="22"/>
          <w:szCs w:val="22"/>
        </w:rPr>
        <w:t>, and is also PBS listed in combination with dexamethasone (</w:t>
      </w:r>
      <w:proofErr w:type="gramStart"/>
      <w:r w:rsidRPr="00281E3E">
        <w:rPr>
          <w:rFonts w:ascii="Segoe UI" w:eastAsia="Times New Roman" w:hAnsi="Segoe UI" w:cs="Segoe UI"/>
          <w:sz w:val="22"/>
          <w:szCs w:val="22"/>
        </w:rPr>
        <w:t>i.e.</w:t>
      </w:r>
      <w:proofErr w:type="gramEnd"/>
      <w:r w:rsidRPr="00281E3E">
        <w:rPr>
          <w:rFonts w:ascii="Segoe UI" w:eastAsia="Times New Roman" w:hAnsi="Segoe UI" w:cs="Segoe UI"/>
          <w:sz w:val="22"/>
          <w:szCs w:val="22"/>
        </w:rPr>
        <w:t xml:space="preserve"> without bortezomib) for patients who have failed treatment with both bortezomib and lenalidomide. Use of thalidomide in clinical practice is low across the MM pathway, and is diminishing, due to its toxicity, and thus is no longer reflected in the treatment algorithm. </w:t>
      </w:r>
    </w:p>
    <w:p w14:paraId="74F1E2EF" w14:textId="44FA48AD" w:rsidR="00407B82" w:rsidRPr="00281E3E" w:rsidRDefault="00130C92" w:rsidP="001864E1">
      <w:pPr>
        <w:spacing w:before="120" w:after="240" w:line="240" w:lineRule="auto"/>
        <w:rPr>
          <w:rFonts w:ascii="Segoe UI" w:eastAsia="Times New Roman" w:hAnsi="Segoe UI" w:cs="Segoe UI"/>
          <w:sz w:val="22"/>
          <w:szCs w:val="22"/>
        </w:rPr>
      </w:pPr>
      <w:r w:rsidRPr="00281E3E">
        <w:rPr>
          <w:rFonts w:ascii="Segoe UI" w:eastAsia="Times New Roman" w:hAnsi="Segoe UI" w:cs="Segoe UI"/>
          <w:sz w:val="22"/>
          <w:szCs w:val="22"/>
        </w:rPr>
        <w:t>The challenge with treating patients from 4L+ MM onwards, is that patients have generally exhausted most, if not all, classes of MM medicines, and thus have become refractory to these medicines. Selinexor was PBS listed for the 5L+ MM population</w:t>
      </w:r>
      <w:r w:rsidR="00D16069">
        <w:rPr>
          <w:rFonts w:ascii="Segoe UI" w:eastAsia="Times New Roman" w:hAnsi="Segoe UI" w:cs="Segoe UI"/>
          <w:sz w:val="22"/>
          <w:szCs w:val="22"/>
        </w:rPr>
        <w:t xml:space="preserve"> in late 2022</w:t>
      </w:r>
      <w:r w:rsidRPr="00281E3E">
        <w:rPr>
          <w:rFonts w:ascii="Segoe UI" w:eastAsia="Times New Roman" w:hAnsi="Segoe UI" w:cs="Segoe UI"/>
          <w:sz w:val="22"/>
          <w:szCs w:val="22"/>
        </w:rPr>
        <w:t>, and while this medicine does offer a new mechanism of action to those listed on the PBS, outcomes remain poor (</w:t>
      </w:r>
      <w:proofErr w:type="gramStart"/>
      <w:r w:rsidRPr="00281E3E">
        <w:rPr>
          <w:rFonts w:ascii="Segoe UI" w:eastAsia="Times New Roman" w:hAnsi="Segoe UI" w:cs="Segoe UI"/>
          <w:sz w:val="22"/>
          <w:szCs w:val="22"/>
        </w:rPr>
        <w:t>i.e.</w:t>
      </w:r>
      <w:proofErr w:type="gramEnd"/>
      <w:r w:rsidRPr="00281E3E">
        <w:rPr>
          <w:rFonts w:ascii="Segoe UI" w:eastAsia="Times New Roman" w:hAnsi="Segoe UI" w:cs="Segoe UI"/>
          <w:sz w:val="22"/>
          <w:szCs w:val="22"/>
        </w:rPr>
        <w:t xml:space="preserve"> median overall survival of 8.4 months in the 5L+ MM population). As PBS treatment options at the 5L+ setting of RR MM are extremely limited and response rates are low, clinicians are likely to explore other options for access to alternative medicines, such as clinical trial programs, compassionate use programs </w:t>
      </w:r>
      <w:r w:rsidR="00D16069">
        <w:rPr>
          <w:rFonts w:ascii="Segoe UI" w:eastAsia="Times New Roman" w:hAnsi="Segoe UI" w:cs="Segoe UI"/>
          <w:sz w:val="22"/>
          <w:szCs w:val="22"/>
        </w:rPr>
        <w:t xml:space="preserve">(including compassionate daratumumab) </w:t>
      </w:r>
      <w:r w:rsidRPr="00281E3E">
        <w:rPr>
          <w:rFonts w:ascii="Segoe UI" w:eastAsia="Times New Roman" w:hAnsi="Segoe UI" w:cs="Segoe UI"/>
          <w:sz w:val="22"/>
          <w:szCs w:val="22"/>
        </w:rPr>
        <w:t xml:space="preserve">or private funding. </w:t>
      </w:r>
    </w:p>
    <w:p w14:paraId="0F32E3D1" w14:textId="2949349D" w:rsidR="00407B82" w:rsidRPr="001864E1" w:rsidRDefault="00407B82" w:rsidP="00407B82">
      <w:pPr>
        <w:rPr>
          <w:rFonts w:ascii="Segoe UI" w:eastAsia="Times New Roman" w:hAnsi="Segoe UI"/>
          <w:bCs/>
          <w:color w:val="000000"/>
          <w:sz w:val="22"/>
        </w:rPr>
      </w:pPr>
      <w:r w:rsidRPr="00407B82">
        <w:rPr>
          <w:rFonts w:ascii="Segoe UI" w:eastAsia="Times New Roman" w:hAnsi="Segoe UI"/>
          <w:b/>
          <w:color w:val="000000"/>
          <w:sz w:val="22"/>
        </w:rPr>
        <w:t xml:space="preserve">Is there any expectation that the clinical management algorithm </w:t>
      </w:r>
      <w:r w:rsidRPr="00407B82">
        <w:rPr>
          <w:rFonts w:ascii="Segoe UI" w:eastAsia="Times New Roman" w:hAnsi="Segoe UI"/>
          <w:b/>
          <w:i/>
          <w:iCs/>
          <w:color w:val="000000"/>
          <w:sz w:val="22"/>
        </w:rPr>
        <w:t>before</w:t>
      </w:r>
      <w:r w:rsidRPr="00407B82">
        <w:rPr>
          <w:rFonts w:ascii="Segoe UI" w:eastAsia="Times New Roman" w:hAnsi="Segoe UI"/>
          <w:b/>
          <w:color w:val="000000"/>
          <w:sz w:val="22"/>
        </w:rPr>
        <w:t xml:space="preserve"> the health technology is used will change due to the introduction of the </w:t>
      </w:r>
      <w:r w:rsidRPr="00407B82">
        <w:rPr>
          <w:rFonts w:ascii="Segoe UI" w:eastAsia="Times New Roman" w:hAnsi="Segoe UI"/>
          <w:b/>
          <w:color w:val="000000"/>
          <w:sz w:val="22"/>
          <w:u w:val="single"/>
        </w:rPr>
        <w:t>proposed health technology</w:t>
      </w:r>
      <w:r w:rsidRPr="00407B82">
        <w:rPr>
          <w:rFonts w:ascii="Segoe UI" w:eastAsia="Times New Roman" w:hAnsi="Segoe UI"/>
          <w:b/>
          <w:color w:val="000000"/>
          <w:sz w:val="22"/>
        </w:rPr>
        <w:t>?</w:t>
      </w:r>
      <w:r w:rsidR="001864E1">
        <w:rPr>
          <w:rFonts w:ascii="Segoe UI" w:eastAsia="Times New Roman" w:hAnsi="Segoe UI"/>
          <w:b/>
          <w:color w:val="000000"/>
          <w:sz w:val="22"/>
        </w:rPr>
        <w:br/>
      </w:r>
      <w:r w:rsidRPr="001864E1">
        <w:rPr>
          <w:rFonts w:ascii="Segoe UI" w:eastAsia="Times New Roman" w:hAnsi="Segoe UI"/>
          <w:bCs/>
          <w:sz w:val="22"/>
        </w:rPr>
        <w:t>No</w:t>
      </w:r>
    </w:p>
    <w:p w14:paraId="2E5A8E03" w14:textId="77777777" w:rsidR="00407B82" w:rsidRPr="00D16069" w:rsidRDefault="00407B82" w:rsidP="00407B82">
      <w:pPr>
        <w:spacing w:after="0" w:line="240" w:lineRule="auto"/>
        <w:rPr>
          <w:rFonts w:ascii="Segoe UI" w:eastAsia="Times New Roman" w:hAnsi="Segoe UI"/>
          <w:b/>
          <w:sz w:val="22"/>
        </w:rPr>
      </w:pPr>
      <w:r w:rsidRPr="00D16069">
        <w:rPr>
          <w:rFonts w:ascii="Segoe UI" w:eastAsia="Times New Roman" w:hAnsi="Segoe UI"/>
          <w:b/>
          <w:sz w:val="22"/>
        </w:rPr>
        <w:t xml:space="preserve">Describe and explain any differences in the clinical management algorithm prior to the use of the </w:t>
      </w:r>
      <w:r w:rsidRPr="00D16069">
        <w:rPr>
          <w:rFonts w:ascii="Segoe UI" w:eastAsia="Times New Roman" w:hAnsi="Segoe UI"/>
          <w:b/>
          <w:sz w:val="22"/>
          <w:u w:val="single"/>
        </w:rPr>
        <w:t>proposed health technology</w:t>
      </w:r>
      <w:r w:rsidRPr="00D16069">
        <w:rPr>
          <w:rFonts w:ascii="Segoe UI" w:eastAsia="Times New Roman" w:hAnsi="Segoe UI"/>
          <w:b/>
          <w:sz w:val="22"/>
        </w:rPr>
        <w:t xml:space="preserve"> vs. the </w:t>
      </w:r>
      <w:r w:rsidRPr="00D16069">
        <w:rPr>
          <w:rFonts w:ascii="Segoe UI" w:eastAsia="Times New Roman" w:hAnsi="Segoe UI"/>
          <w:b/>
          <w:sz w:val="22"/>
          <w:u w:val="single"/>
        </w:rPr>
        <w:t>comparator health technology</w:t>
      </w:r>
      <w:r w:rsidRPr="00D16069">
        <w:rPr>
          <w:rFonts w:ascii="Segoe UI" w:eastAsia="Times New Roman" w:hAnsi="Segoe UI"/>
          <w:b/>
          <w:sz w:val="22"/>
        </w:rPr>
        <w:t>:</w:t>
      </w:r>
    </w:p>
    <w:p w14:paraId="5314C143" w14:textId="0A75BA48" w:rsidR="00407B82" w:rsidRDefault="00F50E75" w:rsidP="00246FB8">
      <w:pPr>
        <w:spacing w:after="0" w:line="240" w:lineRule="auto"/>
        <w:rPr>
          <w:rFonts w:asciiTheme="minorHAnsi" w:eastAsia="Times New Roman" w:hAnsiTheme="minorHAnsi" w:cs="Calibri"/>
          <w:strike/>
          <w:sz w:val="22"/>
          <w:szCs w:val="22"/>
        </w:rPr>
      </w:pPr>
      <w:r w:rsidRPr="00F50E75">
        <w:rPr>
          <w:rFonts w:ascii="Segoe UI" w:eastAsia="Times New Roman" w:hAnsi="Segoe UI"/>
          <w:bCs/>
          <w:sz w:val="22"/>
        </w:rPr>
        <w:t>N/A – no changes to clinical management algorithm</w:t>
      </w:r>
    </w:p>
    <w:p w14:paraId="03BB48FF" w14:textId="77777777" w:rsidR="00246FB8" w:rsidRPr="00246FB8" w:rsidRDefault="00246FB8" w:rsidP="00246FB8">
      <w:pPr>
        <w:spacing w:after="0" w:line="240" w:lineRule="auto"/>
        <w:rPr>
          <w:rFonts w:asciiTheme="minorHAnsi" w:eastAsia="Times New Roman" w:hAnsiTheme="minorHAnsi" w:cs="Calibri"/>
          <w:strike/>
          <w:sz w:val="22"/>
          <w:szCs w:val="22"/>
        </w:rPr>
      </w:pPr>
    </w:p>
    <w:p w14:paraId="5E470380" w14:textId="2F11269E"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u w:val="single"/>
        </w:rPr>
        <w:t>Use of the health technology</w:t>
      </w:r>
    </w:p>
    <w:p w14:paraId="655E2F5F" w14:textId="77777777" w:rsidR="00407B82" w:rsidRPr="00407B82" w:rsidRDefault="00407B82" w:rsidP="00407B82">
      <w:pPr>
        <w:spacing w:after="0" w:line="240" w:lineRule="auto"/>
        <w:rPr>
          <w:rFonts w:ascii="Segoe UI" w:eastAsia="Times New Roman" w:hAnsi="Segoe UI"/>
          <w:b/>
          <w:color w:val="000000"/>
          <w:sz w:val="22"/>
        </w:rPr>
      </w:pPr>
    </w:p>
    <w:p w14:paraId="3A3FC72D" w14:textId="77777777" w:rsidR="001D373E" w:rsidRDefault="00407B82" w:rsidP="001D373E">
      <w:pPr>
        <w:spacing w:after="0" w:line="240" w:lineRule="auto"/>
        <w:rPr>
          <w:rFonts w:ascii="Segoe UI" w:eastAsia="Times New Roman" w:hAnsi="Segoe UI" w:cs="Segoe UI"/>
          <w:sz w:val="22"/>
          <w:szCs w:val="22"/>
        </w:rPr>
      </w:pPr>
      <w:r w:rsidRPr="00407B82">
        <w:rPr>
          <w:rFonts w:ascii="Segoe UI" w:eastAsia="Times New Roman" w:hAnsi="Segoe UI"/>
          <w:b/>
          <w:color w:val="000000"/>
          <w:sz w:val="22"/>
        </w:rPr>
        <w:t xml:space="preserve">Explain what other healthcare resources are used in conjunction with delivering the </w:t>
      </w:r>
      <w:r w:rsidRPr="00407B82">
        <w:rPr>
          <w:rFonts w:ascii="Segoe UI" w:eastAsia="Times New Roman" w:hAnsi="Segoe UI"/>
          <w:b/>
          <w:color w:val="000000"/>
          <w:sz w:val="22"/>
          <w:u w:val="single"/>
        </w:rPr>
        <w:t>proposed health technology</w:t>
      </w:r>
      <w:r w:rsidRPr="00407B82">
        <w:rPr>
          <w:rFonts w:ascii="Segoe UI" w:eastAsia="Times New Roman" w:hAnsi="Segoe UI"/>
          <w:b/>
          <w:color w:val="000000"/>
          <w:sz w:val="22"/>
        </w:rPr>
        <w:t>:</w:t>
      </w:r>
      <w:r w:rsidR="001864E1">
        <w:rPr>
          <w:rFonts w:ascii="Segoe UI" w:eastAsia="Times New Roman" w:hAnsi="Segoe UI"/>
          <w:b/>
          <w:color w:val="000000"/>
          <w:sz w:val="22"/>
        </w:rPr>
        <w:br/>
      </w:r>
      <w:r w:rsidR="00C1297F" w:rsidRPr="000D1019">
        <w:rPr>
          <w:rFonts w:ascii="Segoe UI" w:eastAsia="Times New Roman" w:hAnsi="Segoe UI" w:cs="Segoe UI"/>
          <w:sz w:val="22"/>
          <w:szCs w:val="22"/>
        </w:rPr>
        <w:t xml:space="preserve">Delivering </w:t>
      </w:r>
      <w:proofErr w:type="spellStart"/>
      <w:r w:rsidR="00C1297F" w:rsidRPr="000D1019">
        <w:rPr>
          <w:rFonts w:ascii="Segoe UI" w:eastAsia="Times New Roman" w:hAnsi="Segoe UI" w:cs="Segoe UI"/>
          <w:sz w:val="22"/>
          <w:szCs w:val="22"/>
        </w:rPr>
        <w:t>cilta-cel</w:t>
      </w:r>
      <w:proofErr w:type="spellEnd"/>
      <w:r w:rsidR="00072355" w:rsidRPr="000D1019">
        <w:rPr>
          <w:rFonts w:ascii="Segoe UI" w:eastAsia="Times New Roman" w:hAnsi="Segoe UI" w:cs="Segoe UI"/>
          <w:sz w:val="22"/>
          <w:szCs w:val="22"/>
        </w:rPr>
        <w:t xml:space="preserve"> in</w:t>
      </w:r>
      <w:r w:rsidR="00C1297F" w:rsidRPr="000D1019">
        <w:rPr>
          <w:rFonts w:ascii="Segoe UI" w:eastAsia="Times New Roman" w:hAnsi="Segoe UI" w:cs="Segoe UI"/>
          <w:sz w:val="22"/>
          <w:szCs w:val="22"/>
        </w:rPr>
        <w:t>volves</w:t>
      </w:r>
      <w:r w:rsidR="00072355" w:rsidRPr="000D1019">
        <w:rPr>
          <w:rFonts w:ascii="Segoe UI" w:eastAsia="Times New Roman" w:hAnsi="Segoe UI" w:cs="Segoe UI"/>
          <w:sz w:val="22"/>
          <w:szCs w:val="22"/>
        </w:rPr>
        <w:t xml:space="preserve"> apheresis, </w:t>
      </w:r>
      <w:r w:rsidR="00C1297F" w:rsidRPr="000D1019">
        <w:rPr>
          <w:rFonts w:ascii="Segoe UI" w:eastAsia="Times New Roman" w:hAnsi="Segoe UI" w:cs="Segoe UI"/>
          <w:sz w:val="22"/>
          <w:szCs w:val="22"/>
        </w:rPr>
        <w:t xml:space="preserve">administration of bridging therapies and </w:t>
      </w:r>
      <w:r w:rsidR="00072355" w:rsidRPr="000D1019">
        <w:rPr>
          <w:rFonts w:ascii="Segoe UI" w:eastAsia="Times New Roman" w:hAnsi="Segoe UI" w:cs="Segoe UI"/>
          <w:sz w:val="22"/>
          <w:szCs w:val="22"/>
        </w:rPr>
        <w:t>lymphodepleti</w:t>
      </w:r>
      <w:r w:rsidR="00C1297F" w:rsidRPr="000D1019">
        <w:rPr>
          <w:rFonts w:ascii="Segoe UI" w:eastAsia="Times New Roman" w:hAnsi="Segoe UI" w:cs="Segoe UI"/>
          <w:sz w:val="22"/>
          <w:szCs w:val="22"/>
        </w:rPr>
        <w:t>ng conditioning regimen</w:t>
      </w:r>
      <w:r w:rsidR="00072355" w:rsidRPr="000D1019">
        <w:rPr>
          <w:rFonts w:ascii="Segoe UI" w:eastAsia="Times New Roman" w:hAnsi="Segoe UI" w:cs="Segoe UI"/>
          <w:sz w:val="22"/>
          <w:szCs w:val="22"/>
        </w:rPr>
        <w:t xml:space="preserve"> </w:t>
      </w:r>
      <w:r w:rsidR="00C1297F" w:rsidRPr="000D1019">
        <w:rPr>
          <w:rFonts w:ascii="Segoe UI" w:eastAsia="Times New Roman" w:hAnsi="Segoe UI" w:cs="Segoe UI"/>
          <w:sz w:val="22"/>
          <w:szCs w:val="22"/>
        </w:rPr>
        <w:t>before</w:t>
      </w:r>
      <w:r w:rsidR="00072355" w:rsidRPr="000D1019">
        <w:rPr>
          <w:rFonts w:ascii="Segoe UI" w:eastAsia="Times New Roman" w:hAnsi="Segoe UI" w:cs="Segoe UI"/>
          <w:sz w:val="22"/>
          <w:szCs w:val="22"/>
        </w:rPr>
        <w:t xml:space="preserve"> infusion </w:t>
      </w:r>
      <w:r w:rsidR="00C1297F" w:rsidRPr="000D1019">
        <w:rPr>
          <w:rFonts w:ascii="Segoe UI" w:eastAsia="Times New Roman" w:hAnsi="Segoe UI" w:cs="Segoe UI"/>
          <w:sz w:val="22"/>
          <w:szCs w:val="22"/>
        </w:rPr>
        <w:t>of the CAR-T cells</w:t>
      </w:r>
      <w:r w:rsidR="00072355" w:rsidRPr="000D1019">
        <w:rPr>
          <w:rFonts w:ascii="Segoe UI" w:eastAsia="Times New Roman" w:hAnsi="Segoe UI" w:cs="Segoe UI"/>
          <w:sz w:val="22"/>
          <w:szCs w:val="22"/>
        </w:rPr>
        <w:t xml:space="preserve">. These are performed sequentially and not at the same time as each other (refer Intervention </w:t>
      </w:r>
      <w:r w:rsidR="009F4492" w:rsidRPr="000D1019">
        <w:rPr>
          <w:rFonts w:ascii="Segoe UI" w:eastAsia="Times New Roman" w:hAnsi="Segoe UI" w:cs="Segoe UI"/>
          <w:sz w:val="22"/>
          <w:szCs w:val="22"/>
        </w:rPr>
        <w:t>‘</w:t>
      </w:r>
      <w:r w:rsidR="009F4492" w:rsidRPr="000D1019">
        <w:rPr>
          <w:rFonts w:ascii="Segoe UI" w:eastAsia="Times New Roman" w:hAnsi="Segoe UI" w:cs="Segoe UI"/>
          <w:bCs/>
          <w:sz w:val="22"/>
          <w:szCs w:val="22"/>
        </w:rPr>
        <w:t>Describe the key components and clinical steps involved in delivering the proposed health technology’</w:t>
      </w:r>
      <w:r w:rsidR="009F4492" w:rsidRPr="000D1019">
        <w:rPr>
          <w:rFonts w:ascii="Segoe UI" w:eastAsia="Times New Roman" w:hAnsi="Segoe UI" w:cs="Segoe UI"/>
          <w:sz w:val="22"/>
          <w:szCs w:val="22"/>
        </w:rPr>
        <w:t xml:space="preserve"> </w:t>
      </w:r>
      <w:r w:rsidR="00072355" w:rsidRPr="000D1019">
        <w:rPr>
          <w:rFonts w:ascii="Segoe UI" w:eastAsia="Times New Roman" w:hAnsi="Segoe UI" w:cs="Segoe UI"/>
          <w:sz w:val="22"/>
          <w:szCs w:val="22"/>
        </w:rPr>
        <w:t>section for details of clinical steps).</w:t>
      </w:r>
    </w:p>
    <w:p w14:paraId="2253960C" w14:textId="77777777" w:rsidR="001D373E" w:rsidRDefault="001D373E" w:rsidP="001D373E">
      <w:pPr>
        <w:spacing w:after="0" w:line="240" w:lineRule="auto"/>
        <w:rPr>
          <w:rFonts w:ascii="Segoe UI" w:eastAsia="Times New Roman" w:hAnsi="Segoe UI" w:cs="Segoe UI"/>
          <w:sz w:val="22"/>
          <w:szCs w:val="22"/>
        </w:rPr>
      </w:pPr>
    </w:p>
    <w:p w14:paraId="6494FADF" w14:textId="3BC8D301" w:rsidR="00407B82" w:rsidRPr="001864E1" w:rsidRDefault="00407B82" w:rsidP="001D373E">
      <w:pPr>
        <w:spacing w:after="0" w:line="240" w:lineRule="auto"/>
        <w:rPr>
          <w:rFonts w:ascii="Segoe UI" w:eastAsia="Times New Roman" w:hAnsi="Segoe UI"/>
          <w:b/>
          <w:color w:val="000000"/>
          <w:sz w:val="22"/>
        </w:rPr>
      </w:pPr>
      <w:r w:rsidRPr="00AA4D6D">
        <w:rPr>
          <w:rFonts w:ascii="Segoe UI" w:eastAsia="Times New Roman" w:hAnsi="Segoe UI"/>
          <w:b/>
          <w:color w:val="000000"/>
          <w:sz w:val="22"/>
        </w:rPr>
        <w:t xml:space="preserve">Explain what other healthcare resources are used in conjunction with the </w:t>
      </w:r>
      <w:r w:rsidRPr="00AA4D6D">
        <w:rPr>
          <w:rFonts w:ascii="Segoe UI" w:eastAsia="Times New Roman" w:hAnsi="Segoe UI"/>
          <w:b/>
          <w:color w:val="000000"/>
          <w:sz w:val="22"/>
          <w:u w:val="single"/>
        </w:rPr>
        <w:t>comparator health technology</w:t>
      </w:r>
      <w:r w:rsidRPr="00AA4D6D">
        <w:rPr>
          <w:rFonts w:ascii="Segoe UI" w:eastAsia="Times New Roman" w:hAnsi="Segoe UI"/>
          <w:b/>
          <w:color w:val="000000"/>
          <w:sz w:val="22"/>
        </w:rPr>
        <w:t>:</w:t>
      </w:r>
      <w:r w:rsidR="001864E1">
        <w:rPr>
          <w:rFonts w:ascii="Segoe UI" w:eastAsia="Times New Roman" w:hAnsi="Segoe UI"/>
          <w:b/>
          <w:color w:val="000000"/>
          <w:sz w:val="22"/>
        </w:rPr>
        <w:br/>
      </w:r>
      <w:r w:rsidR="00C8036E" w:rsidRPr="00C8036E">
        <w:rPr>
          <w:rFonts w:ascii="Segoe UI" w:eastAsia="Times New Roman" w:hAnsi="Segoe UI" w:cs="Segoe UI"/>
          <w:sz w:val="22"/>
          <w:szCs w:val="22"/>
        </w:rPr>
        <w:t xml:space="preserve">Carfilzomib is administered by </w:t>
      </w:r>
      <w:r w:rsidR="00C8036E" w:rsidRPr="00F50E75">
        <w:rPr>
          <w:rFonts w:ascii="Segoe UI" w:eastAsia="Times New Roman" w:hAnsi="Segoe UI" w:cs="Segoe UI"/>
          <w:sz w:val="22"/>
          <w:szCs w:val="22"/>
        </w:rPr>
        <w:t>intravenous (IV) infusion</w:t>
      </w:r>
      <w:r w:rsidR="00C8036E">
        <w:rPr>
          <w:rFonts w:ascii="Segoe UI" w:eastAsia="Times New Roman" w:hAnsi="Segoe UI" w:cs="Segoe UI"/>
          <w:sz w:val="22"/>
          <w:szCs w:val="22"/>
        </w:rPr>
        <w:t xml:space="preserve"> in the hospital setting, while pomalidomide and </w:t>
      </w:r>
      <w:proofErr w:type="spellStart"/>
      <w:r w:rsidR="00C8036E">
        <w:rPr>
          <w:rFonts w:ascii="Segoe UI" w:eastAsia="Times New Roman" w:hAnsi="Segoe UI" w:cs="Segoe UI"/>
          <w:sz w:val="22"/>
          <w:szCs w:val="22"/>
        </w:rPr>
        <w:t>selinexor</w:t>
      </w:r>
      <w:proofErr w:type="spellEnd"/>
      <w:r w:rsidR="00C8036E">
        <w:rPr>
          <w:rFonts w:ascii="Segoe UI" w:eastAsia="Times New Roman" w:hAnsi="Segoe UI" w:cs="Segoe UI"/>
          <w:sz w:val="22"/>
          <w:szCs w:val="22"/>
        </w:rPr>
        <w:t xml:space="preserve"> are administered orally.</w:t>
      </w:r>
    </w:p>
    <w:p w14:paraId="4C041CAC" w14:textId="316969C1" w:rsidR="00073B9D" w:rsidRPr="001864E1" w:rsidRDefault="00407B82" w:rsidP="001864E1">
      <w:pPr>
        <w:spacing w:before="120" w:after="240" w:line="240" w:lineRule="auto"/>
        <w:rPr>
          <w:rFonts w:ascii="Segoe UI" w:eastAsia="Times New Roman" w:hAnsi="Segoe UI"/>
          <w:b/>
          <w:sz w:val="22"/>
        </w:rPr>
      </w:pPr>
      <w:r w:rsidRPr="00AA4D6D">
        <w:rPr>
          <w:rFonts w:ascii="Segoe UI" w:eastAsia="Times New Roman" w:hAnsi="Segoe UI"/>
          <w:b/>
          <w:sz w:val="22"/>
        </w:rPr>
        <w:t xml:space="preserve">Describe and explain any differences in the healthcare resources used in conjunction with the </w:t>
      </w:r>
      <w:r w:rsidRPr="00AA4D6D">
        <w:rPr>
          <w:rFonts w:ascii="Segoe UI" w:eastAsia="Times New Roman" w:hAnsi="Segoe UI"/>
          <w:b/>
          <w:sz w:val="22"/>
          <w:u w:val="single"/>
        </w:rPr>
        <w:t>proposed health technology</w:t>
      </w:r>
      <w:r w:rsidRPr="00AA4D6D">
        <w:rPr>
          <w:rFonts w:ascii="Segoe UI" w:eastAsia="Times New Roman" w:hAnsi="Segoe UI"/>
          <w:b/>
          <w:sz w:val="22"/>
        </w:rPr>
        <w:t xml:space="preserve"> vs. the </w:t>
      </w:r>
      <w:r w:rsidRPr="00AA4D6D">
        <w:rPr>
          <w:rFonts w:ascii="Segoe UI" w:eastAsia="Times New Roman" w:hAnsi="Segoe UI"/>
          <w:b/>
          <w:sz w:val="22"/>
          <w:u w:val="single"/>
        </w:rPr>
        <w:t>comparator health technology</w:t>
      </w:r>
      <w:r w:rsidRPr="00AA4D6D">
        <w:rPr>
          <w:rFonts w:ascii="Segoe UI" w:eastAsia="Times New Roman" w:hAnsi="Segoe UI"/>
          <w:b/>
          <w:sz w:val="22"/>
        </w:rPr>
        <w:t>:</w:t>
      </w:r>
      <w:r w:rsidR="001864E1">
        <w:rPr>
          <w:rFonts w:ascii="Segoe UI" w:eastAsia="Times New Roman" w:hAnsi="Segoe UI"/>
          <w:b/>
          <w:sz w:val="22"/>
        </w:rPr>
        <w:br/>
      </w:r>
      <w:r w:rsidR="00C8036E" w:rsidRPr="00AA4D6D">
        <w:rPr>
          <w:rFonts w:ascii="Segoe UI" w:eastAsia="Times New Roman" w:hAnsi="Segoe UI"/>
          <w:bCs/>
          <w:sz w:val="22"/>
        </w:rPr>
        <w:t xml:space="preserve">As above. </w:t>
      </w:r>
      <w:proofErr w:type="spellStart"/>
      <w:r w:rsidR="00073B9D" w:rsidRPr="00AA4D6D">
        <w:rPr>
          <w:rFonts w:ascii="Segoe UI" w:eastAsia="Times New Roman" w:hAnsi="Segoe UI"/>
          <w:bCs/>
          <w:sz w:val="22"/>
        </w:rPr>
        <w:t>Cilta-cel</w:t>
      </w:r>
      <w:proofErr w:type="spellEnd"/>
      <w:r w:rsidR="00073B9D" w:rsidRPr="00AA4D6D">
        <w:rPr>
          <w:rFonts w:ascii="Segoe UI" w:eastAsia="Times New Roman" w:hAnsi="Segoe UI"/>
          <w:bCs/>
          <w:sz w:val="22"/>
        </w:rPr>
        <w:t xml:space="preserve"> requires healthcare resources for apheresis, bridging therapy, lymphodepleti</w:t>
      </w:r>
      <w:r w:rsidR="00C1297F" w:rsidRPr="00AA4D6D">
        <w:rPr>
          <w:rFonts w:ascii="Segoe UI" w:eastAsia="Times New Roman" w:hAnsi="Segoe UI"/>
          <w:bCs/>
          <w:sz w:val="22"/>
        </w:rPr>
        <w:t>on</w:t>
      </w:r>
      <w:r w:rsidR="00073B9D" w:rsidRPr="00AA4D6D">
        <w:rPr>
          <w:rFonts w:ascii="Segoe UI" w:eastAsia="Times New Roman" w:hAnsi="Segoe UI"/>
          <w:bCs/>
          <w:sz w:val="22"/>
        </w:rPr>
        <w:t xml:space="preserve"> and infusion.</w:t>
      </w:r>
      <w:r w:rsidR="00C8036E" w:rsidRPr="00AA4D6D">
        <w:rPr>
          <w:rFonts w:ascii="Segoe UI" w:eastAsia="Times New Roman" w:hAnsi="Segoe UI"/>
          <w:bCs/>
          <w:sz w:val="22"/>
        </w:rPr>
        <w:t xml:space="preserve"> </w:t>
      </w:r>
      <w:r w:rsidR="00073B9D" w:rsidRPr="00AA4D6D">
        <w:rPr>
          <w:rFonts w:ascii="Segoe UI" w:eastAsia="Times New Roman" w:hAnsi="Segoe UI"/>
          <w:bCs/>
          <w:sz w:val="22"/>
        </w:rPr>
        <w:t xml:space="preserve">Carfilzomib requires healthcare resources for infusion, whilst </w:t>
      </w:r>
      <w:proofErr w:type="spellStart"/>
      <w:r w:rsidR="00073B9D" w:rsidRPr="00AA4D6D">
        <w:rPr>
          <w:rFonts w:ascii="Segoe UI" w:eastAsia="Times New Roman" w:hAnsi="Segoe UI"/>
          <w:bCs/>
          <w:sz w:val="22"/>
        </w:rPr>
        <w:t>selinexor</w:t>
      </w:r>
      <w:proofErr w:type="spellEnd"/>
      <w:r w:rsidR="00073B9D" w:rsidRPr="00AA4D6D">
        <w:rPr>
          <w:rFonts w:ascii="Segoe UI" w:eastAsia="Times New Roman" w:hAnsi="Segoe UI"/>
          <w:bCs/>
          <w:sz w:val="22"/>
        </w:rPr>
        <w:t xml:space="preserve"> and pomalidomide </w:t>
      </w:r>
      <w:r w:rsidR="00C8036E" w:rsidRPr="00AA4D6D">
        <w:rPr>
          <w:rFonts w:ascii="Segoe UI" w:eastAsia="Times New Roman" w:hAnsi="Segoe UI"/>
          <w:bCs/>
          <w:sz w:val="22"/>
        </w:rPr>
        <w:t>are orally administered</w:t>
      </w:r>
      <w:r w:rsidR="00073B9D" w:rsidRPr="00AA4D6D">
        <w:rPr>
          <w:rFonts w:ascii="Segoe UI" w:eastAsia="Times New Roman" w:hAnsi="Segoe UI"/>
          <w:bCs/>
          <w:sz w:val="22"/>
        </w:rPr>
        <w:t>.</w:t>
      </w:r>
    </w:p>
    <w:p w14:paraId="28A867A7" w14:textId="77777777" w:rsidR="00407B82" w:rsidRPr="00407B82" w:rsidRDefault="00407B82" w:rsidP="001864E1">
      <w:pPr>
        <w:spacing w:after="0" w:line="240" w:lineRule="auto"/>
        <w:rPr>
          <w:rFonts w:ascii="Segoe UI" w:eastAsia="Times New Roman" w:hAnsi="Segoe UI"/>
          <w:b/>
          <w:color w:val="000000"/>
          <w:sz w:val="22"/>
        </w:rPr>
      </w:pPr>
      <w:r w:rsidRPr="00407B82">
        <w:rPr>
          <w:rFonts w:ascii="Segoe UI" w:eastAsia="Times New Roman" w:hAnsi="Segoe UI"/>
          <w:b/>
          <w:color w:val="000000"/>
          <w:u w:val="single"/>
        </w:rPr>
        <w:t>Clinical management after the use of health technology</w:t>
      </w:r>
    </w:p>
    <w:p w14:paraId="5F9D3660" w14:textId="77777777" w:rsidR="00407B82" w:rsidRPr="00407B82" w:rsidRDefault="00407B82" w:rsidP="001864E1">
      <w:pPr>
        <w:spacing w:after="0" w:line="240" w:lineRule="auto"/>
        <w:rPr>
          <w:rFonts w:ascii="Segoe UI" w:eastAsia="Times New Roman" w:hAnsi="Segoe UI"/>
          <w:b/>
          <w:color w:val="000000"/>
          <w:sz w:val="22"/>
        </w:rPr>
      </w:pPr>
    </w:p>
    <w:p w14:paraId="2D3BF05F" w14:textId="77777777" w:rsidR="00407B82" w:rsidRPr="00407B82" w:rsidRDefault="00407B82" w:rsidP="001864E1">
      <w:pPr>
        <w:spacing w:after="0" w:line="240" w:lineRule="auto"/>
        <w:rPr>
          <w:rFonts w:ascii="Segoe UI" w:eastAsia="Times New Roman" w:hAnsi="Segoe UI"/>
          <w:b/>
          <w:color w:val="000000"/>
          <w:sz w:val="22"/>
        </w:rPr>
      </w:pPr>
      <w:r w:rsidRPr="00C8036E">
        <w:rPr>
          <w:rFonts w:ascii="Segoe UI" w:eastAsia="Times New Roman" w:hAnsi="Segoe UI"/>
          <w:b/>
          <w:color w:val="000000"/>
          <w:sz w:val="22"/>
        </w:rPr>
        <w:t xml:space="preserve">Define and summarise the clinical management algorithm, including any required tests or healthcare resources, </w:t>
      </w:r>
      <w:r w:rsidRPr="00C8036E">
        <w:rPr>
          <w:rFonts w:ascii="Segoe UI" w:eastAsia="Times New Roman" w:hAnsi="Segoe UI"/>
          <w:b/>
          <w:i/>
          <w:iCs/>
          <w:color w:val="000000"/>
          <w:sz w:val="22"/>
        </w:rPr>
        <w:t>after</w:t>
      </w:r>
      <w:r w:rsidRPr="00C8036E">
        <w:rPr>
          <w:rFonts w:ascii="Segoe UI" w:eastAsia="Times New Roman" w:hAnsi="Segoe UI"/>
          <w:b/>
          <w:color w:val="000000"/>
          <w:sz w:val="22"/>
        </w:rPr>
        <w:t xml:space="preserve"> the use of the </w:t>
      </w:r>
      <w:r w:rsidRPr="00C8036E">
        <w:rPr>
          <w:rFonts w:ascii="Segoe UI" w:eastAsia="Times New Roman" w:hAnsi="Segoe UI"/>
          <w:b/>
          <w:color w:val="000000"/>
          <w:sz w:val="22"/>
          <w:u w:val="single"/>
        </w:rPr>
        <w:t>proposed health technology</w:t>
      </w:r>
      <w:r w:rsidRPr="00C8036E">
        <w:rPr>
          <w:rFonts w:ascii="Segoe UI" w:eastAsia="Times New Roman" w:hAnsi="Segoe UI"/>
          <w:b/>
          <w:color w:val="000000"/>
          <w:sz w:val="22"/>
        </w:rPr>
        <w:t>:</w:t>
      </w:r>
    </w:p>
    <w:p w14:paraId="611C6FCC" w14:textId="7BB0052D" w:rsidR="00C8036E" w:rsidRPr="001D373E" w:rsidRDefault="00C8036E" w:rsidP="001D373E">
      <w:pPr>
        <w:spacing w:before="120" w:after="240" w:line="240" w:lineRule="auto"/>
        <w:rPr>
          <w:rFonts w:ascii="Segoe UI" w:eastAsia="Times New Roman" w:hAnsi="Segoe UI" w:cs="Segoe UI"/>
          <w:sz w:val="22"/>
          <w:szCs w:val="22"/>
        </w:rPr>
      </w:pPr>
      <w:proofErr w:type="spellStart"/>
      <w:r w:rsidRPr="00C8036E">
        <w:rPr>
          <w:rFonts w:ascii="Segoe UI" w:eastAsia="Times New Roman" w:hAnsi="Segoe UI" w:cs="Segoe UI"/>
          <w:sz w:val="22"/>
          <w:szCs w:val="22"/>
        </w:rPr>
        <w:t>Cilta-cel</w:t>
      </w:r>
      <w:proofErr w:type="spellEnd"/>
      <w:r w:rsidRPr="00C8036E">
        <w:rPr>
          <w:rFonts w:ascii="Segoe UI" w:eastAsia="Times New Roman" w:hAnsi="Segoe UI" w:cs="Segoe UI"/>
          <w:sz w:val="22"/>
          <w:szCs w:val="22"/>
        </w:rPr>
        <w:t xml:space="preserve"> would both replace and displace comparator treatments. For some patients, after failure of </w:t>
      </w:r>
      <w:proofErr w:type="spellStart"/>
      <w:r w:rsidRPr="00C8036E">
        <w:rPr>
          <w:rFonts w:ascii="Segoe UI" w:eastAsia="Times New Roman" w:hAnsi="Segoe UI" w:cs="Segoe UI"/>
          <w:sz w:val="22"/>
          <w:szCs w:val="22"/>
        </w:rPr>
        <w:t>cilta-cel</w:t>
      </w:r>
      <w:proofErr w:type="spellEnd"/>
      <w:r w:rsidRPr="00C8036E">
        <w:rPr>
          <w:rFonts w:ascii="Segoe UI" w:eastAsia="Times New Roman" w:hAnsi="Segoe UI" w:cs="Segoe UI"/>
          <w:sz w:val="22"/>
          <w:szCs w:val="22"/>
        </w:rPr>
        <w:t xml:space="preserve">, they will be treated with </w:t>
      </w:r>
      <w:r>
        <w:rPr>
          <w:rFonts w:ascii="Segoe UI" w:eastAsia="Times New Roman" w:hAnsi="Segoe UI" w:cs="Segoe UI"/>
          <w:sz w:val="22"/>
          <w:szCs w:val="22"/>
        </w:rPr>
        <w:t xml:space="preserve">Cd, </w:t>
      </w:r>
      <w:r w:rsidRPr="00C8036E">
        <w:rPr>
          <w:rFonts w:ascii="Segoe UI" w:eastAsia="Times New Roman" w:hAnsi="Segoe UI" w:cs="Segoe UI"/>
          <w:sz w:val="22"/>
          <w:szCs w:val="22"/>
        </w:rPr>
        <w:t xml:space="preserve">Pd or </w:t>
      </w:r>
      <w:r>
        <w:rPr>
          <w:rFonts w:ascii="Segoe UI" w:eastAsia="Times New Roman" w:hAnsi="Segoe UI" w:cs="Segoe UI"/>
          <w:sz w:val="22"/>
          <w:szCs w:val="22"/>
        </w:rPr>
        <w:t>S</w:t>
      </w:r>
      <w:r w:rsidRPr="00C8036E">
        <w:rPr>
          <w:rFonts w:ascii="Segoe UI" w:eastAsia="Times New Roman" w:hAnsi="Segoe UI" w:cs="Segoe UI"/>
          <w:sz w:val="22"/>
          <w:szCs w:val="22"/>
        </w:rPr>
        <w:t>d</w:t>
      </w:r>
      <w:r>
        <w:rPr>
          <w:rFonts w:ascii="Segoe UI" w:eastAsia="Times New Roman" w:hAnsi="Segoe UI" w:cs="Segoe UI"/>
          <w:sz w:val="22"/>
          <w:szCs w:val="22"/>
        </w:rPr>
        <w:t xml:space="preserve"> </w:t>
      </w:r>
      <w:r w:rsidRPr="00C8036E">
        <w:rPr>
          <w:rFonts w:ascii="Segoe UI" w:eastAsia="Times New Roman" w:hAnsi="Segoe UI" w:cs="Segoe UI"/>
          <w:sz w:val="22"/>
          <w:szCs w:val="22"/>
        </w:rPr>
        <w:t xml:space="preserve">(or alternative options via clinical trials, compassionate use programs etc). For others, based on the duration of response of </w:t>
      </w:r>
      <w:proofErr w:type="spellStart"/>
      <w:r w:rsidRPr="00C8036E">
        <w:rPr>
          <w:rFonts w:ascii="Segoe UI" w:eastAsia="Times New Roman" w:hAnsi="Segoe UI" w:cs="Segoe UI"/>
          <w:sz w:val="22"/>
          <w:szCs w:val="22"/>
        </w:rPr>
        <w:t>cilta-cel</w:t>
      </w:r>
      <w:proofErr w:type="spellEnd"/>
      <w:r w:rsidRPr="00C8036E">
        <w:rPr>
          <w:rFonts w:ascii="Segoe UI" w:eastAsia="Times New Roman" w:hAnsi="Segoe UI" w:cs="Segoe UI"/>
          <w:sz w:val="22"/>
          <w:szCs w:val="22"/>
        </w:rPr>
        <w:t xml:space="preserve">, the high attrition rates between lines of therapy, and the general health of patients after a fourth line of treatment for MM, </w:t>
      </w:r>
      <w:proofErr w:type="spellStart"/>
      <w:r w:rsidRPr="00C8036E">
        <w:rPr>
          <w:rFonts w:ascii="Segoe UI" w:eastAsia="Times New Roman" w:hAnsi="Segoe UI" w:cs="Segoe UI"/>
          <w:sz w:val="22"/>
          <w:szCs w:val="22"/>
        </w:rPr>
        <w:t>cilta-cel</w:t>
      </w:r>
      <w:proofErr w:type="spellEnd"/>
      <w:r w:rsidRPr="00C8036E">
        <w:rPr>
          <w:rFonts w:ascii="Segoe UI" w:eastAsia="Times New Roman" w:hAnsi="Segoe UI" w:cs="Segoe UI"/>
          <w:sz w:val="22"/>
          <w:szCs w:val="22"/>
        </w:rPr>
        <w:t xml:space="preserve"> would be the patients’ final line of treatment, and thus </w:t>
      </w:r>
      <w:r>
        <w:rPr>
          <w:rFonts w:ascii="Segoe UI" w:eastAsia="Times New Roman" w:hAnsi="Segoe UI" w:cs="Segoe UI"/>
          <w:sz w:val="22"/>
          <w:szCs w:val="22"/>
        </w:rPr>
        <w:t xml:space="preserve">Cd, </w:t>
      </w:r>
      <w:r w:rsidRPr="00C8036E">
        <w:rPr>
          <w:rFonts w:ascii="Segoe UI" w:eastAsia="Times New Roman" w:hAnsi="Segoe UI" w:cs="Segoe UI"/>
          <w:sz w:val="22"/>
          <w:szCs w:val="22"/>
        </w:rPr>
        <w:t xml:space="preserve">Pd, or </w:t>
      </w:r>
      <w:r>
        <w:rPr>
          <w:rFonts w:ascii="Segoe UI" w:eastAsia="Times New Roman" w:hAnsi="Segoe UI" w:cs="Segoe UI"/>
          <w:sz w:val="22"/>
          <w:szCs w:val="22"/>
        </w:rPr>
        <w:t>S</w:t>
      </w:r>
      <w:r w:rsidRPr="00C8036E">
        <w:rPr>
          <w:rFonts w:ascii="Segoe UI" w:eastAsia="Times New Roman" w:hAnsi="Segoe UI" w:cs="Segoe UI"/>
          <w:sz w:val="22"/>
          <w:szCs w:val="22"/>
        </w:rPr>
        <w:t>d, would be replaced.</w:t>
      </w:r>
    </w:p>
    <w:p w14:paraId="69C4302A" w14:textId="1ECB0802" w:rsidR="00407B82" w:rsidRPr="00C8036E" w:rsidRDefault="00407B82" w:rsidP="001864E1">
      <w:pPr>
        <w:spacing w:after="0" w:line="240" w:lineRule="auto"/>
        <w:rPr>
          <w:rFonts w:ascii="Segoe UI" w:eastAsia="Times New Roman" w:hAnsi="Segoe UI"/>
          <w:b/>
          <w:color w:val="000000"/>
          <w:sz w:val="22"/>
        </w:rPr>
      </w:pPr>
      <w:r w:rsidRPr="00C8036E">
        <w:rPr>
          <w:rFonts w:ascii="Segoe UI" w:eastAsia="Times New Roman" w:hAnsi="Segoe UI"/>
          <w:b/>
          <w:color w:val="000000"/>
          <w:sz w:val="22"/>
        </w:rPr>
        <w:t xml:space="preserve">Define and summarise the clinical management algorithm, including any required tests or healthcare resources, </w:t>
      </w:r>
      <w:r w:rsidRPr="00C8036E">
        <w:rPr>
          <w:rFonts w:ascii="Segoe UI" w:eastAsia="Times New Roman" w:hAnsi="Segoe UI"/>
          <w:b/>
          <w:i/>
          <w:iCs/>
          <w:color w:val="000000"/>
          <w:sz w:val="22"/>
        </w:rPr>
        <w:t>after</w:t>
      </w:r>
      <w:r w:rsidRPr="00C8036E">
        <w:rPr>
          <w:rFonts w:ascii="Segoe UI" w:eastAsia="Times New Roman" w:hAnsi="Segoe UI"/>
          <w:b/>
          <w:color w:val="000000"/>
          <w:sz w:val="22"/>
        </w:rPr>
        <w:t xml:space="preserve"> the use of the </w:t>
      </w:r>
      <w:r w:rsidRPr="00C8036E">
        <w:rPr>
          <w:rFonts w:ascii="Segoe UI" w:eastAsia="Times New Roman" w:hAnsi="Segoe UI"/>
          <w:b/>
          <w:color w:val="000000"/>
          <w:sz w:val="22"/>
          <w:u w:val="single"/>
        </w:rPr>
        <w:t>comparator health technology</w:t>
      </w:r>
      <w:r w:rsidRPr="00C8036E">
        <w:rPr>
          <w:rFonts w:ascii="Segoe UI" w:eastAsia="Times New Roman" w:hAnsi="Segoe UI"/>
          <w:b/>
          <w:color w:val="000000"/>
          <w:sz w:val="22"/>
        </w:rPr>
        <w:t>:</w:t>
      </w:r>
    </w:p>
    <w:p w14:paraId="7CCE5CCD" w14:textId="1BFD63DA" w:rsidR="00407B82" w:rsidRDefault="00C8036E" w:rsidP="001864E1">
      <w:pPr>
        <w:spacing w:after="0" w:line="240" w:lineRule="auto"/>
        <w:rPr>
          <w:rFonts w:ascii="Segoe UI" w:eastAsia="Times New Roman" w:hAnsi="Segoe UI" w:cs="Segoe UI"/>
          <w:sz w:val="22"/>
          <w:szCs w:val="22"/>
        </w:rPr>
      </w:pPr>
      <w:r w:rsidRPr="00C8036E">
        <w:rPr>
          <w:rFonts w:ascii="Segoe UI" w:eastAsia="Times New Roman" w:hAnsi="Segoe UI" w:cs="Segoe UI"/>
          <w:sz w:val="22"/>
          <w:szCs w:val="22"/>
        </w:rPr>
        <w:t>The challenge with treating patients from 4L+ MM onwards, is that patients have generally exhausted most, if not all, classes of MM medicines, and thus have become refractory to these medicines, which explains the lack of standard of care and dismal outcomes reported in the MRDR analysis in these cohorts of patients (</w:t>
      </w:r>
      <w:r>
        <w:rPr>
          <w:rFonts w:ascii="Segoe UI" w:eastAsia="Times New Roman" w:hAnsi="Segoe UI" w:cs="Segoe UI"/>
          <w:sz w:val="22"/>
          <w:szCs w:val="22"/>
        </w:rPr>
        <w:t>provided as evidence in the ADAR related to this application</w:t>
      </w:r>
      <w:r w:rsidRPr="00C8036E">
        <w:rPr>
          <w:rFonts w:ascii="Segoe UI" w:eastAsia="Times New Roman" w:hAnsi="Segoe UI" w:cs="Segoe UI"/>
          <w:sz w:val="22"/>
          <w:szCs w:val="22"/>
        </w:rPr>
        <w:t>). As PBS treatment options at the 5L+ setting of RR MM are extremely limited and response rates are low, clinicians are likely to explore other options for access to alternative medicines, such as clinical trial programs, compassionate use programs or private funding.</w:t>
      </w:r>
    </w:p>
    <w:p w14:paraId="6895E1A8" w14:textId="77777777" w:rsidR="00C8036E" w:rsidRPr="00407B82" w:rsidRDefault="00C8036E" w:rsidP="001864E1">
      <w:pPr>
        <w:spacing w:after="0" w:line="240" w:lineRule="auto"/>
        <w:rPr>
          <w:rFonts w:ascii="Segoe UI" w:eastAsia="Times New Roman" w:hAnsi="Segoe UI"/>
          <w:b/>
          <w:color w:val="000000"/>
          <w:sz w:val="22"/>
        </w:rPr>
      </w:pPr>
    </w:p>
    <w:p w14:paraId="13CB14CB" w14:textId="77777777" w:rsidR="00407B82" w:rsidRPr="00C8036E" w:rsidRDefault="00407B82" w:rsidP="001864E1">
      <w:pPr>
        <w:spacing w:after="0" w:line="240" w:lineRule="auto"/>
        <w:rPr>
          <w:rFonts w:ascii="Segoe UI" w:eastAsia="Times New Roman" w:hAnsi="Segoe UI"/>
          <w:b/>
          <w:color w:val="000000"/>
          <w:sz w:val="22"/>
        </w:rPr>
      </w:pPr>
      <w:r w:rsidRPr="00C8036E">
        <w:rPr>
          <w:rFonts w:ascii="Segoe UI" w:eastAsia="Times New Roman" w:hAnsi="Segoe UI"/>
          <w:b/>
          <w:color w:val="000000"/>
          <w:sz w:val="22"/>
        </w:rPr>
        <w:t xml:space="preserve">Describe and explain any differences in the healthcare resources used </w:t>
      </w:r>
      <w:r w:rsidRPr="00C8036E">
        <w:rPr>
          <w:rFonts w:ascii="Segoe UI" w:eastAsia="Times New Roman" w:hAnsi="Segoe UI"/>
          <w:b/>
          <w:i/>
          <w:iCs/>
          <w:color w:val="000000"/>
          <w:sz w:val="22"/>
        </w:rPr>
        <w:t>after</w:t>
      </w:r>
      <w:r w:rsidRPr="00C8036E">
        <w:rPr>
          <w:rFonts w:ascii="Segoe UI" w:eastAsia="Times New Roman" w:hAnsi="Segoe UI"/>
          <w:b/>
          <w:color w:val="000000"/>
          <w:sz w:val="22"/>
        </w:rPr>
        <w:t xml:space="preserve"> the </w:t>
      </w:r>
      <w:r w:rsidRPr="00C8036E">
        <w:rPr>
          <w:rFonts w:ascii="Segoe UI" w:eastAsia="Times New Roman" w:hAnsi="Segoe UI"/>
          <w:b/>
          <w:color w:val="000000"/>
          <w:sz w:val="22"/>
          <w:u w:val="single"/>
        </w:rPr>
        <w:t>proposed health technology</w:t>
      </w:r>
      <w:r w:rsidRPr="00C8036E">
        <w:rPr>
          <w:rFonts w:ascii="Segoe UI" w:eastAsia="Times New Roman" w:hAnsi="Segoe UI"/>
          <w:b/>
          <w:color w:val="000000"/>
          <w:sz w:val="22"/>
        </w:rPr>
        <w:t xml:space="preserve"> vs. the </w:t>
      </w:r>
      <w:r w:rsidRPr="00C8036E">
        <w:rPr>
          <w:rFonts w:ascii="Segoe UI" w:eastAsia="Times New Roman" w:hAnsi="Segoe UI"/>
          <w:b/>
          <w:color w:val="000000"/>
          <w:sz w:val="22"/>
          <w:u w:val="single"/>
        </w:rPr>
        <w:t>comparator health technology</w:t>
      </w:r>
      <w:r w:rsidRPr="00C8036E">
        <w:rPr>
          <w:rFonts w:ascii="Segoe UI" w:eastAsia="Times New Roman" w:hAnsi="Segoe UI"/>
          <w:b/>
          <w:color w:val="000000"/>
          <w:sz w:val="22"/>
        </w:rPr>
        <w:t>:</w:t>
      </w:r>
    </w:p>
    <w:p w14:paraId="77771A08" w14:textId="227F8980" w:rsidR="00407B82" w:rsidRPr="00407B82" w:rsidRDefault="00DC11E3" w:rsidP="001864E1">
      <w:pPr>
        <w:spacing w:after="0" w:line="240" w:lineRule="auto"/>
        <w:rPr>
          <w:rFonts w:asciiTheme="minorHAnsi" w:eastAsia="Times New Roman" w:hAnsiTheme="minorHAnsi" w:cs="Calibri"/>
          <w:color w:val="000000"/>
          <w:sz w:val="22"/>
          <w:szCs w:val="22"/>
        </w:rPr>
      </w:pPr>
      <w:proofErr w:type="spellStart"/>
      <w:r>
        <w:rPr>
          <w:rFonts w:ascii="Segoe UI" w:eastAsia="Times New Roman" w:hAnsi="Segoe UI" w:cs="Segoe UI"/>
          <w:sz w:val="22"/>
          <w:szCs w:val="22"/>
        </w:rPr>
        <w:t>C</w:t>
      </w:r>
      <w:r w:rsidRPr="00DC11E3">
        <w:rPr>
          <w:rFonts w:ascii="Segoe UI" w:eastAsia="Times New Roman" w:hAnsi="Segoe UI" w:cs="Segoe UI"/>
          <w:sz w:val="22"/>
          <w:szCs w:val="22"/>
        </w:rPr>
        <w:t>ilta-cel</w:t>
      </w:r>
      <w:proofErr w:type="spellEnd"/>
      <w:r w:rsidRPr="00DC11E3">
        <w:rPr>
          <w:rFonts w:ascii="Segoe UI" w:eastAsia="Times New Roman" w:hAnsi="Segoe UI" w:cs="Segoe UI"/>
          <w:sz w:val="22"/>
          <w:szCs w:val="22"/>
        </w:rPr>
        <w:t xml:space="preserve"> is a one-off procedure and thus patients with RRMM will no longer need to receive continuous therapy until progression. This results in improved quality of life relative to SoC therapies as there is no further treatment or consequences of ongoing treatment like AEs and repeat administration </w:t>
      </w:r>
      <w:r>
        <w:rPr>
          <w:rFonts w:ascii="Segoe UI" w:eastAsia="Times New Roman" w:hAnsi="Segoe UI" w:cs="Segoe UI"/>
          <w:sz w:val="22"/>
          <w:szCs w:val="22"/>
        </w:rPr>
        <w:t xml:space="preserve">Furthermore, </w:t>
      </w:r>
      <w:proofErr w:type="spellStart"/>
      <w:r>
        <w:rPr>
          <w:rFonts w:ascii="Segoe UI" w:eastAsia="Times New Roman" w:hAnsi="Segoe UI" w:cs="Segoe UI"/>
          <w:sz w:val="22"/>
          <w:szCs w:val="22"/>
        </w:rPr>
        <w:t>cilta-cel</w:t>
      </w:r>
      <w:proofErr w:type="spellEnd"/>
      <w:r>
        <w:rPr>
          <w:rFonts w:ascii="Segoe UI" w:eastAsia="Times New Roman" w:hAnsi="Segoe UI" w:cs="Segoe UI"/>
          <w:sz w:val="22"/>
          <w:szCs w:val="22"/>
        </w:rPr>
        <w:t xml:space="preserve"> induces deep and meaningful responses which significantly extend life. Thus, patients can enjoy considerable periods of treatment free intervals, </w:t>
      </w:r>
      <w:r>
        <w:rPr>
          <w:rFonts w:ascii="Segoe UI" w:eastAsia="Times New Roman" w:hAnsi="Segoe UI" w:cs="Segoe UI"/>
          <w:sz w:val="22"/>
          <w:szCs w:val="22"/>
        </w:rPr>
        <w:lastRenderedPageBreak/>
        <w:t xml:space="preserve">and for some patients, they will require no further treatment. </w:t>
      </w:r>
      <w:r w:rsidRPr="00DC11E3">
        <w:rPr>
          <w:rFonts w:ascii="Segoe UI" w:eastAsia="Times New Roman" w:hAnsi="Segoe UI" w:cs="Segoe UI"/>
          <w:sz w:val="22"/>
          <w:szCs w:val="22"/>
        </w:rPr>
        <w:t xml:space="preserve">Therefore </w:t>
      </w:r>
      <w:proofErr w:type="spellStart"/>
      <w:r w:rsidRPr="00DC11E3">
        <w:rPr>
          <w:rFonts w:ascii="Segoe UI" w:eastAsia="Times New Roman" w:hAnsi="Segoe UI" w:cs="Segoe UI"/>
          <w:sz w:val="22"/>
          <w:szCs w:val="22"/>
        </w:rPr>
        <w:t>cilta-cel</w:t>
      </w:r>
      <w:proofErr w:type="spellEnd"/>
      <w:r w:rsidRPr="00DC11E3">
        <w:rPr>
          <w:rFonts w:ascii="Segoe UI" w:eastAsia="Times New Roman" w:hAnsi="Segoe UI" w:cs="Segoe UI"/>
          <w:sz w:val="22"/>
          <w:szCs w:val="22"/>
        </w:rPr>
        <w:t xml:space="preserve"> addresses an area of high unmet medical need for Australian patients in which there are limited options and a poor prognosis.</w:t>
      </w:r>
    </w:p>
    <w:p w14:paraId="2F2E90A8" w14:textId="77777777" w:rsidR="00407B82" w:rsidRPr="00407B82" w:rsidRDefault="00407B82" w:rsidP="00407B82">
      <w:pPr>
        <w:rPr>
          <w:rFonts w:ascii="Segoe UI" w:eastAsia="Times New Roman" w:hAnsi="Segoe UI"/>
          <w:bCs/>
          <w:color w:val="000000"/>
          <w:sz w:val="22"/>
        </w:rPr>
      </w:pPr>
    </w:p>
    <w:p w14:paraId="74D33BF7" w14:textId="77777777" w:rsidR="00246FB8" w:rsidRDefault="00246FB8">
      <w:pPr>
        <w:rPr>
          <w:rFonts w:ascii="Segoe UI" w:eastAsia="Times New Roman" w:hAnsi="Segoe UI"/>
          <w:b/>
          <w:color w:val="000000"/>
          <w:u w:val="single"/>
        </w:rPr>
      </w:pPr>
      <w:r>
        <w:rPr>
          <w:rFonts w:ascii="Segoe UI" w:eastAsia="Times New Roman" w:hAnsi="Segoe UI"/>
          <w:b/>
          <w:color w:val="000000"/>
          <w:u w:val="single"/>
        </w:rPr>
        <w:br w:type="page"/>
      </w:r>
    </w:p>
    <w:p w14:paraId="2870384D" w14:textId="42EC0D9E" w:rsidR="00407B82" w:rsidRPr="00407B82" w:rsidRDefault="00407B82" w:rsidP="00407B82">
      <w:pPr>
        <w:rPr>
          <w:rFonts w:ascii="Segoe UI" w:eastAsia="Times New Roman" w:hAnsi="Segoe UI"/>
          <w:b/>
          <w:color w:val="000000"/>
          <w:u w:val="single"/>
        </w:rPr>
      </w:pPr>
      <w:r w:rsidRPr="00407B82">
        <w:rPr>
          <w:rFonts w:ascii="Segoe UI" w:eastAsia="Times New Roman" w:hAnsi="Segoe UI"/>
          <w:b/>
          <w:color w:val="000000"/>
          <w:u w:val="single"/>
        </w:rPr>
        <w:t>Algorithms</w:t>
      </w:r>
    </w:p>
    <w:p w14:paraId="742CAF72" w14:textId="77777777" w:rsidR="00407B82" w:rsidRPr="00407B82" w:rsidRDefault="00407B82" w:rsidP="00407B82">
      <w:pPr>
        <w:rPr>
          <w:rFonts w:ascii="Segoe UI" w:eastAsia="Times New Roman" w:hAnsi="Segoe UI"/>
          <w:b/>
          <w:color w:val="000000"/>
          <w:sz w:val="22"/>
        </w:rPr>
      </w:pPr>
      <w:r w:rsidRPr="00407B82">
        <w:rPr>
          <w:rFonts w:ascii="Segoe UI" w:eastAsia="Times New Roman" w:hAnsi="Segoe UI"/>
          <w:b/>
          <w:color w:val="000000"/>
          <w:sz w:val="22"/>
        </w:rPr>
        <w:t>Insert diagrams demonstrating the clinical management algorithm with and without the proposed health technology:</w:t>
      </w:r>
    </w:p>
    <w:p w14:paraId="57D304F1" w14:textId="77777777" w:rsidR="00162674" w:rsidRPr="004D5765" w:rsidRDefault="00162674" w:rsidP="004D5765">
      <w:pPr>
        <w:keepNext/>
        <w:rPr>
          <w:rFonts w:ascii="Segoe UI" w:eastAsia="Times New Roman" w:hAnsi="Segoe UI"/>
          <w:b/>
          <w:sz w:val="22"/>
        </w:rPr>
      </w:pPr>
      <w:r w:rsidRPr="004D5765">
        <w:rPr>
          <w:rFonts w:ascii="Segoe UI" w:eastAsia="Times New Roman" w:hAnsi="Segoe UI"/>
          <w:b/>
          <w:sz w:val="22"/>
        </w:rPr>
        <w:t>Figure 1: Current clinical algorithm</w:t>
      </w:r>
    </w:p>
    <w:p w14:paraId="7532772C" w14:textId="77777777" w:rsidR="004D5765" w:rsidRPr="00116EB6" w:rsidRDefault="004D5765" w:rsidP="004D5765">
      <w:pPr>
        <w:pStyle w:val="Instructionaltext"/>
        <w:spacing w:after="0" w:line="240" w:lineRule="auto"/>
        <w:jc w:val="center"/>
        <w:rPr>
          <w:rFonts w:cstheme="minorHAnsi"/>
          <w:color w:val="auto"/>
          <w:highlight w:val="yellow"/>
        </w:rPr>
      </w:pPr>
      <w:r w:rsidRPr="00606264">
        <w:rPr>
          <w:noProof/>
        </w:rPr>
        <w:drawing>
          <wp:inline distT="0" distB="0" distL="0" distR="0" wp14:anchorId="6A36BF01" wp14:editId="3BD4344C">
            <wp:extent cx="5581650" cy="4946488"/>
            <wp:effectExtent l="0" t="0" r="0" b="698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2"/>
                    <a:stretch>
                      <a:fillRect/>
                    </a:stretch>
                  </pic:blipFill>
                  <pic:spPr>
                    <a:xfrm>
                      <a:off x="0" y="0"/>
                      <a:ext cx="5585226" cy="4949657"/>
                    </a:xfrm>
                    <a:prstGeom prst="rect">
                      <a:avLst/>
                    </a:prstGeom>
                  </pic:spPr>
                </pic:pic>
              </a:graphicData>
            </a:graphic>
          </wp:inline>
        </w:drawing>
      </w:r>
    </w:p>
    <w:p w14:paraId="557172F5" w14:textId="2C12D9B5" w:rsidR="00162674" w:rsidRDefault="004D5765" w:rsidP="004D5765">
      <w:pPr>
        <w:rPr>
          <w:rFonts w:ascii="Segoe UI" w:eastAsia="Times New Roman" w:hAnsi="Segoe UI"/>
          <w:bCs/>
          <w:color w:val="000000"/>
          <w:sz w:val="22"/>
        </w:rPr>
      </w:pPr>
      <w:r w:rsidRPr="003161D0">
        <w:rPr>
          <w:rFonts w:asciiTheme="minorHAnsi" w:hAnsiTheme="minorHAnsi" w:cstheme="minorHAnsi"/>
          <w:bCs/>
          <w:sz w:val="18"/>
          <w:szCs w:val="18"/>
        </w:rPr>
        <w:t>Abbreviations: Proteasome inhibitor (PI); Immunomodulatory agent (</w:t>
      </w:r>
      <w:proofErr w:type="spellStart"/>
      <w:r w:rsidRPr="003161D0">
        <w:rPr>
          <w:rFonts w:asciiTheme="minorHAnsi" w:hAnsiTheme="minorHAnsi" w:cstheme="minorHAnsi"/>
          <w:bCs/>
          <w:sz w:val="18"/>
          <w:szCs w:val="18"/>
        </w:rPr>
        <w:t>ImiD</w:t>
      </w:r>
      <w:proofErr w:type="spellEnd"/>
      <w:r w:rsidRPr="003161D0">
        <w:rPr>
          <w:rFonts w:asciiTheme="minorHAnsi" w:hAnsiTheme="minorHAnsi" w:cstheme="minorHAnsi"/>
          <w:bCs/>
          <w:sz w:val="18"/>
          <w:szCs w:val="18"/>
        </w:rPr>
        <w:t xml:space="preserve">); Selective inhibitor of nuclear export (SINE); </w:t>
      </w:r>
      <w:r w:rsidRPr="003161D0">
        <w:rPr>
          <w:rFonts w:cstheme="minorHAnsi"/>
          <w:sz w:val="16"/>
          <w:szCs w:val="16"/>
        </w:rPr>
        <w:t xml:space="preserve">Bd = bortezomib and dexamethasone; </w:t>
      </w:r>
      <w:proofErr w:type="spellStart"/>
      <w:r w:rsidRPr="003161D0">
        <w:rPr>
          <w:rFonts w:cstheme="minorHAnsi"/>
          <w:sz w:val="16"/>
          <w:szCs w:val="16"/>
        </w:rPr>
        <w:t>BLd</w:t>
      </w:r>
      <w:proofErr w:type="spellEnd"/>
      <w:r w:rsidRPr="003161D0">
        <w:rPr>
          <w:rFonts w:cstheme="minorHAnsi"/>
          <w:sz w:val="16"/>
          <w:szCs w:val="16"/>
        </w:rPr>
        <w:t xml:space="preserve"> = bortezomib, lenalidomide and dexamethasone; Cd = carfilzomib and dexamethasone; </w:t>
      </w:r>
      <w:proofErr w:type="spellStart"/>
      <w:r w:rsidRPr="003161D0">
        <w:rPr>
          <w:rFonts w:cstheme="minorHAnsi"/>
          <w:sz w:val="16"/>
          <w:szCs w:val="16"/>
        </w:rPr>
        <w:t>DBd</w:t>
      </w:r>
      <w:proofErr w:type="spellEnd"/>
      <w:r w:rsidRPr="003161D0">
        <w:rPr>
          <w:rFonts w:cstheme="minorHAnsi"/>
          <w:sz w:val="16"/>
          <w:szCs w:val="16"/>
        </w:rPr>
        <w:t xml:space="preserve"> = daratumumab, bortezomib and dexamethasone; </w:t>
      </w:r>
      <w:proofErr w:type="spellStart"/>
      <w:r>
        <w:rPr>
          <w:rFonts w:cstheme="minorHAnsi"/>
          <w:sz w:val="16"/>
          <w:szCs w:val="16"/>
        </w:rPr>
        <w:t>ELd</w:t>
      </w:r>
      <w:proofErr w:type="spellEnd"/>
      <w:r>
        <w:rPr>
          <w:rFonts w:cstheme="minorHAnsi"/>
          <w:sz w:val="16"/>
          <w:szCs w:val="16"/>
        </w:rPr>
        <w:t xml:space="preserve"> = </w:t>
      </w:r>
      <w:proofErr w:type="spellStart"/>
      <w:r>
        <w:rPr>
          <w:rFonts w:cstheme="minorHAnsi"/>
          <w:sz w:val="16"/>
          <w:szCs w:val="16"/>
        </w:rPr>
        <w:t>elotuzumab</w:t>
      </w:r>
      <w:proofErr w:type="spellEnd"/>
      <w:r>
        <w:rPr>
          <w:rFonts w:cstheme="minorHAnsi"/>
          <w:sz w:val="16"/>
          <w:szCs w:val="16"/>
        </w:rPr>
        <w:t xml:space="preserve">, lenalidomide and dexamethasone; </w:t>
      </w:r>
      <w:proofErr w:type="spellStart"/>
      <w:r w:rsidRPr="003161D0">
        <w:rPr>
          <w:rFonts w:cstheme="minorHAnsi"/>
          <w:sz w:val="16"/>
          <w:szCs w:val="16"/>
        </w:rPr>
        <w:t>ImiDs</w:t>
      </w:r>
      <w:proofErr w:type="spellEnd"/>
      <w:r w:rsidRPr="003161D0">
        <w:rPr>
          <w:rFonts w:cstheme="minorHAnsi"/>
          <w:sz w:val="16"/>
          <w:szCs w:val="16"/>
        </w:rPr>
        <w:t xml:space="preserve"> = immunomodulator drugs; </w:t>
      </w:r>
      <w:proofErr w:type="spellStart"/>
      <w:r w:rsidRPr="003161D0">
        <w:rPr>
          <w:rFonts w:cstheme="minorHAnsi"/>
          <w:sz w:val="16"/>
          <w:szCs w:val="16"/>
        </w:rPr>
        <w:t>Ld</w:t>
      </w:r>
      <w:proofErr w:type="spellEnd"/>
      <w:r w:rsidRPr="003161D0">
        <w:rPr>
          <w:rFonts w:cstheme="minorHAnsi"/>
          <w:sz w:val="16"/>
          <w:szCs w:val="16"/>
        </w:rPr>
        <w:t xml:space="preserve"> = lenalidomide and dexamethasone; MM = multiple myeloma; </w:t>
      </w:r>
      <w:proofErr w:type="spellStart"/>
      <w:r>
        <w:rPr>
          <w:rFonts w:cstheme="minorHAnsi"/>
          <w:sz w:val="16"/>
          <w:szCs w:val="16"/>
        </w:rPr>
        <w:t>PBd</w:t>
      </w:r>
      <w:proofErr w:type="spellEnd"/>
      <w:r>
        <w:rPr>
          <w:rFonts w:cstheme="minorHAnsi"/>
          <w:sz w:val="16"/>
          <w:szCs w:val="16"/>
        </w:rPr>
        <w:t xml:space="preserve"> = pomalidomide, bortezomib and dexamethasone; </w:t>
      </w:r>
      <w:r w:rsidRPr="003161D0">
        <w:rPr>
          <w:rFonts w:cstheme="minorHAnsi"/>
          <w:sz w:val="16"/>
          <w:szCs w:val="16"/>
        </w:rPr>
        <w:t>Pd = pomalidomide and dexamethasone.</w:t>
      </w:r>
    </w:p>
    <w:p w14:paraId="7C53FFEF" w14:textId="77777777" w:rsidR="00162674" w:rsidRPr="00864985" w:rsidRDefault="00162674" w:rsidP="00162674">
      <w:pPr>
        <w:rPr>
          <w:rFonts w:ascii="Segoe UI" w:eastAsia="Times New Roman" w:hAnsi="Segoe UI"/>
          <w:bCs/>
          <w:color w:val="000000"/>
          <w:sz w:val="22"/>
        </w:rPr>
      </w:pPr>
    </w:p>
    <w:p w14:paraId="37AEB457" w14:textId="3BE43504" w:rsidR="00864985" w:rsidRPr="004D5765" w:rsidRDefault="00864985" w:rsidP="004D5765">
      <w:pPr>
        <w:keepNext/>
        <w:rPr>
          <w:rFonts w:ascii="Segoe UI" w:eastAsia="Times New Roman" w:hAnsi="Segoe UI"/>
          <w:b/>
          <w:sz w:val="22"/>
        </w:rPr>
      </w:pPr>
      <w:r w:rsidRPr="004D5765">
        <w:rPr>
          <w:rFonts w:ascii="Segoe UI" w:eastAsia="Times New Roman" w:hAnsi="Segoe UI"/>
          <w:b/>
          <w:sz w:val="22"/>
        </w:rPr>
        <w:lastRenderedPageBreak/>
        <w:t xml:space="preserve">Figure </w:t>
      </w:r>
      <w:r w:rsidR="00162674" w:rsidRPr="004D5765">
        <w:rPr>
          <w:rFonts w:ascii="Segoe UI" w:eastAsia="Times New Roman" w:hAnsi="Segoe UI"/>
          <w:b/>
          <w:sz w:val="22"/>
        </w:rPr>
        <w:t>2</w:t>
      </w:r>
      <w:r w:rsidRPr="004D5765">
        <w:rPr>
          <w:rFonts w:ascii="Segoe UI" w:eastAsia="Times New Roman" w:hAnsi="Segoe UI"/>
          <w:b/>
          <w:sz w:val="22"/>
        </w:rPr>
        <w:t xml:space="preserve">: </w:t>
      </w:r>
      <w:r w:rsidR="00162674" w:rsidRPr="004D5765">
        <w:rPr>
          <w:rFonts w:ascii="Segoe UI" w:eastAsia="Times New Roman" w:hAnsi="Segoe UI"/>
          <w:b/>
          <w:sz w:val="22"/>
        </w:rPr>
        <w:t>P</w:t>
      </w:r>
      <w:r w:rsidRPr="004D5765">
        <w:rPr>
          <w:rFonts w:ascii="Segoe UI" w:eastAsia="Times New Roman" w:hAnsi="Segoe UI"/>
          <w:b/>
          <w:sz w:val="22"/>
        </w:rPr>
        <w:t>roposed clinical algorithm</w:t>
      </w:r>
    </w:p>
    <w:p w14:paraId="34494358" w14:textId="77777777" w:rsidR="004D5765" w:rsidRDefault="004D5765" w:rsidP="004D5765">
      <w:pPr>
        <w:spacing w:after="0" w:line="264" w:lineRule="auto"/>
        <w:jc w:val="center"/>
        <w:rPr>
          <w:rFonts w:asciiTheme="minorHAnsi" w:hAnsiTheme="minorHAnsi" w:cstheme="minorHAnsi"/>
          <w:bCs/>
        </w:rPr>
      </w:pPr>
      <w:r w:rsidRPr="00606264">
        <w:rPr>
          <w:noProof/>
        </w:rPr>
        <w:drawing>
          <wp:inline distT="0" distB="0" distL="0" distR="0" wp14:anchorId="70476A23" wp14:editId="56E71862">
            <wp:extent cx="5556755" cy="4924425"/>
            <wp:effectExtent l="0" t="0" r="635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3"/>
                    <a:stretch>
                      <a:fillRect/>
                    </a:stretch>
                  </pic:blipFill>
                  <pic:spPr>
                    <a:xfrm>
                      <a:off x="0" y="0"/>
                      <a:ext cx="5570045" cy="4936203"/>
                    </a:xfrm>
                    <a:prstGeom prst="rect">
                      <a:avLst/>
                    </a:prstGeom>
                  </pic:spPr>
                </pic:pic>
              </a:graphicData>
            </a:graphic>
          </wp:inline>
        </w:drawing>
      </w:r>
    </w:p>
    <w:p w14:paraId="5E1AFC9D" w14:textId="6642EFAA" w:rsidR="004D5765" w:rsidRDefault="004D5765" w:rsidP="00407B82">
      <w:pPr>
        <w:rPr>
          <w:rFonts w:ascii="Segoe UI" w:eastAsia="Times New Roman" w:hAnsi="Segoe UI"/>
          <w:bCs/>
          <w:color w:val="000000"/>
          <w:sz w:val="22"/>
        </w:rPr>
      </w:pPr>
      <w:r w:rsidRPr="003161D0">
        <w:rPr>
          <w:rFonts w:asciiTheme="minorHAnsi" w:hAnsiTheme="minorHAnsi" w:cstheme="minorHAnsi"/>
          <w:bCs/>
          <w:sz w:val="18"/>
          <w:szCs w:val="18"/>
        </w:rPr>
        <w:t>Abbreviations: Proteasome inhibitor (PI); Immunomodulatory agent (</w:t>
      </w:r>
      <w:proofErr w:type="spellStart"/>
      <w:r w:rsidRPr="003161D0">
        <w:rPr>
          <w:rFonts w:asciiTheme="minorHAnsi" w:hAnsiTheme="minorHAnsi" w:cstheme="minorHAnsi"/>
          <w:bCs/>
          <w:sz w:val="18"/>
          <w:szCs w:val="18"/>
        </w:rPr>
        <w:t>ImiD</w:t>
      </w:r>
      <w:proofErr w:type="spellEnd"/>
      <w:r w:rsidRPr="003161D0">
        <w:rPr>
          <w:rFonts w:asciiTheme="minorHAnsi" w:hAnsiTheme="minorHAnsi" w:cstheme="minorHAnsi"/>
          <w:bCs/>
          <w:sz w:val="18"/>
          <w:szCs w:val="18"/>
        </w:rPr>
        <w:t xml:space="preserve">); Selective inhibitor of nuclear export (SINE); </w:t>
      </w:r>
      <w:r w:rsidRPr="003161D0">
        <w:rPr>
          <w:rFonts w:cstheme="minorHAnsi"/>
          <w:sz w:val="16"/>
          <w:szCs w:val="16"/>
        </w:rPr>
        <w:t xml:space="preserve">Bd = bortezomib and dexamethasone; </w:t>
      </w:r>
      <w:proofErr w:type="spellStart"/>
      <w:r w:rsidRPr="003161D0">
        <w:rPr>
          <w:rFonts w:cstheme="minorHAnsi"/>
          <w:sz w:val="16"/>
          <w:szCs w:val="16"/>
        </w:rPr>
        <w:t>BLd</w:t>
      </w:r>
      <w:proofErr w:type="spellEnd"/>
      <w:r w:rsidRPr="003161D0">
        <w:rPr>
          <w:rFonts w:cstheme="minorHAnsi"/>
          <w:sz w:val="16"/>
          <w:szCs w:val="16"/>
        </w:rPr>
        <w:t xml:space="preserve"> = bortezomib, lenalidomide and dexamethasone; Cd = carfilzomib and dexamethasone; </w:t>
      </w:r>
      <w:proofErr w:type="spellStart"/>
      <w:r w:rsidRPr="003161D0">
        <w:rPr>
          <w:rFonts w:cstheme="minorHAnsi"/>
          <w:sz w:val="16"/>
          <w:szCs w:val="16"/>
        </w:rPr>
        <w:t>DBd</w:t>
      </w:r>
      <w:proofErr w:type="spellEnd"/>
      <w:r w:rsidRPr="003161D0">
        <w:rPr>
          <w:rFonts w:cstheme="minorHAnsi"/>
          <w:sz w:val="16"/>
          <w:szCs w:val="16"/>
        </w:rPr>
        <w:t xml:space="preserve"> = daratumumab, bortezomib and dexamethasone; </w:t>
      </w:r>
      <w:proofErr w:type="spellStart"/>
      <w:r>
        <w:rPr>
          <w:rFonts w:cstheme="minorHAnsi"/>
          <w:sz w:val="16"/>
          <w:szCs w:val="16"/>
        </w:rPr>
        <w:t>ELd</w:t>
      </w:r>
      <w:proofErr w:type="spellEnd"/>
      <w:r>
        <w:rPr>
          <w:rFonts w:cstheme="minorHAnsi"/>
          <w:sz w:val="16"/>
          <w:szCs w:val="16"/>
        </w:rPr>
        <w:t xml:space="preserve"> = </w:t>
      </w:r>
      <w:proofErr w:type="spellStart"/>
      <w:r>
        <w:rPr>
          <w:rFonts w:cstheme="minorHAnsi"/>
          <w:sz w:val="16"/>
          <w:szCs w:val="16"/>
        </w:rPr>
        <w:t>elotuzumab</w:t>
      </w:r>
      <w:proofErr w:type="spellEnd"/>
      <w:r>
        <w:rPr>
          <w:rFonts w:cstheme="minorHAnsi"/>
          <w:sz w:val="16"/>
          <w:szCs w:val="16"/>
        </w:rPr>
        <w:t xml:space="preserve">, lenalidomide and dexamethasone; </w:t>
      </w:r>
      <w:proofErr w:type="spellStart"/>
      <w:r w:rsidRPr="003161D0">
        <w:rPr>
          <w:rFonts w:cstheme="minorHAnsi"/>
          <w:sz w:val="16"/>
          <w:szCs w:val="16"/>
        </w:rPr>
        <w:t>ImiDs</w:t>
      </w:r>
      <w:proofErr w:type="spellEnd"/>
      <w:r w:rsidRPr="003161D0">
        <w:rPr>
          <w:rFonts w:cstheme="minorHAnsi"/>
          <w:sz w:val="16"/>
          <w:szCs w:val="16"/>
        </w:rPr>
        <w:t xml:space="preserve"> = immunomodulator drugs; </w:t>
      </w:r>
      <w:proofErr w:type="spellStart"/>
      <w:r w:rsidRPr="003161D0">
        <w:rPr>
          <w:rFonts w:cstheme="minorHAnsi"/>
          <w:sz w:val="16"/>
          <w:szCs w:val="16"/>
        </w:rPr>
        <w:t>Ld</w:t>
      </w:r>
      <w:proofErr w:type="spellEnd"/>
      <w:r w:rsidRPr="003161D0">
        <w:rPr>
          <w:rFonts w:cstheme="minorHAnsi"/>
          <w:sz w:val="16"/>
          <w:szCs w:val="16"/>
        </w:rPr>
        <w:t xml:space="preserve"> = lenalidomide and dexamethasone; MM = multiple myeloma; </w:t>
      </w:r>
      <w:proofErr w:type="spellStart"/>
      <w:r>
        <w:rPr>
          <w:rFonts w:cstheme="minorHAnsi"/>
          <w:sz w:val="16"/>
          <w:szCs w:val="16"/>
        </w:rPr>
        <w:t>PBd</w:t>
      </w:r>
      <w:proofErr w:type="spellEnd"/>
      <w:r>
        <w:rPr>
          <w:rFonts w:cstheme="minorHAnsi"/>
          <w:sz w:val="16"/>
          <w:szCs w:val="16"/>
        </w:rPr>
        <w:t xml:space="preserve"> = pomalidomide, bortezomib and dexamethasone; </w:t>
      </w:r>
      <w:r w:rsidRPr="003161D0">
        <w:rPr>
          <w:rFonts w:cstheme="minorHAnsi"/>
          <w:sz w:val="16"/>
          <w:szCs w:val="16"/>
        </w:rPr>
        <w:t>Pd = pomalidomide and dexamethasone.</w:t>
      </w:r>
    </w:p>
    <w:p w14:paraId="34252AE9" w14:textId="77777777" w:rsidR="00ED09AF" w:rsidRDefault="00ED09AF" w:rsidP="00407B82">
      <w:pPr>
        <w:rPr>
          <w:rFonts w:ascii="Segoe UI" w:eastAsia="Times New Roman" w:hAnsi="Segoe UI"/>
          <w:b/>
          <w:color w:val="000000"/>
          <w:sz w:val="32"/>
        </w:rPr>
      </w:pPr>
    </w:p>
    <w:p w14:paraId="6567ADA5" w14:textId="30F14D09" w:rsidR="00407B82" w:rsidRPr="00407B82" w:rsidRDefault="00407B82" w:rsidP="00407B82">
      <w:pPr>
        <w:rPr>
          <w:rFonts w:ascii="Segoe UI" w:eastAsia="Times New Roman" w:hAnsi="Segoe UI"/>
          <w:b/>
          <w:color w:val="000000"/>
          <w:sz w:val="32"/>
        </w:rPr>
      </w:pPr>
      <w:r w:rsidRPr="00407B82">
        <w:rPr>
          <w:rFonts w:ascii="Segoe UI" w:eastAsia="Times New Roman" w:hAnsi="Segoe UI"/>
          <w:b/>
          <w:color w:val="000000"/>
          <w:sz w:val="32"/>
        </w:rPr>
        <w:t>Claims</w:t>
      </w:r>
    </w:p>
    <w:p w14:paraId="557D826D" w14:textId="244A8FDC" w:rsidR="00407B82" w:rsidRPr="00407B82" w:rsidRDefault="00407B82" w:rsidP="00407B82">
      <w:pPr>
        <w:rPr>
          <w:rFonts w:ascii="Segoe UI" w:eastAsia="Times New Roman" w:hAnsi="Segoe UI"/>
          <w:bCs/>
          <w:color w:val="000000"/>
          <w:sz w:val="22"/>
        </w:rPr>
      </w:pPr>
      <w:bookmarkStart w:id="7" w:name="_Hlk121218597"/>
      <w:r w:rsidRPr="00407B82">
        <w:rPr>
          <w:rFonts w:ascii="Segoe UI" w:eastAsia="Times New Roman" w:hAnsi="Segoe UI"/>
          <w:b/>
          <w:color w:val="000000"/>
          <w:sz w:val="22"/>
        </w:rPr>
        <w:t>In terms of health outcomes (comparative benefits and harms), is the proposed technology claimed to be superior, non-inferior or inferior to the comparator(s)?</w:t>
      </w:r>
    </w:p>
    <w:p w14:paraId="4B0164F1" w14:textId="4AA80691" w:rsidR="00407B82" w:rsidRPr="00407B82" w:rsidRDefault="000A04A4"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407B82" w:rsidRPr="00407B82">
        <w:rPr>
          <w:rFonts w:ascii="Segoe UI" w:eastAsia="Times New Roman" w:hAnsi="Segoe UI" w:cs="Segoe UI"/>
          <w:bCs/>
          <w:sz w:val="22"/>
          <w:szCs w:val="22"/>
        </w:rPr>
        <w:t xml:space="preserve"> Superior </w:t>
      </w:r>
    </w:p>
    <w:p w14:paraId="0F8A471F"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Non-inferior</w:t>
      </w:r>
    </w:p>
    <w:p w14:paraId="46D7345F"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Inferior </w:t>
      </w:r>
    </w:p>
    <w:p w14:paraId="4900FE9F" w14:textId="77777777" w:rsidR="00407B82" w:rsidRPr="00407B82" w:rsidRDefault="00407B82" w:rsidP="00407B82">
      <w:pPr>
        <w:rPr>
          <w:rFonts w:ascii="Segoe UI" w:eastAsia="Times New Roman" w:hAnsi="Segoe UI"/>
          <w:b/>
          <w:color w:val="000000"/>
          <w:sz w:val="22"/>
        </w:rPr>
      </w:pPr>
    </w:p>
    <w:p w14:paraId="4A4F94BB" w14:textId="222304A5" w:rsidR="00D04E96" w:rsidRPr="00ED09AF" w:rsidRDefault="00407B82" w:rsidP="00ED09AF">
      <w:pPr>
        <w:spacing w:after="0" w:line="240" w:lineRule="auto"/>
        <w:rPr>
          <w:rFonts w:ascii="Segoe UI" w:eastAsia="Times New Roman" w:hAnsi="Segoe UI"/>
          <w:b/>
          <w:color w:val="000000"/>
          <w:sz w:val="22"/>
        </w:rPr>
      </w:pPr>
      <w:r w:rsidRPr="00407B82">
        <w:rPr>
          <w:rFonts w:ascii="Segoe UI" w:eastAsia="Times New Roman" w:hAnsi="Segoe UI" w:cs="Segoe UI"/>
          <w:b/>
          <w:bCs/>
          <w:color w:val="000000"/>
          <w:sz w:val="22"/>
          <w:szCs w:val="22"/>
        </w:rPr>
        <w:t>Please state what the overall claim is, and provide a rationale</w:t>
      </w:r>
      <w:r w:rsidRPr="00407B82">
        <w:rPr>
          <w:rFonts w:ascii="Segoe UI" w:eastAsia="Times New Roman" w:hAnsi="Segoe UI"/>
          <w:b/>
          <w:color w:val="000000"/>
          <w:sz w:val="22"/>
        </w:rPr>
        <w:t>:</w:t>
      </w:r>
      <w:bookmarkEnd w:id="7"/>
      <w:r w:rsidR="00ED09AF">
        <w:rPr>
          <w:rFonts w:ascii="Segoe UI" w:eastAsia="Times New Roman" w:hAnsi="Segoe UI"/>
          <w:b/>
          <w:color w:val="000000"/>
          <w:sz w:val="22"/>
        </w:rPr>
        <w:br/>
      </w:r>
      <w:r w:rsidR="00D04E96" w:rsidRPr="004D5765">
        <w:rPr>
          <w:rFonts w:ascii="Segoe UI" w:eastAsia="Times New Roman" w:hAnsi="Segoe UI" w:cs="Segoe UI"/>
          <w:sz w:val="22"/>
          <w:szCs w:val="22"/>
        </w:rPr>
        <w:t xml:space="preserve">The use of </w:t>
      </w:r>
      <w:proofErr w:type="spellStart"/>
      <w:r w:rsidR="00D04E96" w:rsidRPr="004D5765">
        <w:rPr>
          <w:rFonts w:ascii="Segoe UI" w:eastAsia="Times New Roman" w:hAnsi="Segoe UI" w:cs="Segoe UI"/>
          <w:sz w:val="22"/>
          <w:szCs w:val="22"/>
        </w:rPr>
        <w:t>cilta-cel</w:t>
      </w:r>
      <w:proofErr w:type="spellEnd"/>
      <w:r w:rsidR="00D04E96" w:rsidRPr="004D5765">
        <w:rPr>
          <w:rFonts w:ascii="Segoe UI" w:eastAsia="Times New Roman" w:hAnsi="Segoe UI" w:cs="Segoe UI"/>
          <w:sz w:val="22"/>
          <w:szCs w:val="22"/>
        </w:rPr>
        <w:t xml:space="preserve"> results in substantially superior health outcomes compared with current standard Australian practice in terms of response, progression-free survival (PFS) and overall survival (OS) in adult patients with RRMM who have received at least four prior lines of therapy (i.e., 5L+ MM), including a PI, </w:t>
      </w:r>
      <w:proofErr w:type="spellStart"/>
      <w:r w:rsidR="00D04E96" w:rsidRPr="004D5765">
        <w:rPr>
          <w:rFonts w:ascii="Segoe UI" w:eastAsia="Times New Roman" w:hAnsi="Segoe UI" w:cs="Segoe UI"/>
          <w:sz w:val="22"/>
          <w:szCs w:val="22"/>
        </w:rPr>
        <w:t>IMiD</w:t>
      </w:r>
      <w:proofErr w:type="spellEnd"/>
      <w:r w:rsidR="00D04E96" w:rsidRPr="004D5765">
        <w:rPr>
          <w:rFonts w:ascii="Segoe UI" w:eastAsia="Times New Roman" w:hAnsi="Segoe UI" w:cs="Segoe UI"/>
          <w:sz w:val="22"/>
          <w:szCs w:val="22"/>
        </w:rPr>
        <w:t xml:space="preserve"> and anti-CD38 antibody. Further, </w:t>
      </w:r>
      <w:proofErr w:type="spellStart"/>
      <w:r w:rsidR="00D04E96" w:rsidRPr="004D5765">
        <w:rPr>
          <w:rFonts w:ascii="Segoe UI" w:eastAsia="Times New Roman" w:hAnsi="Segoe UI" w:cs="Segoe UI"/>
          <w:sz w:val="22"/>
          <w:szCs w:val="22"/>
        </w:rPr>
        <w:t>cilta-cel</w:t>
      </w:r>
      <w:proofErr w:type="spellEnd"/>
      <w:r w:rsidR="00D04E96" w:rsidRPr="004D5765">
        <w:rPr>
          <w:rFonts w:ascii="Segoe UI" w:eastAsia="Times New Roman" w:hAnsi="Segoe UI" w:cs="Segoe UI"/>
          <w:sz w:val="22"/>
          <w:szCs w:val="22"/>
        </w:rPr>
        <w:t xml:space="preserve"> is associated with </w:t>
      </w:r>
      <w:r w:rsidR="00D04E96" w:rsidRPr="004D5765">
        <w:rPr>
          <w:rFonts w:ascii="Segoe UI" w:eastAsia="Times New Roman" w:hAnsi="Segoe UI" w:cs="Segoe UI"/>
          <w:sz w:val="22"/>
          <w:szCs w:val="22"/>
        </w:rPr>
        <w:lastRenderedPageBreak/>
        <w:t xml:space="preserve">different adverse events compared with current therapies, and a different profile in that the adverse events may occur during the initial period of therapy compared with an ongoing and cumulative basis with current therapies. This clinical claim is strongly supported by evidence, </w:t>
      </w:r>
      <w:r w:rsidR="009B3F72" w:rsidRPr="001D373E">
        <w:rPr>
          <w:color w:val="000000"/>
          <w:w w:val="15"/>
          <w:shd w:val="solid" w:color="000000" w:fill="000000"/>
          <w:fitText w:val="8347" w:id="-1230825216"/>
          <w14:textFill>
            <w14:solidFill>
              <w14:srgbClr w14:val="000000">
                <w14:alpha w14:val="100000"/>
              </w14:srgbClr>
            </w14:solidFill>
          </w14:textFill>
        </w:rPr>
        <w:t xml:space="preserve">                                                                                                                                                                                                                                                                                                                                                                                                                                                                                                                                                                                                                                                                                                                                                                                                                                                                                                                                      </w:t>
      </w:r>
      <w:r w:rsidR="009B3F72" w:rsidRPr="001D373E">
        <w:rPr>
          <w:color w:val="000000"/>
          <w:spacing w:val="198"/>
          <w:w w:val="15"/>
          <w:shd w:val="solid" w:color="000000" w:fill="000000"/>
          <w:fitText w:val="8347" w:id="-1230825216"/>
          <w14:textFill>
            <w14:solidFill>
              <w14:srgbClr w14:val="000000">
                <w14:alpha w14:val="100000"/>
              </w14:srgbClr>
            </w14:solidFill>
          </w14:textFill>
        </w:rPr>
        <w:t xml:space="preserve"> </w:t>
      </w:r>
    </w:p>
    <w:p w14:paraId="00EADC49" w14:textId="77777777" w:rsidR="00407B82" w:rsidRPr="00407B82" w:rsidRDefault="00407B82" w:rsidP="00407B82">
      <w:pPr>
        <w:spacing w:after="0" w:line="240" w:lineRule="auto"/>
        <w:rPr>
          <w:rFonts w:ascii="Segoe UI" w:eastAsia="Times New Roman" w:hAnsi="Segoe UI"/>
          <w:b/>
          <w:color w:val="000000"/>
          <w:sz w:val="22"/>
        </w:rPr>
      </w:pPr>
    </w:p>
    <w:p w14:paraId="36FBCDBB" w14:textId="1CD61EE4"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Why would the requestor seek to use the proposed investigative technology rather than the comparator(s)?</w:t>
      </w:r>
    </w:p>
    <w:p w14:paraId="75105912" w14:textId="5AD99404" w:rsidR="00407B82" w:rsidRPr="00407B82" w:rsidRDefault="000A04A4" w:rsidP="00407B82">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 xml:space="preserve">N/A – </w:t>
      </w:r>
      <w:proofErr w:type="spellStart"/>
      <w:r>
        <w:rPr>
          <w:rFonts w:ascii="Segoe UI" w:eastAsia="Times New Roman" w:hAnsi="Segoe UI" w:cs="Segoe UI"/>
          <w:sz w:val="22"/>
          <w:szCs w:val="22"/>
        </w:rPr>
        <w:t>cilta-cel</w:t>
      </w:r>
      <w:proofErr w:type="spellEnd"/>
      <w:r>
        <w:rPr>
          <w:rFonts w:ascii="Segoe UI" w:eastAsia="Times New Roman" w:hAnsi="Segoe UI" w:cs="Segoe UI"/>
          <w:sz w:val="22"/>
          <w:szCs w:val="22"/>
        </w:rPr>
        <w:t xml:space="preserve"> is not an investigative technology</w:t>
      </w:r>
    </w:p>
    <w:p w14:paraId="0F35F516" w14:textId="77777777" w:rsidR="00407B82" w:rsidRPr="00407B82" w:rsidRDefault="00407B82" w:rsidP="00407B82">
      <w:pPr>
        <w:spacing w:after="0" w:line="240" w:lineRule="auto"/>
        <w:rPr>
          <w:rFonts w:ascii="Segoe UI" w:eastAsia="Times New Roman" w:hAnsi="Segoe UI"/>
          <w:b/>
          <w:color w:val="000000"/>
          <w:sz w:val="22"/>
        </w:rPr>
      </w:pPr>
    </w:p>
    <w:p w14:paraId="6542A805" w14:textId="5D6BC2F4" w:rsidR="00407B82" w:rsidRPr="00407B82" w:rsidRDefault="00407B82" w:rsidP="00407B82">
      <w:pPr>
        <w:spacing w:after="0" w:line="240" w:lineRule="auto"/>
        <w:rPr>
          <w:rFonts w:ascii="Segoe UI" w:eastAsia="Times New Roman" w:hAnsi="Segoe UI"/>
          <w:b/>
          <w:color w:val="000000"/>
          <w:sz w:val="22"/>
        </w:rPr>
      </w:pPr>
      <w:r w:rsidRPr="00D04E96">
        <w:rPr>
          <w:rFonts w:ascii="Segoe UI" w:eastAsia="Times New Roman" w:hAnsi="Segoe UI"/>
          <w:b/>
          <w:color w:val="000000"/>
          <w:sz w:val="22"/>
        </w:rPr>
        <w:t>Identify how the proposed technology achieves the intended patient outcomes:</w:t>
      </w:r>
    </w:p>
    <w:p w14:paraId="4934A39A" w14:textId="36CFB89C" w:rsidR="00407B82" w:rsidRPr="00407B82" w:rsidRDefault="00D04E96" w:rsidP="00407B82">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Please see response to this question under Intervention section ‘</w:t>
      </w:r>
      <w:r w:rsidRPr="00D04E96">
        <w:rPr>
          <w:rFonts w:ascii="Segoe UI" w:eastAsia="Times New Roman" w:hAnsi="Segoe UI" w:cs="Segoe UI"/>
          <w:sz w:val="22"/>
          <w:szCs w:val="22"/>
        </w:rPr>
        <w:t>Identify how the proposed technology achieves the intended patient outcomes</w:t>
      </w:r>
      <w:r>
        <w:rPr>
          <w:rFonts w:ascii="Segoe UI" w:eastAsia="Times New Roman" w:hAnsi="Segoe UI" w:cs="Segoe UI"/>
          <w:sz w:val="22"/>
          <w:szCs w:val="22"/>
        </w:rPr>
        <w:t>’ above.</w:t>
      </w:r>
    </w:p>
    <w:p w14:paraId="03753858"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42FF42F0" w14:textId="10CE82CE" w:rsidR="00407B82" w:rsidRPr="00407B82" w:rsidRDefault="00407B82" w:rsidP="00407B82">
      <w:pPr>
        <w:rPr>
          <w:rFonts w:ascii="Segoe UI" w:eastAsia="Times New Roman" w:hAnsi="Segoe UI"/>
          <w:b/>
          <w:color w:val="000000"/>
          <w:sz w:val="22"/>
        </w:rPr>
      </w:pPr>
      <w:r w:rsidRPr="00407B82">
        <w:rPr>
          <w:rFonts w:ascii="Segoe UI" w:eastAsia="Times New Roman" w:hAnsi="Segoe UI"/>
          <w:b/>
          <w:color w:val="000000"/>
          <w:sz w:val="22"/>
        </w:rPr>
        <w:t xml:space="preserve">For some people, compared with the comparator(s), does the test information result in: </w:t>
      </w:r>
    </w:p>
    <w:p w14:paraId="06ACC074" w14:textId="3BB53C6D" w:rsidR="00407B82" w:rsidRPr="00407B82" w:rsidRDefault="00407B82" w:rsidP="001D373E">
      <w:pPr>
        <w:spacing w:after="0" w:line="240" w:lineRule="auto"/>
        <w:rPr>
          <w:rFonts w:ascii="Segoe UI" w:eastAsia="Times New Roman" w:hAnsi="Segoe UI"/>
          <w:bCs/>
          <w:color w:val="000000"/>
          <w:sz w:val="22"/>
        </w:rPr>
      </w:pPr>
      <w:r w:rsidRPr="00407B82">
        <w:rPr>
          <w:rFonts w:ascii="Segoe UI" w:eastAsia="Times New Roman" w:hAnsi="Segoe UI"/>
          <w:b/>
          <w:color w:val="000000"/>
          <w:sz w:val="22"/>
        </w:rPr>
        <w:t>A change in clinical management?</w:t>
      </w:r>
      <w:r w:rsidRPr="00407B82">
        <w:rPr>
          <w:rFonts w:ascii="Segoe UI" w:eastAsia="Times New Roman" w:hAnsi="Segoe UI"/>
          <w:bCs/>
          <w:color w:val="000000"/>
          <w:sz w:val="22"/>
        </w:rPr>
        <w:tab/>
      </w:r>
      <w:r w:rsidRPr="00407B82">
        <w:rPr>
          <w:rFonts w:ascii="Segoe UI" w:eastAsia="Times New Roman" w:hAnsi="Segoe UI"/>
          <w:bCs/>
          <w:color w:val="000000"/>
          <w:sz w:val="22"/>
        </w:rPr>
        <w:tab/>
      </w:r>
    </w:p>
    <w:p w14:paraId="71B2D5AA" w14:textId="44604148" w:rsidR="00407B82" w:rsidRPr="00407B82" w:rsidRDefault="00407B82" w:rsidP="001D373E">
      <w:pPr>
        <w:spacing w:after="0" w:line="240" w:lineRule="auto"/>
        <w:rPr>
          <w:rFonts w:ascii="Segoe UI" w:eastAsia="Times New Roman" w:hAnsi="Segoe UI"/>
          <w:bCs/>
          <w:color w:val="000000"/>
          <w:sz w:val="22"/>
        </w:rPr>
      </w:pPr>
      <w:r w:rsidRPr="00407B82">
        <w:rPr>
          <w:rFonts w:ascii="Segoe UI" w:eastAsia="Times New Roman" w:hAnsi="Segoe UI"/>
          <w:b/>
          <w:color w:val="000000"/>
          <w:sz w:val="22"/>
        </w:rPr>
        <w:t>A change in health outcome?</w:t>
      </w:r>
      <w:r w:rsidRPr="00407B82">
        <w:rPr>
          <w:rFonts w:ascii="Segoe UI" w:eastAsia="Times New Roman" w:hAnsi="Segoe UI"/>
          <w:bCs/>
          <w:color w:val="000000"/>
          <w:sz w:val="22"/>
        </w:rPr>
        <w:tab/>
      </w:r>
      <w:r w:rsidRPr="00407B82">
        <w:rPr>
          <w:rFonts w:ascii="Segoe UI" w:eastAsia="Times New Roman" w:hAnsi="Segoe UI"/>
          <w:bCs/>
          <w:color w:val="000000"/>
          <w:sz w:val="22"/>
        </w:rPr>
        <w:tab/>
      </w:r>
    </w:p>
    <w:p w14:paraId="74BBD82F" w14:textId="324CB8F4" w:rsidR="00407B82" w:rsidRPr="00407B82" w:rsidRDefault="00407B82" w:rsidP="001D373E">
      <w:pPr>
        <w:spacing w:after="0" w:line="240" w:lineRule="auto"/>
        <w:rPr>
          <w:rFonts w:ascii="Segoe UI" w:eastAsia="Times New Roman" w:hAnsi="Segoe UI"/>
          <w:bCs/>
          <w:color w:val="000000"/>
          <w:sz w:val="22"/>
        </w:rPr>
      </w:pPr>
      <w:r w:rsidRPr="00407B82">
        <w:rPr>
          <w:rFonts w:ascii="Segoe UI" w:eastAsia="Times New Roman" w:hAnsi="Segoe UI"/>
          <w:b/>
          <w:color w:val="000000"/>
          <w:sz w:val="22"/>
        </w:rPr>
        <w:t>Other benefits?</w:t>
      </w:r>
      <w:r w:rsidRPr="00407B82">
        <w:rPr>
          <w:rFonts w:ascii="Segoe UI" w:eastAsia="Times New Roman" w:hAnsi="Segoe UI"/>
          <w:bCs/>
          <w:color w:val="000000"/>
          <w:sz w:val="22"/>
        </w:rPr>
        <w:tab/>
      </w:r>
      <w:r w:rsidRPr="00407B82">
        <w:rPr>
          <w:rFonts w:ascii="Segoe UI" w:eastAsia="Times New Roman" w:hAnsi="Segoe UI"/>
          <w:bCs/>
          <w:color w:val="000000"/>
          <w:sz w:val="22"/>
        </w:rPr>
        <w:tab/>
      </w:r>
      <w:r w:rsidRPr="00407B82">
        <w:rPr>
          <w:rFonts w:ascii="Segoe UI" w:eastAsia="Times New Roman" w:hAnsi="Segoe UI"/>
          <w:bCs/>
          <w:color w:val="000000"/>
          <w:sz w:val="22"/>
        </w:rPr>
        <w:tab/>
      </w:r>
      <w:r w:rsidRPr="00407B82">
        <w:rPr>
          <w:rFonts w:ascii="Segoe UI" w:eastAsia="Times New Roman" w:hAnsi="Segoe UI"/>
          <w:bCs/>
          <w:color w:val="000000"/>
          <w:sz w:val="22"/>
        </w:rPr>
        <w:tab/>
      </w:r>
    </w:p>
    <w:p w14:paraId="76EAF6D0" w14:textId="77777777" w:rsidR="00ED09AF" w:rsidRDefault="00ED09AF" w:rsidP="00ED09AF">
      <w:pPr>
        <w:spacing w:after="0" w:line="240" w:lineRule="auto"/>
        <w:rPr>
          <w:rFonts w:ascii="Segoe UI" w:eastAsia="Times New Roman" w:hAnsi="Segoe UI"/>
          <w:bCs/>
          <w:color w:val="000000"/>
          <w:sz w:val="22"/>
          <w:highlight w:val="yellow"/>
        </w:rPr>
      </w:pPr>
    </w:p>
    <w:p w14:paraId="16441B6C" w14:textId="2D537CE4" w:rsidR="00ED09AF" w:rsidRDefault="00ED09AF" w:rsidP="00ED09AF">
      <w:pPr>
        <w:spacing w:after="0" w:line="240" w:lineRule="auto"/>
        <w:rPr>
          <w:rFonts w:ascii="Segoe UI" w:eastAsia="Times New Roman" w:hAnsi="Segoe UI"/>
          <w:bCs/>
          <w:color w:val="000000"/>
          <w:sz w:val="22"/>
        </w:rPr>
      </w:pPr>
      <w:r w:rsidRPr="00ED09AF">
        <w:rPr>
          <w:rFonts w:ascii="Segoe UI" w:eastAsia="Times New Roman" w:hAnsi="Segoe UI"/>
          <w:bCs/>
          <w:color w:val="000000"/>
          <w:sz w:val="22"/>
        </w:rPr>
        <w:t xml:space="preserve">N/A – </w:t>
      </w:r>
      <w:proofErr w:type="spellStart"/>
      <w:r w:rsidRPr="00ED09AF">
        <w:rPr>
          <w:rFonts w:ascii="Segoe UI" w:eastAsia="Times New Roman" w:hAnsi="Segoe UI"/>
          <w:bCs/>
          <w:color w:val="000000"/>
          <w:sz w:val="22"/>
        </w:rPr>
        <w:t>cilta-cel</w:t>
      </w:r>
      <w:proofErr w:type="spellEnd"/>
      <w:r w:rsidRPr="00ED09AF">
        <w:rPr>
          <w:rFonts w:ascii="Segoe UI" w:eastAsia="Times New Roman" w:hAnsi="Segoe UI"/>
          <w:bCs/>
          <w:color w:val="000000"/>
          <w:sz w:val="22"/>
        </w:rPr>
        <w:t xml:space="preserve"> is not a test</w:t>
      </w:r>
    </w:p>
    <w:p w14:paraId="25B74F02" w14:textId="77777777" w:rsidR="00ED09AF" w:rsidRPr="00407B82" w:rsidRDefault="00ED09AF" w:rsidP="00407B82">
      <w:pPr>
        <w:spacing w:after="0" w:line="240" w:lineRule="auto"/>
        <w:ind w:firstLine="720"/>
        <w:rPr>
          <w:rFonts w:ascii="Segoe UI" w:eastAsia="Times New Roman" w:hAnsi="Segoe UI"/>
          <w:bCs/>
          <w:color w:val="000000"/>
          <w:sz w:val="22"/>
        </w:rPr>
      </w:pPr>
    </w:p>
    <w:p w14:paraId="4432CE8E" w14:textId="2F0B8E69" w:rsidR="00407B82" w:rsidRPr="00407B82" w:rsidRDefault="00407B82" w:rsidP="00407B82">
      <w:pPr>
        <w:spacing w:after="0" w:line="240" w:lineRule="auto"/>
        <w:rPr>
          <w:rFonts w:ascii="Segoe UI" w:eastAsia="Times New Roman" w:hAnsi="Segoe UI"/>
          <w:b/>
          <w:color w:val="000000"/>
          <w:sz w:val="22"/>
        </w:rPr>
      </w:pPr>
      <w:r w:rsidRPr="00407B82">
        <w:rPr>
          <w:rFonts w:ascii="Segoe UI" w:eastAsia="Times New Roman" w:hAnsi="Segoe UI"/>
          <w:b/>
          <w:color w:val="000000"/>
          <w:sz w:val="22"/>
        </w:rPr>
        <w:t>Please provide a rationale, and information on other benefits if relevant:</w:t>
      </w:r>
    </w:p>
    <w:p w14:paraId="6C2AF52D" w14:textId="6560B24C" w:rsidR="00407B82" w:rsidRPr="00407B82" w:rsidRDefault="000A04A4" w:rsidP="00407B82">
      <w:pPr>
        <w:spacing w:after="0"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N/A</w:t>
      </w:r>
    </w:p>
    <w:p w14:paraId="470CA626" w14:textId="77777777" w:rsidR="00407B82" w:rsidRPr="00407B82" w:rsidRDefault="00407B82" w:rsidP="00407B82">
      <w:pPr>
        <w:spacing w:after="0" w:line="240" w:lineRule="auto"/>
        <w:rPr>
          <w:rFonts w:asciiTheme="minorHAnsi" w:eastAsia="Times New Roman" w:hAnsiTheme="minorHAnsi" w:cs="Calibri"/>
          <w:color w:val="000000"/>
          <w:sz w:val="22"/>
          <w:szCs w:val="22"/>
        </w:rPr>
      </w:pPr>
    </w:p>
    <w:p w14:paraId="4B4EE1BC" w14:textId="1CE5F0DC" w:rsidR="00407B82" w:rsidRPr="00407B82" w:rsidRDefault="00407B82" w:rsidP="00407B82">
      <w:pPr>
        <w:rPr>
          <w:rFonts w:ascii="Segoe UI" w:eastAsia="Times New Roman" w:hAnsi="Segoe UI"/>
          <w:bCs/>
          <w:color w:val="000000"/>
          <w:sz w:val="22"/>
        </w:rPr>
      </w:pPr>
      <w:r w:rsidRPr="00407B82">
        <w:rPr>
          <w:rFonts w:ascii="Segoe UI" w:eastAsia="Times New Roman" w:hAnsi="Segoe UI"/>
          <w:b/>
          <w:color w:val="000000"/>
          <w:sz w:val="22"/>
        </w:rPr>
        <w:t xml:space="preserve">In terms of the immediate costs of the proposed technology (and immediate cost consequences, such as procedural costs, testing costs etc.), is the proposed technology claimed to be more costly, the same cost or less costly than the comparator? </w:t>
      </w:r>
    </w:p>
    <w:p w14:paraId="2C36D2A6" w14:textId="33D52189" w:rsidR="00407B82" w:rsidRPr="00407B82" w:rsidRDefault="000A04A4" w:rsidP="00407B82">
      <w:pPr>
        <w:spacing w:after="0"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407B82" w:rsidRPr="00407B82">
        <w:rPr>
          <w:rFonts w:ascii="Segoe UI" w:eastAsia="Times New Roman" w:hAnsi="Segoe UI" w:cs="Segoe UI"/>
          <w:bCs/>
          <w:sz w:val="22"/>
          <w:szCs w:val="22"/>
        </w:rPr>
        <w:t xml:space="preserve"> More costly </w:t>
      </w:r>
    </w:p>
    <w:p w14:paraId="4E3BEC9E"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2"/>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Same cost</w:t>
      </w:r>
    </w:p>
    <w:p w14:paraId="6BF139B8" w14:textId="77777777" w:rsidR="00407B82" w:rsidRPr="00407B82" w:rsidRDefault="00407B82" w:rsidP="00407B82">
      <w:pPr>
        <w:spacing w:after="0" w:line="240" w:lineRule="auto"/>
        <w:rPr>
          <w:rFonts w:ascii="Segoe UI" w:eastAsia="Times New Roman" w:hAnsi="Segoe UI" w:cs="Segoe UI"/>
          <w:bCs/>
          <w:sz w:val="22"/>
          <w:szCs w:val="22"/>
        </w:rPr>
      </w:pPr>
      <w:r w:rsidRPr="00407B82">
        <w:rPr>
          <w:rFonts w:ascii="Segoe UI" w:eastAsia="Times New Roman" w:hAnsi="Segoe UI" w:cs="Segoe UI"/>
          <w:bCs/>
          <w:sz w:val="22"/>
          <w:szCs w:val="22"/>
        </w:rPr>
        <w:fldChar w:fldCharType="begin">
          <w:ffData>
            <w:name w:val="Check1"/>
            <w:enabled/>
            <w:calcOnExit w:val="0"/>
            <w:checkBox>
              <w:sizeAuto/>
              <w:default w:val="0"/>
            </w:checkBox>
          </w:ffData>
        </w:fldChar>
      </w:r>
      <w:r w:rsidRPr="00407B82">
        <w:rPr>
          <w:rFonts w:ascii="Segoe UI" w:eastAsia="Times New Roman" w:hAnsi="Segoe UI" w:cs="Segoe UI"/>
          <w:bCs/>
          <w:sz w:val="22"/>
          <w:szCs w:val="22"/>
        </w:rPr>
        <w:instrText xml:space="preserve"> FORMCHECKBOX </w:instrText>
      </w:r>
      <w:r w:rsidR="00246FB8">
        <w:rPr>
          <w:rFonts w:ascii="Segoe UI" w:eastAsia="Times New Roman" w:hAnsi="Segoe UI" w:cs="Segoe UI"/>
          <w:bCs/>
          <w:sz w:val="22"/>
          <w:szCs w:val="22"/>
        </w:rPr>
      </w:r>
      <w:r w:rsidR="00246FB8">
        <w:rPr>
          <w:rFonts w:ascii="Segoe UI" w:eastAsia="Times New Roman" w:hAnsi="Segoe UI" w:cs="Segoe UI"/>
          <w:bCs/>
          <w:sz w:val="22"/>
          <w:szCs w:val="22"/>
        </w:rPr>
        <w:fldChar w:fldCharType="separate"/>
      </w:r>
      <w:r w:rsidRPr="00407B82">
        <w:rPr>
          <w:rFonts w:ascii="Segoe UI" w:eastAsia="Times New Roman" w:hAnsi="Segoe UI" w:cs="Segoe UI"/>
          <w:bCs/>
          <w:sz w:val="22"/>
          <w:szCs w:val="22"/>
        </w:rPr>
        <w:fldChar w:fldCharType="end"/>
      </w:r>
      <w:r w:rsidRPr="00407B82">
        <w:rPr>
          <w:rFonts w:ascii="Segoe UI" w:eastAsia="Times New Roman" w:hAnsi="Segoe UI" w:cs="Segoe UI"/>
          <w:bCs/>
          <w:sz w:val="22"/>
          <w:szCs w:val="22"/>
        </w:rPr>
        <w:t xml:space="preserve"> Less costly </w:t>
      </w:r>
    </w:p>
    <w:p w14:paraId="5B7AD8BA" w14:textId="77777777" w:rsidR="00407B82" w:rsidRPr="00407B82" w:rsidRDefault="00407B82" w:rsidP="00407B82">
      <w:pPr>
        <w:rPr>
          <w:rFonts w:eastAsia="Times New Roman"/>
        </w:rPr>
      </w:pPr>
    </w:p>
    <w:p w14:paraId="12D949EA" w14:textId="77777777" w:rsidR="00407B82" w:rsidRPr="00407B82" w:rsidRDefault="00407B82" w:rsidP="00407B82">
      <w:pPr>
        <w:spacing w:after="0" w:line="240" w:lineRule="auto"/>
        <w:rPr>
          <w:rFonts w:ascii="Segoe UI" w:eastAsia="Times New Roman" w:hAnsi="Segoe UI"/>
          <w:b/>
          <w:color w:val="000000"/>
          <w:sz w:val="22"/>
        </w:rPr>
      </w:pPr>
      <w:r w:rsidRPr="000A04A4">
        <w:rPr>
          <w:rFonts w:ascii="Segoe UI" w:eastAsia="Times New Roman" w:hAnsi="Segoe UI"/>
          <w:b/>
          <w:color w:val="000000"/>
          <w:sz w:val="22"/>
        </w:rPr>
        <w:t>Provide a brief rationale for the claim:</w:t>
      </w:r>
    </w:p>
    <w:p w14:paraId="78AD12F6" w14:textId="77777777" w:rsidR="00246FB8" w:rsidRDefault="005075D1" w:rsidP="00FC7D54">
      <w:pPr>
        <w:jc w:val="both"/>
        <w:rPr>
          <w:rFonts w:ascii="Segoe UI" w:hAnsi="Segoe UI" w:cs="Segoe UI"/>
          <w:sz w:val="22"/>
          <w:szCs w:val="22"/>
        </w:rPr>
      </w:pPr>
      <w:proofErr w:type="spellStart"/>
      <w:r w:rsidRPr="004D5765">
        <w:rPr>
          <w:rFonts w:ascii="Segoe UI" w:eastAsia="Times New Roman" w:hAnsi="Segoe UI" w:cs="Segoe UI"/>
          <w:sz w:val="22"/>
          <w:szCs w:val="22"/>
        </w:rPr>
        <w:t>Cilta-cel</w:t>
      </w:r>
      <w:proofErr w:type="spellEnd"/>
      <w:r w:rsidRPr="004D5765">
        <w:rPr>
          <w:rFonts w:ascii="Segoe UI" w:eastAsia="Times New Roman" w:hAnsi="Segoe UI" w:cs="Segoe UI"/>
          <w:sz w:val="22"/>
          <w:szCs w:val="22"/>
        </w:rPr>
        <w:t xml:space="preserve"> qualifies as a high cost, highly specialised therapy as per the definition under the NHRA (</w:t>
      </w:r>
      <w:r w:rsidRPr="00FF5462">
        <w:rPr>
          <w:rFonts w:ascii="Segoe UI" w:eastAsia="Times New Roman" w:hAnsi="Segoe UI" w:cs="Segoe UI"/>
          <w:color w:val="4472C4" w:themeColor="accent1"/>
          <w:sz w:val="22"/>
          <w:szCs w:val="22"/>
        </w:rPr>
        <w:t>A</w:t>
      </w:r>
      <w:proofErr w:type="spellStart"/>
      <w:r w:rsidRPr="00FF5462">
        <w:rPr>
          <w:rFonts w:ascii="Segoe UI" w:eastAsia="Times New Roman" w:hAnsi="Segoe UI" w:cs="Segoe UI"/>
          <w:color w:val="4472C4" w:themeColor="accent1"/>
          <w:sz w:val="22"/>
          <w:szCs w:val="22"/>
          <w:lang w:val="en-US"/>
        </w:rPr>
        <w:t>ddendum</w:t>
      </w:r>
      <w:proofErr w:type="spellEnd"/>
      <w:r w:rsidRPr="00FF5462">
        <w:rPr>
          <w:rFonts w:ascii="Segoe UI" w:eastAsia="Times New Roman" w:hAnsi="Segoe UI" w:cs="Segoe UI"/>
          <w:color w:val="4472C4" w:themeColor="accent1"/>
          <w:sz w:val="22"/>
          <w:szCs w:val="22"/>
          <w:lang w:val="en-US"/>
        </w:rPr>
        <w:t xml:space="preserve"> to the National Health Reform Agreement 2020-2025; </w:t>
      </w:r>
      <w:hyperlink r:id="rId14" w:history="1">
        <w:r w:rsidRPr="00FF5462">
          <w:rPr>
            <w:rStyle w:val="Hyperlink"/>
            <w:rFonts w:ascii="Segoe UI" w:eastAsia="Times New Roman" w:hAnsi="Segoe UI" w:cs="Segoe UI"/>
            <w:color w:val="4472C4" w:themeColor="accent1"/>
            <w:sz w:val="22"/>
            <w:szCs w:val="22"/>
          </w:rPr>
          <w:t>NHRA-addendum-2020-2025.pdf (health.qld.gov.au)</w:t>
        </w:r>
      </w:hyperlink>
      <w:r w:rsidR="00FF5462">
        <w:rPr>
          <w:rStyle w:val="Hyperlink"/>
          <w:rFonts w:ascii="Segoe UI" w:eastAsia="Times New Roman" w:hAnsi="Segoe UI" w:cs="Segoe UI"/>
          <w:color w:val="4472C4" w:themeColor="accent1"/>
          <w:sz w:val="22"/>
          <w:szCs w:val="22"/>
        </w:rPr>
        <w:t>)</w:t>
      </w:r>
      <w:r w:rsidRPr="004D5765">
        <w:rPr>
          <w:rFonts w:ascii="Segoe UI" w:eastAsia="Times New Roman" w:hAnsi="Segoe UI" w:cs="Segoe UI"/>
          <w:sz w:val="22"/>
          <w:szCs w:val="22"/>
        </w:rPr>
        <w:t xml:space="preserve">. </w:t>
      </w:r>
      <w:r w:rsidRPr="004D5765">
        <w:rPr>
          <w:rFonts w:ascii="Segoe UI" w:hAnsi="Segoe UI" w:cs="Segoe UI"/>
          <w:sz w:val="22"/>
          <w:szCs w:val="22"/>
        </w:rPr>
        <w:t>The NHRA defines a high cost, highly specialised therapy as “TGA approved medicines and biologicals delivered in public hospitals where the therapy and its conditions of use are recommended by MSAC or PBAC; and the average annual treatment cost at the commencement of funding exceeds $200,000 per patient (including ancillary services) as determined by the MSAC or PBAC with input from the IHPA; and where the therapy is not otherwise funded through a Commonwealth program or the costs of the therapy would be appropriately funded through a component of an existing pricing classification.”</w:t>
      </w:r>
      <w:bookmarkStart w:id="8" w:name="_Hlk122532620"/>
      <w:bookmarkStart w:id="9" w:name="_Hlk124437026"/>
    </w:p>
    <w:p w14:paraId="5532D545" w14:textId="77777777" w:rsidR="00246FB8" w:rsidRDefault="00246FB8">
      <w:pPr>
        <w:rPr>
          <w:rFonts w:ascii="Segoe UI" w:hAnsi="Segoe UI" w:cs="Segoe UI"/>
          <w:sz w:val="22"/>
          <w:szCs w:val="22"/>
        </w:rPr>
      </w:pPr>
      <w:r>
        <w:rPr>
          <w:rFonts w:ascii="Segoe UI" w:hAnsi="Segoe UI" w:cs="Segoe UI"/>
          <w:sz w:val="22"/>
          <w:szCs w:val="22"/>
        </w:rPr>
        <w:br w:type="page"/>
      </w:r>
    </w:p>
    <w:p w14:paraId="73C1F582" w14:textId="77777777" w:rsidR="00246FB8" w:rsidRDefault="00246FB8" w:rsidP="00FC7D54">
      <w:pPr>
        <w:jc w:val="both"/>
        <w:rPr>
          <w:rFonts w:ascii="Segoe UI" w:eastAsia="Times New Roman" w:hAnsi="Segoe UI"/>
          <w:b/>
          <w:color w:val="000000"/>
          <w:sz w:val="32"/>
        </w:rPr>
        <w:sectPr w:rsidR="00246FB8" w:rsidSect="00246FB8">
          <w:headerReference w:type="even" r:id="rId15"/>
          <w:headerReference w:type="default" r:id="rId16"/>
          <w:footerReference w:type="even" r:id="rId17"/>
          <w:footerReference w:type="default" r:id="rId18"/>
          <w:headerReference w:type="first" r:id="rId19"/>
          <w:footerReference w:type="first" r:id="rId20"/>
          <w:type w:val="evenPage"/>
          <w:pgSz w:w="11906" w:h="16838"/>
          <w:pgMar w:top="1440" w:right="991" w:bottom="1135" w:left="1440" w:header="426" w:footer="252" w:gutter="0"/>
          <w:cols w:space="708"/>
          <w:docGrid w:linePitch="360"/>
        </w:sectPr>
      </w:pPr>
    </w:p>
    <w:p w14:paraId="09B5459F" w14:textId="3586D78E" w:rsidR="00407B82" w:rsidRPr="00407B82" w:rsidRDefault="00246FB8" w:rsidP="00FC7D54">
      <w:pPr>
        <w:jc w:val="both"/>
        <w:rPr>
          <w:rFonts w:ascii="Segoe UI" w:eastAsia="Times New Roman" w:hAnsi="Segoe UI"/>
          <w:b/>
          <w:color w:val="000000"/>
          <w:sz w:val="32"/>
        </w:rPr>
      </w:pPr>
      <w:r>
        <w:rPr>
          <w:rFonts w:ascii="Segoe UI" w:eastAsia="Times New Roman" w:hAnsi="Segoe UI"/>
          <w:b/>
          <w:color w:val="000000"/>
          <w:sz w:val="32"/>
        </w:rPr>
        <w:t>S</w:t>
      </w:r>
      <w:r w:rsidR="00FC7D54">
        <w:rPr>
          <w:rFonts w:ascii="Segoe UI" w:eastAsia="Times New Roman" w:hAnsi="Segoe UI"/>
          <w:b/>
          <w:color w:val="000000"/>
          <w:sz w:val="32"/>
        </w:rPr>
        <w:t>u</w:t>
      </w:r>
      <w:r w:rsidR="00407B82" w:rsidRPr="00407B82">
        <w:rPr>
          <w:rFonts w:ascii="Segoe UI" w:eastAsia="Times New Roman" w:hAnsi="Segoe UI"/>
          <w:b/>
          <w:color w:val="000000"/>
          <w:sz w:val="32"/>
        </w:rPr>
        <w:t>mmary of Evidence</w:t>
      </w:r>
    </w:p>
    <w:p w14:paraId="0A3C9E03" w14:textId="77777777" w:rsidR="00407B82" w:rsidRPr="00407B82" w:rsidRDefault="00407B82" w:rsidP="00407B82">
      <w:pPr>
        <w:rPr>
          <w:rFonts w:ascii="Segoe UI" w:eastAsia="Times New Roman" w:hAnsi="Segoe UI"/>
          <w:b/>
          <w:color w:val="000000"/>
          <w:sz w:val="22"/>
        </w:rPr>
      </w:pPr>
      <w:r w:rsidRPr="00407B82">
        <w:rPr>
          <w:rFonts w:ascii="Segoe UI" w:eastAsia="Times New Roman" w:hAnsi="Segoe UI"/>
          <w:b/>
          <w:color w:val="000000"/>
          <w:sz w:val="22"/>
        </w:rPr>
        <w:t xml:space="preserve">Provide one or more recent (published) high quality clinical studies that support use of the proposed health service/technology. </w:t>
      </w:r>
    </w:p>
    <w:tbl>
      <w:tblPr>
        <w:tblStyle w:val="TableGrid"/>
        <w:tblW w:w="14879" w:type="dxa"/>
        <w:tblLayout w:type="fixed"/>
        <w:tblLook w:val="04A0" w:firstRow="1" w:lastRow="0" w:firstColumn="1" w:lastColumn="0" w:noHBand="0" w:noVBand="1"/>
      </w:tblPr>
      <w:tblGrid>
        <w:gridCol w:w="1895"/>
        <w:gridCol w:w="4337"/>
        <w:gridCol w:w="3544"/>
        <w:gridCol w:w="2552"/>
        <w:gridCol w:w="2551"/>
      </w:tblGrid>
      <w:tr w:rsidR="00ED09AF" w:rsidRPr="00407B82" w14:paraId="3E946311" w14:textId="77777777" w:rsidTr="00ED09AF">
        <w:trPr>
          <w:cantSplit/>
          <w:tblHeader/>
        </w:trPr>
        <w:tc>
          <w:tcPr>
            <w:tcW w:w="1895" w:type="dxa"/>
          </w:tcPr>
          <w:p w14:paraId="398DEAE9" w14:textId="1A089782" w:rsidR="00ED09AF" w:rsidRPr="00407B82" w:rsidRDefault="00ED09AF" w:rsidP="00407B82">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Type of study design</w:t>
            </w:r>
          </w:p>
        </w:tc>
        <w:tc>
          <w:tcPr>
            <w:tcW w:w="4337" w:type="dxa"/>
          </w:tcPr>
          <w:p w14:paraId="1479D147" w14:textId="32723BB0" w:rsidR="00ED09AF" w:rsidRPr="00407B82" w:rsidRDefault="00ED09AF" w:rsidP="00407B82">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Title of journal article or research project</w:t>
            </w:r>
          </w:p>
        </w:tc>
        <w:tc>
          <w:tcPr>
            <w:tcW w:w="3544" w:type="dxa"/>
          </w:tcPr>
          <w:p w14:paraId="205E4219" w14:textId="636894EB" w:rsidR="00ED09AF" w:rsidRPr="00407B82" w:rsidRDefault="00ED09AF" w:rsidP="00407B82">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 xml:space="preserve">Short description of research </w:t>
            </w:r>
          </w:p>
        </w:tc>
        <w:tc>
          <w:tcPr>
            <w:tcW w:w="2552" w:type="dxa"/>
          </w:tcPr>
          <w:p w14:paraId="5B1A807D" w14:textId="3E25EE3D" w:rsidR="00ED09AF" w:rsidRPr="00407B82" w:rsidRDefault="00ED09AF" w:rsidP="00407B82">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 xml:space="preserve">Website link to journal article or research </w:t>
            </w:r>
          </w:p>
        </w:tc>
        <w:tc>
          <w:tcPr>
            <w:tcW w:w="2551" w:type="dxa"/>
          </w:tcPr>
          <w:p w14:paraId="22C01939" w14:textId="50315F18" w:rsidR="00ED09AF" w:rsidRPr="00407B82" w:rsidRDefault="00ED09AF" w:rsidP="00407B82">
            <w:pPr>
              <w:spacing w:after="160" w:line="259" w:lineRule="auto"/>
              <w:rPr>
                <w:rFonts w:ascii="Segoe UI" w:eastAsia="Times New Roman" w:hAnsi="Segoe UI" w:cs="Segoe UI"/>
                <w:b/>
                <w:sz w:val="20"/>
                <w:szCs w:val="20"/>
              </w:rPr>
            </w:pPr>
            <w:r w:rsidRPr="00407B82">
              <w:rPr>
                <w:rFonts w:ascii="Segoe UI" w:eastAsia="Times New Roman" w:hAnsi="Segoe UI" w:cs="Segoe UI"/>
                <w:b/>
                <w:sz w:val="20"/>
                <w:szCs w:val="20"/>
              </w:rPr>
              <w:t>Date of publication</w:t>
            </w:r>
          </w:p>
        </w:tc>
      </w:tr>
      <w:tr w:rsidR="00ED09AF" w:rsidRPr="00407B82" w14:paraId="77881ED9" w14:textId="77777777" w:rsidTr="00ED09AF">
        <w:trPr>
          <w:cantSplit/>
        </w:trPr>
        <w:tc>
          <w:tcPr>
            <w:tcW w:w="1895" w:type="dxa"/>
            <w:vMerge w:val="restart"/>
          </w:tcPr>
          <w:p w14:paraId="5B7C3584" w14:textId="77777777" w:rsidR="00ED09AF" w:rsidRPr="001D3BB9" w:rsidRDefault="00ED09AF" w:rsidP="001D3BB9">
            <w:pPr>
              <w:rPr>
                <w:rFonts w:ascii="Segoe UI" w:eastAsia="Times New Roman" w:hAnsi="Segoe UI" w:cs="Segoe UI"/>
                <w:sz w:val="20"/>
                <w:szCs w:val="20"/>
              </w:rPr>
            </w:pPr>
            <w:r w:rsidRPr="001D3BB9">
              <w:rPr>
                <w:rFonts w:ascii="Segoe UI" w:eastAsia="Times New Roman" w:hAnsi="Segoe UI" w:cs="Segoe UI"/>
                <w:sz w:val="20"/>
                <w:szCs w:val="20"/>
              </w:rPr>
              <w:t xml:space="preserve">PIVOTAL STUDY </w:t>
            </w:r>
          </w:p>
          <w:p w14:paraId="471DFDFE" w14:textId="77777777" w:rsidR="00ED09AF" w:rsidRPr="001D3BB9" w:rsidRDefault="00ED09AF" w:rsidP="001D3BB9">
            <w:pPr>
              <w:rPr>
                <w:rFonts w:ascii="Segoe UI" w:eastAsia="Times New Roman" w:hAnsi="Segoe UI" w:cs="Segoe UI"/>
                <w:sz w:val="20"/>
                <w:szCs w:val="20"/>
              </w:rPr>
            </w:pPr>
            <w:r w:rsidRPr="001D3BB9">
              <w:rPr>
                <w:rFonts w:ascii="Segoe UI" w:eastAsia="Times New Roman" w:hAnsi="Segoe UI" w:cs="Segoe UI"/>
                <w:sz w:val="20"/>
                <w:szCs w:val="20"/>
              </w:rPr>
              <w:t xml:space="preserve">Phase </w:t>
            </w:r>
            <w:proofErr w:type="spellStart"/>
            <w:r w:rsidRPr="001D3BB9">
              <w:rPr>
                <w:rFonts w:ascii="Segoe UI" w:eastAsia="Times New Roman" w:hAnsi="Segoe UI" w:cs="Segoe UI"/>
                <w:sz w:val="20"/>
                <w:szCs w:val="20"/>
              </w:rPr>
              <w:t>Ib</w:t>
            </w:r>
            <w:proofErr w:type="spellEnd"/>
            <w:r w:rsidRPr="001D3BB9">
              <w:rPr>
                <w:rFonts w:ascii="Segoe UI" w:eastAsia="Times New Roman" w:hAnsi="Segoe UI" w:cs="Segoe UI"/>
                <w:sz w:val="20"/>
                <w:szCs w:val="20"/>
              </w:rPr>
              <w:t>/II, Single arm, open label, multi-</w:t>
            </w:r>
            <w:proofErr w:type="spellStart"/>
            <w:r w:rsidRPr="001D3BB9">
              <w:rPr>
                <w:rFonts w:ascii="Segoe UI" w:eastAsia="Times New Roman" w:hAnsi="Segoe UI" w:cs="Segoe UI"/>
                <w:sz w:val="20"/>
                <w:szCs w:val="20"/>
              </w:rPr>
              <w:t>center</w:t>
            </w:r>
            <w:proofErr w:type="spellEnd"/>
            <w:r w:rsidRPr="001D3BB9">
              <w:rPr>
                <w:rFonts w:ascii="Segoe UI" w:eastAsia="Times New Roman" w:hAnsi="Segoe UI" w:cs="Segoe UI"/>
                <w:sz w:val="20"/>
                <w:szCs w:val="20"/>
              </w:rPr>
              <w:t xml:space="preserve"> study in patients with relapsed/refractory multiple myeloma (RRMM) (i.e., patients who received ≥3 prior lines of therapy (including PI, </w:t>
            </w:r>
            <w:proofErr w:type="spellStart"/>
            <w:r w:rsidRPr="001D3BB9">
              <w:rPr>
                <w:rFonts w:ascii="Segoe UI" w:eastAsia="Times New Roman" w:hAnsi="Segoe UI" w:cs="Segoe UI"/>
                <w:sz w:val="20"/>
                <w:szCs w:val="20"/>
              </w:rPr>
              <w:t>iMiD</w:t>
            </w:r>
            <w:proofErr w:type="spellEnd"/>
            <w:r w:rsidRPr="001D3BB9">
              <w:rPr>
                <w:rFonts w:ascii="Segoe UI" w:eastAsia="Times New Roman" w:hAnsi="Segoe UI" w:cs="Segoe UI"/>
                <w:sz w:val="20"/>
                <w:szCs w:val="20"/>
              </w:rPr>
              <w:t xml:space="preserve"> and anti-CD38 antibody) or double refractory to PI and </w:t>
            </w:r>
            <w:proofErr w:type="spellStart"/>
            <w:r w:rsidRPr="001D3BB9">
              <w:rPr>
                <w:rFonts w:ascii="Segoe UI" w:eastAsia="Times New Roman" w:hAnsi="Segoe UI" w:cs="Segoe UI"/>
                <w:sz w:val="20"/>
                <w:szCs w:val="20"/>
              </w:rPr>
              <w:t>iMiD</w:t>
            </w:r>
            <w:proofErr w:type="spellEnd"/>
            <w:r w:rsidRPr="001D3BB9">
              <w:rPr>
                <w:rFonts w:ascii="Segoe UI" w:eastAsia="Times New Roman" w:hAnsi="Segoe UI" w:cs="Segoe UI"/>
                <w:sz w:val="20"/>
                <w:szCs w:val="20"/>
              </w:rPr>
              <w:t>).</w:t>
            </w:r>
          </w:p>
          <w:p w14:paraId="47144099" w14:textId="4C184E2F" w:rsidR="00ED09AF" w:rsidRPr="00407B82" w:rsidRDefault="00ED09AF" w:rsidP="00407B82">
            <w:pPr>
              <w:spacing w:after="160" w:line="259" w:lineRule="auto"/>
              <w:rPr>
                <w:rFonts w:ascii="Segoe UI" w:eastAsia="Times New Roman" w:hAnsi="Segoe UI" w:cs="Segoe UI"/>
                <w:b/>
                <w:sz w:val="20"/>
                <w:szCs w:val="20"/>
              </w:rPr>
            </w:pPr>
          </w:p>
        </w:tc>
        <w:tc>
          <w:tcPr>
            <w:tcW w:w="4337" w:type="dxa"/>
          </w:tcPr>
          <w:p w14:paraId="79C22D24" w14:textId="77777777" w:rsidR="00ED09AF" w:rsidRPr="001D3BB9" w:rsidRDefault="00ED09AF" w:rsidP="001D3BB9">
            <w:pPr>
              <w:rPr>
                <w:rFonts w:ascii="Segoe UI" w:eastAsia="Times New Roman" w:hAnsi="Segoe UI" w:cs="Segoe UI"/>
                <w:sz w:val="20"/>
                <w:szCs w:val="20"/>
              </w:rPr>
            </w:pPr>
            <w:r w:rsidRPr="001D3BB9">
              <w:rPr>
                <w:rFonts w:ascii="Segoe UI" w:eastAsia="Times New Roman" w:hAnsi="Segoe UI" w:cs="Segoe UI"/>
                <w:sz w:val="20"/>
                <w:szCs w:val="20"/>
              </w:rPr>
              <w:t>CARTITUDE-1</w:t>
            </w:r>
          </w:p>
          <w:p w14:paraId="2CA70640" w14:textId="4C2130C1" w:rsidR="00ED09AF" w:rsidRDefault="00ED09AF" w:rsidP="001D3BB9">
            <w:pPr>
              <w:spacing w:after="160" w:line="259" w:lineRule="auto"/>
              <w:rPr>
                <w:rFonts w:ascii="Segoe UI" w:eastAsia="Times New Roman" w:hAnsi="Segoe UI" w:cs="Segoe UI"/>
                <w:sz w:val="20"/>
                <w:szCs w:val="20"/>
              </w:rPr>
            </w:pPr>
            <w:r w:rsidRPr="001D3BB9">
              <w:rPr>
                <w:rFonts w:ascii="Segoe UI" w:eastAsia="Times New Roman" w:hAnsi="Segoe UI" w:cs="Segoe UI"/>
                <w:sz w:val="20"/>
                <w:szCs w:val="20"/>
              </w:rPr>
              <w:t xml:space="preserve">Clinical trial identifier: </w:t>
            </w:r>
            <w:hyperlink r:id="rId21" w:history="1">
              <w:r w:rsidRPr="00A02051">
                <w:rPr>
                  <w:rStyle w:val="Hyperlink"/>
                  <w:rFonts w:ascii="Segoe UI" w:eastAsia="Times New Roman" w:hAnsi="Segoe UI" w:cs="Segoe UI"/>
                  <w:sz w:val="20"/>
                  <w:szCs w:val="20"/>
                </w:rPr>
                <w:t>NCT03548207</w:t>
              </w:r>
            </w:hyperlink>
          </w:p>
          <w:p w14:paraId="1115F3DC" w14:textId="77777777" w:rsidR="00ED09AF" w:rsidRDefault="00ED09AF" w:rsidP="001D3BB9">
            <w:pPr>
              <w:spacing w:after="160" w:line="259" w:lineRule="auto"/>
              <w:rPr>
                <w:rFonts w:ascii="Segoe UI" w:eastAsia="Times New Roman" w:hAnsi="Segoe UI" w:cs="Segoe UI"/>
                <w:bCs/>
                <w:sz w:val="20"/>
                <w:szCs w:val="20"/>
              </w:rPr>
            </w:pPr>
            <w:r w:rsidRPr="00A02051">
              <w:rPr>
                <w:rFonts w:ascii="Segoe UI" w:eastAsia="Times New Roman" w:hAnsi="Segoe UI" w:cs="Segoe UI"/>
                <w:bCs/>
                <w:sz w:val="20"/>
                <w:szCs w:val="20"/>
              </w:rPr>
              <w:t xml:space="preserve">Martin T, Usmani SZ, </w:t>
            </w:r>
            <w:proofErr w:type="spellStart"/>
            <w:r w:rsidRPr="00A02051">
              <w:rPr>
                <w:rFonts w:ascii="Segoe UI" w:eastAsia="Times New Roman" w:hAnsi="Segoe UI" w:cs="Segoe UI"/>
                <w:bCs/>
                <w:sz w:val="20"/>
                <w:szCs w:val="20"/>
              </w:rPr>
              <w:t>Berdeja</w:t>
            </w:r>
            <w:proofErr w:type="spellEnd"/>
            <w:r w:rsidRPr="00A02051">
              <w:rPr>
                <w:rFonts w:ascii="Segoe UI" w:eastAsia="Times New Roman" w:hAnsi="Segoe UI" w:cs="Segoe UI"/>
                <w:bCs/>
                <w:sz w:val="20"/>
                <w:szCs w:val="20"/>
              </w:rPr>
              <w:t xml:space="preserve"> JG, Agha M, Cohen AD, Hari P, et al. </w:t>
            </w:r>
            <w:proofErr w:type="spellStart"/>
            <w:r w:rsidRPr="00A02051">
              <w:rPr>
                <w:rFonts w:ascii="Segoe UI" w:eastAsia="Times New Roman" w:hAnsi="Segoe UI" w:cs="Segoe UI"/>
                <w:bCs/>
                <w:sz w:val="20"/>
                <w:szCs w:val="20"/>
              </w:rPr>
              <w:t>Ciltacabtagene</w:t>
            </w:r>
            <w:proofErr w:type="spellEnd"/>
            <w:r w:rsidRPr="00A02051">
              <w:rPr>
                <w:rFonts w:ascii="Segoe UI" w:eastAsia="Times New Roman" w:hAnsi="Segoe UI" w:cs="Segoe UI"/>
                <w:bCs/>
                <w:sz w:val="20"/>
                <w:szCs w:val="20"/>
              </w:rPr>
              <w:t xml:space="preserve"> </w:t>
            </w:r>
            <w:proofErr w:type="spellStart"/>
            <w:r w:rsidRPr="00A02051">
              <w:rPr>
                <w:rFonts w:ascii="Segoe UI" w:eastAsia="Times New Roman" w:hAnsi="Segoe UI" w:cs="Segoe UI"/>
                <w:bCs/>
                <w:sz w:val="20"/>
                <w:szCs w:val="20"/>
              </w:rPr>
              <w:t>Autoleucel</w:t>
            </w:r>
            <w:proofErr w:type="spellEnd"/>
            <w:r w:rsidRPr="00A02051">
              <w:rPr>
                <w:rFonts w:ascii="Segoe UI" w:eastAsia="Times New Roman" w:hAnsi="Segoe UI" w:cs="Segoe UI"/>
                <w:bCs/>
                <w:sz w:val="20"/>
                <w:szCs w:val="20"/>
              </w:rPr>
              <w:t>, an Anti-B-cell Maturation Antigen Chimeric Antigen Receptor T-Cell Therapy, for Relapsed/Refractory Multiple Myeloma: CARTITUDE-1 2-Year Follow-Up. J Clin Oncol. 2023;41(6):1265-74.</w:t>
            </w:r>
          </w:p>
          <w:p w14:paraId="6EFEFE81" w14:textId="77EFA185" w:rsidR="00ED09AF" w:rsidRPr="00A02051" w:rsidRDefault="00ED09AF" w:rsidP="005075D1">
            <w:pPr>
              <w:spacing w:after="160" w:line="259" w:lineRule="auto"/>
              <w:rPr>
                <w:rFonts w:ascii="Segoe UI" w:eastAsia="Times New Roman" w:hAnsi="Segoe UI" w:cs="Segoe UI"/>
                <w:bCs/>
                <w:sz w:val="20"/>
                <w:szCs w:val="20"/>
              </w:rPr>
            </w:pPr>
            <w:r>
              <w:rPr>
                <w:rFonts w:ascii="Segoe UI" w:eastAsia="Times New Roman" w:hAnsi="Segoe UI" w:cs="Segoe UI"/>
                <w:bCs/>
                <w:sz w:val="20"/>
                <w:szCs w:val="20"/>
              </w:rPr>
              <w:t xml:space="preserve">Note: this publication is of an earlier data cut to that presented in the ADAR. Data in the ADAR is derived from an internal clinical study report of the close out data – see </w:t>
            </w:r>
            <w:r w:rsidRPr="005075D1">
              <w:rPr>
                <w:rFonts w:ascii="Segoe UI" w:eastAsia="Times New Roman" w:hAnsi="Segoe UI" w:cs="Segoe UI"/>
                <w:bCs/>
                <w:sz w:val="20"/>
                <w:szCs w:val="20"/>
              </w:rPr>
              <w:t xml:space="preserve">CARTITUDE-1 </w:t>
            </w:r>
            <w:r>
              <w:rPr>
                <w:rFonts w:ascii="Segoe UI" w:eastAsia="Times New Roman" w:hAnsi="Segoe UI" w:cs="Segoe UI"/>
                <w:bCs/>
                <w:sz w:val="20"/>
                <w:szCs w:val="20"/>
              </w:rPr>
              <w:t>J</w:t>
            </w:r>
            <w:r w:rsidRPr="005075D1">
              <w:rPr>
                <w:rFonts w:ascii="Segoe UI" w:eastAsia="Times New Roman" w:hAnsi="Segoe UI" w:cs="Segoe UI"/>
                <w:bCs/>
                <w:sz w:val="20"/>
                <w:szCs w:val="20"/>
              </w:rPr>
              <w:t>anssen: Close-out analysis Clinical Study Report (CSR)</w:t>
            </w:r>
            <w:r>
              <w:rPr>
                <w:rFonts w:ascii="Segoe UI" w:eastAsia="Times New Roman" w:hAnsi="Segoe UI" w:cs="Segoe UI"/>
                <w:bCs/>
                <w:sz w:val="20"/>
                <w:szCs w:val="20"/>
              </w:rPr>
              <w:t xml:space="preserve"> below.</w:t>
            </w:r>
          </w:p>
        </w:tc>
        <w:tc>
          <w:tcPr>
            <w:tcW w:w="3544" w:type="dxa"/>
          </w:tcPr>
          <w:p w14:paraId="59222376" w14:textId="77777777" w:rsidR="00ED09AF" w:rsidRPr="001D3BB9" w:rsidRDefault="00ED09AF" w:rsidP="001D3BB9">
            <w:pPr>
              <w:spacing w:after="160" w:line="259" w:lineRule="auto"/>
              <w:rPr>
                <w:rFonts w:ascii="Segoe UI" w:eastAsia="Times New Roman" w:hAnsi="Segoe UI" w:cs="Segoe UI"/>
                <w:bCs/>
                <w:sz w:val="20"/>
                <w:szCs w:val="20"/>
              </w:rPr>
            </w:pPr>
            <w:r w:rsidRPr="001D3BB9">
              <w:rPr>
                <w:rFonts w:ascii="Segoe UI" w:eastAsia="Times New Roman" w:hAnsi="Segoe UI" w:cs="Segoe UI"/>
                <w:bCs/>
                <w:sz w:val="20"/>
                <w:szCs w:val="20"/>
              </w:rPr>
              <w:t xml:space="preserve">Evaluation of efficacy and safety of </w:t>
            </w:r>
            <w:proofErr w:type="spellStart"/>
            <w:r w:rsidRPr="001D3BB9">
              <w:rPr>
                <w:rFonts w:ascii="Segoe UI" w:eastAsia="Times New Roman" w:hAnsi="Segoe UI" w:cs="Segoe UI"/>
                <w:bCs/>
                <w:sz w:val="20"/>
                <w:szCs w:val="20"/>
              </w:rPr>
              <w:t>cilta-cel</w:t>
            </w:r>
            <w:proofErr w:type="spellEnd"/>
            <w:r w:rsidRPr="001D3BB9">
              <w:rPr>
                <w:rFonts w:ascii="Segoe UI" w:eastAsia="Times New Roman" w:hAnsi="Segoe UI" w:cs="Segoe UI"/>
                <w:bCs/>
                <w:sz w:val="20"/>
                <w:szCs w:val="20"/>
              </w:rPr>
              <w:t xml:space="preserve"> in patients with RR MM (n=19 in Phase 1b; n=68 in Phase 2). </w:t>
            </w:r>
          </w:p>
          <w:p w14:paraId="0DB74AA6" w14:textId="28132428" w:rsidR="00ED09AF" w:rsidRPr="001D3BB9" w:rsidRDefault="00ED09AF" w:rsidP="001D3BB9">
            <w:pPr>
              <w:spacing w:after="160" w:line="259" w:lineRule="auto"/>
              <w:rPr>
                <w:rFonts w:ascii="Segoe UI" w:eastAsia="Times New Roman" w:hAnsi="Segoe UI" w:cs="Segoe UI"/>
                <w:bCs/>
                <w:sz w:val="20"/>
                <w:szCs w:val="20"/>
              </w:rPr>
            </w:pPr>
            <w:r w:rsidRPr="001D3BB9">
              <w:rPr>
                <w:rFonts w:ascii="Segoe UI" w:eastAsia="Times New Roman" w:hAnsi="Segoe UI" w:cs="Segoe UI"/>
                <w:bCs/>
                <w:sz w:val="20"/>
                <w:szCs w:val="20"/>
              </w:rPr>
              <w:t>Primary endpoint: Phase 1b- incidence</w:t>
            </w:r>
            <w:r>
              <w:rPr>
                <w:rFonts w:ascii="Segoe UI" w:eastAsia="Times New Roman" w:hAnsi="Segoe UI" w:cs="Segoe UI"/>
                <w:bCs/>
                <w:sz w:val="20"/>
                <w:szCs w:val="20"/>
              </w:rPr>
              <w:t>/</w:t>
            </w:r>
            <w:r w:rsidRPr="001D3BB9">
              <w:rPr>
                <w:rFonts w:ascii="Segoe UI" w:eastAsia="Times New Roman" w:hAnsi="Segoe UI" w:cs="Segoe UI"/>
                <w:bCs/>
                <w:sz w:val="20"/>
                <w:szCs w:val="20"/>
              </w:rPr>
              <w:t xml:space="preserve">severity of adverse events; Phase 2- overall response rate. </w:t>
            </w:r>
          </w:p>
          <w:p w14:paraId="47767B4C" w14:textId="4D7D7BE9" w:rsidR="00ED09AF" w:rsidRPr="00407B82" w:rsidRDefault="00ED09AF" w:rsidP="001D3BB9">
            <w:pPr>
              <w:spacing w:after="160" w:line="259" w:lineRule="auto"/>
              <w:rPr>
                <w:rFonts w:ascii="Segoe UI" w:eastAsia="Times New Roman" w:hAnsi="Segoe UI" w:cs="Segoe UI"/>
                <w:b/>
                <w:sz w:val="20"/>
                <w:szCs w:val="20"/>
              </w:rPr>
            </w:pPr>
            <w:r>
              <w:rPr>
                <w:rFonts w:ascii="Segoe UI" w:eastAsia="Times New Roman" w:hAnsi="Segoe UI" w:cs="Segoe UI"/>
                <w:bCs/>
                <w:sz w:val="20"/>
                <w:szCs w:val="20"/>
              </w:rPr>
              <w:t xml:space="preserve">Follow-up to publications included in first </w:t>
            </w:r>
            <w:proofErr w:type="spellStart"/>
            <w:r>
              <w:rPr>
                <w:rFonts w:ascii="Segoe UI" w:eastAsia="Times New Roman" w:hAnsi="Segoe UI" w:cs="Segoe UI"/>
                <w:bCs/>
                <w:sz w:val="20"/>
                <w:szCs w:val="20"/>
              </w:rPr>
              <w:t>cilta-cel</w:t>
            </w:r>
            <w:proofErr w:type="spellEnd"/>
            <w:r>
              <w:rPr>
                <w:rFonts w:ascii="Segoe UI" w:eastAsia="Times New Roman" w:hAnsi="Segoe UI" w:cs="Segoe UI"/>
                <w:bCs/>
                <w:sz w:val="20"/>
                <w:szCs w:val="20"/>
              </w:rPr>
              <w:t xml:space="preserve"> submission, data with m</w:t>
            </w:r>
            <w:r w:rsidRPr="001D3BB9">
              <w:rPr>
                <w:rFonts w:ascii="Segoe UI" w:eastAsia="Times New Roman" w:hAnsi="Segoe UI" w:cs="Segoe UI"/>
                <w:bCs/>
                <w:sz w:val="20"/>
                <w:szCs w:val="20"/>
              </w:rPr>
              <w:t>edian follow-up</w:t>
            </w:r>
            <w:r>
              <w:rPr>
                <w:rFonts w:ascii="Segoe UI" w:eastAsia="Times New Roman" w:hAnsi="Segoe UI" w:cs="Segoe UI"/>
                <w:bCs/>
                <w:sz w:val="20"/>
                <w:szCs w:val="20"/>
              </w:rPr>
              <w:t xml:space="preserve"> 28 months. </w:t>
            </w:r>
          </w:p>
        </w:tc>
        <w:tc>
          <w:tcPr>
            <w:tcW w:w="2552" w:type="dxa"/>
          </w:tcPr>
          <w:p w14:paraId="2764E3C2" w14:textId="0C2C6C85" w:rsidR="00ED09AF" w:rsidRPr="00407B82" w:rsidRDefault="00ED09AF" w:rsidP="00407B82">
            <w:pPr>
              <w:spacing w:after="160" w:line="259" w:lineRule="auto"/>
              <w:rPr>
                <w:rFonts w:ascii="Segoe UI" w:eastAsia="Times New Roman" w:hAnsi="Segoe UI" w:cs="Segoe UI"/>
                <w:b/>
                <w:sz w:val="20"/>
                <w:szCs w:val="20"/>
              </w:rPr>
            </w:pPr>
            <w:r w:rsidRPr="007F052B">
              <w:rPr>
                <w:rFonts w:ascii="Segoe UI" w:eastAsia="Times New Roman" w:hAnsi="Segoe UI" w:cs="Segoe UI"/>
                <w:sz w:val="20"/>
                <w:szCs w:val="20"/>
              </w:rPr>
              <w:t>https://ascopubs.org/doi/10.1200/JCO.22.00842</w:t>
            </w:r>
          </w:p>
        </w:tc>
        <w:tc>
          <w:tcPr>
            <w:tcW w:w="2551" w:type="dxa"/>
          </w:tcPr>
          <w:p w14:paraId="64825873" w14:textId="27294199" w:rsidR="00ED09AF" w:rsidRPr="00407B82" w:rsidRDefault="00ED09AF" w:rsidP="00407B82">
            <w:pPr>
              <w:spacing w:after="160" w:line="259" w:lineRule="auto"/>
              <w:rPr>
                <w:rFonts w:ascii="Segoe UI" w:eastAsia="Times New Roman" w:hAnsi="Segoe UI" w:cs="Segoe UI"/>
                <w:b/>
                <w:sz w:val="20"/>
                <w:szCs w:val="20"/>
              </w:rPr>
            </w:pPr>
            <w:r>
              <w:rPr>
                <w:rFonts w:ascii="Segoe UI" w:eastAsia="Times New Roman" w:hAnsi="Segoe UI" w:cs="Segoe UI"/>
                <w:sz w:val="20"/>
                <w:szCs w:val="20"/>
              </w:rPr>
              <w:t>4 June 2022 (online publication date)</w:t>
            </w:r>
          </w:p>
        </w:tc>
      </w:tr>
      <w:tr w:rsidR="00ED09AF" w:rsidRPr="00407B82" w14:paraId="5BFCEE73" w14:textId="77777777" w:rsidTr="00ED09AF">
        <w:trPr>
          <w:cantSplit/>
        </w:trPr>
        <w:tc>
          <w:tcPr>
            <w:tcW w:w="1895" w:type="dxa"/>
            <w:vMerge/>
          </w:tcPr>
          <w:p w14:paraId="365C9AE9" w14:textId="77777777" w:rsidR="00ED09AF" w:rsidRPr="001D3BB9" w:rsidRDefault="00ED09AF" w:rsidP="001D3BB9">
            <w:pPr>
              <w:rPr>
                <w:rFonts w:ascii="Segoe UI" w:eastAsia="Times New Roman" w:hAnsi="Segoe UI" w:cs="Segoe UI"/>
                <w:sz w:val="20"/>
                <w:szCs w:val="20"/>
              </w:rPr>
            </w:pPr>
          </w:p>
        </w:tc>
        <w:tc>
          <w:tcPr>
            <w:tcW w:w="4337" w:type="dxa"/>
          </w:tcPr>
          <w:p w14:paraId="19AFA075" w14:textId="33F01C4E" w:rsidR="00ED09AF" w:rsidRPr="001D3BB9" w:rsidRDefault="00ED09AF" w:rsidP="001D3BB9">
            <w:pPr>
              <w:rPr>
                <w:rFonts w:ascii="Segoe UI" w:eastAsia="Times New Roman" w:hAnsi="Segoe UI" w:cs="Segoe UI"/>
                <w:sz w:val="20"/>
                <w:szCs w:val="20"/>
              </w:rPr>
            </w:pPr>
            <w:r w:rsidRPr="00A02051">
              <w:rPr>
                <w:rFonts w:ascii="Segoe UI" w:eastAsia="Times New Roman" w:hAnsi="Segoe UI" w:cs="Segoe UI"/>
                <w:sz w:val="20"/>
                <w:szCs w:val="20"/>
              </w:rPr>
              <w:t xml:space="preserve">Cohen AD, Hari P, </w:t>
            </w:r>
            <w:proofErr w:type="spellStart"/>
            <w:r w:rsidRPr="00A02051">
              <w:rPr>
                <w:rFonts w:ascii="Segoe UI" w:eastAsia="Times New Roman" w:hAnsi="Segoe UI" w:cs="Segoe UI"/>
                <w:sz w:val="20"/>
                <w:szCs w:val="20"/>
              </w:rPr>
              <w:t>Htut</w:t>
            </w:r>
            <w:proofErr w:type="spellEnd"/>
            <w:r w:rsidRPr="00A02051">
              <w:rPr>
                <w:rFonts w:ascii="Segoe UI" w:eastAsia="Times New Roman" w:hAnsi="Segoe UI" w:cs="Segoe UI"/>
                <w:sz w:val="20"/>
                <w:szCs w:val="20"/>
              </w:rPr>
              <w:t xml:space="preserve"> M, </w:t>
            </w:r>
            <w:proofErr w:type="spellStart"/>
            <w:r w:rsidRPr="00A02051">
              <w:rPr>
                <w:rFonts w:ascii="Segoe UI" w:eastAsia="Times New Roman" w:hAnsi="Segoe UI" w:cs="Segoe UI"/>
                <w:sz w:val="20"/>
                <w:szCs w:val="20"/>
              </w:rPr>
              <w:t>Berdeja</w:t>
            </w:r>
            <w:proofErr w:type="spellEnd"/>
            <w:r w:rsidRPr="00A02051">
              <w:rPr>
                <w:rFonts w:ascii="Segoe UI" w:eastAsia="Times New Roman" w:hAnsi="Segoe UI" w:cs="Segoe UI"/>
                <w:sz w:val="20"/>
                <w:szCs w:val="20"/>
              </w:rPr>
              <w:t xml:space="preserve"> JG, Usmani SZ, </w:t>
            </w:r>
            <w:proofErr w:type="spellStart"/>
            <w:r w:rsidRPr="00A02051">
              <w:rPr>
                <w:rFonts w:ascii="Segoe UI" w:eastAsia="Times New Roman" w:hAnsi="Segoe UI" w:cs="Segoe UI"/>
                <w:sz w:val="20"/>
                <w:szCs w:val="20"/>
              </w:rPr>
              <w:t>Madduri</w:t>
            </w:r>
            <w:proofErr w:type="spellEnd"/>
            <w:r w:rsidRPr="00A02051">
              <w:rPr>
                <w:rFonts w:ascii="Segoe UI" w:eastAsia="Times New Roman" w:hAnsi="Segoe UI" w:cs="Segoe UI"/>
                <w:sz w:val="20"/>
                <w:szCs w:val="20"/>
              </w:rPr>
              <w:t xml:space="preserve"> D, et al. Patient Perceptions Regarding </w:t>
            </w:r>
            <w:proofErr w:type="spellStart"/>
            <w:r w:rsidRPr="00A02051">
              <w:rPr>
                <w:rFonts w:ascii="Segoe UI" w:eastAsia="Times New Roman" w:hAnsi="Segoe UI" w:cs="Segoe UI"/>
                <w:sz w:val="20"/>
                <w:szCs w:val="20"/>
              </w:rPr>
              <w:t>Ciltacabtagene</w:t>
            </w:r>
            <w:proofErr w:type="spellEnd"/>
            <w:r w:rsidRPr="00A02051">
              <w:rPr>
                <w:rFonts w:ascii="Segoe UI" w:eastAsia="Times New Roman" w:hAnsi="Segoe UI" w:cs="Segoe UI"/>
                <w:sz w:val="20"/>
                <w:szCs w:val="20"/>
              </w:rPr>
              <w:t xml:space="preserve"> </w:t>
            </w:r>
            <w:proofErr w:type="spellStart"/>
            <w:r w:rsidRPr="00A02051">
              <w:rPr>
                <w:rFonts w:ascii="Segoe UI" w:eastAsia="Times New Roman" w:hAnsi="Segoe UI" w:cs="Segoe UI"/>
                <w:sz w:val="20"/>
                <w:szCs w:val="20"/>
              </w:rPr>
              <w:t>Autoleucel</w:t>
            </w:r>
            <w:proofErr w:type="spellEnd"/>
            <w:r w:rsidRPr="00A02051">
              <w:rPr>
                <w:rFonts w:ascii="Segoe UI" w:eastAsia="Times New Roman" w:hAnsi="Segoe UI" w:cs="Segoe UI"/>
                <w:sz w:val="20"/>
                <w:szCs w:val="20"/>
              </w:rPr>
              <w:t xml:space="preserve"> Treatment: Qualitative Evidence </w:t>
            </w:r>
            <w:proofErr w:type="gramStart"/>
            <w:r w:rsidRPr="00A02051">
              <w:rPr>
                <w:rFonts w:ascii="Segoe UI" w:eastAsia="Times New Roman" w:hAnsi="Segoe UI" w:cs="Segoe UI"/>
                <w:sz w:val="20"/>
                <w:szCs w:val="20"/>
              </w:rPr>
              <w:t>From</w:t>
            </w:r>
            <w:proofErr w:type="gramEnd"/>
            <w:r w:rsidRPr="00A02051">
              <w:rPr>
                <w:rFonts w:ascii="Segoe UI" w:eastAsia="Times New Roman" w:hAnsi="Segoe UI" w:cs="Segoe UI"/>
                <w:sz w:val="20"/>
                <w:szCs w:val="20"/>
              </w:rPr>
              <w:t xml:space="preserve"> Interviews With Patients With Relapsed/Refractory Multiple Myeloma in the CARTITUDE-1 Study. Clin Lymphoma Myeloma Leuk. 2023;23(1):68-77.</w:t>
            </w:r>
          </w:p>
        </w:tc>
        <w:tc>
          <w:tcPr>
            <w:tcW w:w="3544" w:type="dxa"/>
          </w:tcPr>
          <w:p w14:paraId="363885F1" w14:textId="77777777" w:rsidR="00ED09AF" w:rsidRDefault="00ED09AF" w:rsidP="001D3BB9">
            <w:pPr>
              <w:rPr>
                <w:rFonts w:ascii="Segoe UI" w:eastAsia="Times New Roman" w:hAnsi="Segoe UI" w:cs="Segoe UI"/>
                <w:bCs/>
                <w:sz w:val="20"/>
                <w:szCs w:val="20"/>
              </w:rPr>
            </w:pPr>
            <w:r w:rsidRPr="004401DB">
              <w:rPr>
                <w:rFonts w:ascii="Segoe UI" w:eastAsia="Times New Roman" w:hAnsi="Segoe UI" w:cs="Segoe UI"/>
                <w:bCs/>
                <w:sz w:val="20"/>
                <w:szCs w:val="20"/>
              </w:rPr>
              <w:t xml:space="preserve">Qualitative interviews were conducted in a subset of CARTITUDE-1 patients (n = 36) at screening, Day 100, and Day 184 post </w:t>
            </w:r>
            <w:proofErr w:type="spellStart"/>
            <w:r w:rsidRPr="004401DB">
              <w:rPr>
                <w:rFonts w:ascii="Segoe UI" w:eastAsia="Times New Roman" w:hAnsi="Segoe UI" w:cs="Segoe UI"/>
                <w:bCs/>
                <w:sz w:val="20"/>
                <w:szCs w:val="20"/>
              </w:rPr>
              <w:t>cilta-cel</w:t>
            </w:r>
            <w:proofErr w:type="spellEnd"/>
            <w:r w:rsidRPr="004401DB">
              <w:rPr>
                <w:rFonts w:ascii="Segoe UI" w:eastAsia="Times New Roman" w:hAnsi="Segoe UI" w:cs="Segoe UI"/>
                <w:bCs/>
                <w:sz w:val="20"/>
                <w:szCs w:val="20"/>
              </w:rPr>
              <w:t xml:space="preserve"> on living with MM, therapy expectations, and treatment experiences during the study.</w:t>
            </w:r>
          </w:p>
          <w:p w14:paraId="0C2A25F1" w14:textId="77777777" w:rsidR="00ED09AF" w:rsidRDefault="00ED09AF" w:rsidP="001D3BB9">
            <w:pPr>
              <w:rPr>
                <w:rFonts w:ascii="Segoe UI" w:eastAsia="Times New Roman" w:hAnsi="Segoe UI" w:cs="Segoe UI"/>
                <w:bCs/>
                <w:sz w:val="20"/>
                <w:szCs w:val="20"/>
              </w:rPr>
            </w:pPr>
          </w:p>
          <w:p w14:paraId="01AB6ABF" w14:textId="1D935265" w:rsidR="00ED09AF" w:rsidRPr="001D3BB9" w:rsidRDefault="00ED09AF" w:rsidP="001D3BB9">
            <w:pPr>
              <w:rPr>
                <w:rFonts w:ascii="Segoe UI" w:eastAsia="Times New Roman" w:hAnsi="Segoe UI" w:cs="Segoe UI"/>
                <w:bCs/>
                <w:sz w:val="20"/>
                <w:szCs w:val="20"/>
              </w:rPr>
            </w:pPr>
            <w:r>
              <w:rPr>
                <w:rFonts w:ascii="Segoe UI" w:eastAsia="Times New Roman" w:hAnsi="Segoe UI" w:cs="Segoe UI"/>
                <w:bCs/>
                <w:sz w:val="20"/>
                <w:szCs w:val="20"/>
              </w:rPr>
              <w:t xml:space="preserve">Follow-up to publications included in first </w:t>
            </w:r>
            <w:proofErr w:type="spellStart"/>
            <w:r>
              <w:rPr>
                <w:rFonts w:ascii="Segoe UI" w:eastAsia="Times New Roman" w:hAnsi="Segoe UI" w:cs="Segoe UI"/>
                <w:bCs/>
                <w:sz w:val="20"/>
                <w:szCs w:val="20"/>
              </w:rPr>
              <w:t>cilta-cel</w:t>
            </w:r>
            <w:proofErr w:type="spellEnd"/>
            <w:r>
              <w:rPr>
                <w:rFonts w:ascii="Segoe UI" w:eastAsia="Times New Roman" w:hAnsi="Segoe UI" w:cs="Segoe UI"/>
                <w:bCs/>
                <w:sz w:val="20"/>
                <w:szCs w:val="20"/>
              </w:rPr>
              <w:t xml:space="preserve"> submission.</w:t>
            </w:r>
          </w:p>
        </w:tc>
        <w:tc>
          <w:tcPr>
            <w:tcW w:w="2552" w:type="dxa"/>
          </w:tcPr>
          <w:p w14:paraId="282AC461" w14:textId="26A85DAC" w:rsidR="00ED09AF" w:rsidRPr="00407B82" w:rsidRDefault="00ED09AF" w:rsidP="00407B82">
            <w:pPr>
              <w:rPr>
                <w:rFonts w:ascii="Segoe UI" w:eastAsia="Times New Roman" w:hAnsi="Segoe UI" w:cs="Segoe UI"/>
                <w:sz w:val="20"/>
                <w:szCs w:val="20"/>
              </w:rPr>
            </w:pPr>
            <w:r w:rsidRPr="004401DB">
              <w:rPr>
                <w:rFonts w:ascii="Segoe UI" w:eastAsia="Times New Roman" w:hAnsi="Segoe UI" w:cs="Segoe UI"/>
                <w:sz w:val="20"/>
                <w:szCs w:val="20"/>
              </w:rPr>
              <w:t>https://www.clinical-lymphoma-myeloma-leukemia.com/article/S2152-2650(22)01692-5/fulltext</w:t>
            </w:r>
          </w:p>
        </w:tc>
        <w:tc>
          <w:tcPr>
            <w:tcW w:w="2551" w:type="dxa"/>
          </w:tcPr>
          <w:p w14:paraId="0BBC906A" w14:textId="600DFE5B" w:rsidR="00ED09AF" w:rsidRPr="00407B82" w:rsidRDefault="00ED09AF" w:rsidP="00407B82">
            <w:pPr>
              <w:rPr>
                <w:rFonts w:ascii="Segoe UI" w:eastAsia="Times New Roman" w:hAnsi="Segoe UI" w:cs="Segoe UI"/>
                <w:sz w:val="20"/>
                <w:szCs w:val="20"/>
              </w:rPr>
            </w:pPr>
            <w:r>
              <w:rPr>
                <w:rFonts w:ascii="Segoe UI" w:eastAsia="Times New Roman" w:hAnsi="Segoe UI" w:cs="Segoe UI"/>
                <w:sz w:val="20"/>
                <w:szCs w:val="20"/>
              </w:rPr>
              <w:t>10 October 2022</w:t>
            </w:r>
          </w:p>
        </w:tc>
      </w:tr>
      <w:tr w:rsidR="00ED09AF" w:rsidRPr="00407B82" w14:paraId="7A1AA379" w14:textId="77777777" w:rsidTr="00ED09AF">
        <w:trPr>
          <w:cantSplit/>
        </w:trPr>
        <w:tc>
          <w:tcPr>
            <w:tcW w:w="1895" w:type="dxa"/>
            <w:vMerge/>
          </w:tcPr>
          <w:p w14:paraId="3730499B" w14:textId="77777777" w:rsidR="00ED09AF" w:rsidRPr="001D3BB9" w:rsidRDefault="00ED09AF" w:rsidP="001D3BB9">
            <w:pPr>
              <w:rPr>
                <w:rFonts w:ascii="Segoe UI" w:eastAsia="Times New Roman" w:hAnsi="Segoe UI" w:cs="Segoe UI"/>
                <w:sz w:val="20"/>
                <w:szCs w:val="20"/>
              </w:rPr>
            </w:pPr>
          </w:p>
        </w:tc>
        <w:tc>
          <w:tcPr>
            <w:tcW w:w="4337" w:type="dxa"/>
          </w:tcPr>
          <w:p w14:paraId="5284801F" w14:textId="0C6EC9A5" w:rsidR="00ED09AF" w:rsidRPr="001D3BB9" w:rsidRDefault="00ED09AF" w:rsidP="001D3BB9">
            <w:pPr>
              <w:rPr>
                <w:rFonts w:ascii="Segoe UI" w:eastAsia="Times New Roman" w:hAnsi="Segoe UI" w:cs="Segoe UI"/>
                <w:sz w:val="20"/>
                <w:szCs w:val="20"/>
              </w:rPr>
            </w:pPr>
            <w:r w:rsidRPr="00A02051">
              <w:rPr>
                <w:rFonts w:ascii="Segoe UI" w:eastAsia="Times New Roman" w:hAnsi="Segoe UI" w:cs="Segoe UI"/>
                <w:sz w:val="20"/>
                <w:szCs w:val="20"/>
              </w:rPr>
              <w:t xml:space="preserve">Martin T, Lin Y, Agha M, Cohen AD, </w:t>
            </w:r>
            <w:proofErr w:type="spellStart"/>
            <w:r w:rsidRPr="00A02051">
              <w:rPr>
                <w:rFonts w:ascii="Segoe UI" w:eastAsia="Times New Roman" w:hAnsi="Segoe UI" w:cs="Segoe UI"/>
                <w:sz w:val="20"/>
                <w:szCs w:val="20"/>
              </w:rPr>
              <w:t>Htut</w:t>
            </w:r>
            <w:proofErr w:type="spellEnd"/>
            <w:r w:rsidRPr="00A02051">
              <w:rPr>
                <w:rFonts w:ascii="Segoe UI" w:eastAsia="Times New Roman" w:hAnsi="Segoe UI" w:cs="Segoe UI"/>
                <w:sz w:val="20"/>
                <w:szCs w:val="20"/>
              </w:rPr>
              <w:t xml:space="preserve"> M, Stewart AK, et al. Health-related quality of life in patients given </w:t>
            </w:r>
            <w:proofErr w:type="spellStart"/>
            <w:r w:rsidRPr="00A02051">
              <w:rPr>
                <w:rFonts w:ascii="Segoe UI" w:eastAsia="Times New Roman" w:hAnsi="Segoe UI" w:cs="Segoe UI"/>
                <w:sz w:val="20"/>
                <w:szCs w:val="20"/>
              </w:rPr>
              <w:t>ciltacabtagene</w:t>
            </w:r>
            <w:proofErr w:type="spellEnd"/>
            <w:r w:rsidRPr="00A02051">
              <w:rPr>
                <w:rFonts w:ascii="Segoe UI" w:eastAsia="Times New Roman" w:hAnsi="Segoe UI" w:cs="Segoe UI"/>
                <w:sz w:val="20"/>
                <w:szCs w:val="20"/>
              </w:rPr>
              <w:t xml:space="preserve"> </w:t>
            </w:r>
            <w:proofErr w:type="spellStart"/>
            <w:r w:rsidRPr="00A02051">
              <w:rPr>
                <w:rFonts w:ascii="Segoe UI" w:eastAsia="Times New Roman" w:hAnsi="Segoe UI" w:cs="Segoe UI"/>
                <w:sz w:val="20"/>
                <w:szCs w:val="20"/>
              </w:rPr>
              <w:t>autoleucel</w:t>
            </w:r>
            <w:proofErr w:type="spellEnd"/>
            <w:r w:rsidRPr="00A02051">
              <w:rPr>
                <w:rFonts w:ascii="Segoe UI" w:eastAsia="Times New Roman" w:hAnsi="Segoe UI" w:cs="Segoe UI"/>
                <w:sz w:val="20"/>
                <w:szCs w:val="20"/>
              </w:rPr>
              <w:t xml:space="preserve"> for relapsed or refractory multiple myeloma (CARTITUDE-1): a phase 1b-2, open-label study. Lancet </w:t>
            </w:r>
            <w:proofErr w:type="spellStart"/>
            <w:r w:rsidRPr="00A02051">
              <w:rPr>
                <w:rFonts w:ascii="Segoe UI" w:eastAsia="Times New Roman" w:hAnsi="Segoe UI" w:cs="Segoe UI"/>
                <w:sz w:val="20"/>
                <w:szCs w:val="20"/>
              </w:rPr>
              <w:t>Haematol</w:t>
            </w:r>
            <w:proofErr w:type="spellEnd"/>
            <w:r w:rsidRPr="00A02051">
              <w:rPr>
                <w:rFonts w:ascii="Segoe UI" w:eastAsia="Times New Roman" w:hAnsi="Segoe UI" w:cs="Segoe UI"/>
                <w:sz w:val="20"/>
                <w:szCs w:val="20"/>
              </w:rPr>
              <w:t>. 2022;9(12</w:t>
            </w:r>
            <w:proofErr w:type="gramStart"/>
            <w:r w:rsidRPr="00A02051">
              <w:rPr>
                <w:rFonts w:ascii="Segoe UI" w:eastAsia="Times New Roman" w:hAnsi="Segoe UI" w:cs="Segoe UI"/>
                <w:sz w:val="20"/>
                <w:szCs w:val="20"/>
              </w:rPr>
              <w:t>):e</w:t>
            </w:r>
            <w:proofErr w:type="gramEnd"/>
            <w:r w:rsidRPr="00A02051">
              <w:rPr>
                <w:rFonts w:ascii="Segoe UI" w:eastAsia="Times New Roman" w:hAnsi="Segoe UI" w:cs="Segoe UI"/>
                <w:sz w:val="20"/>
                <w:szCs w:val="20"/>
              </w:rPr>
              <w:t>897-e905.</w:t>
            </w:r>
          </w:p>
        </w:tc>
        <w:tc>
          <w:tcPr>
            <w:tcW w:w="3544" w:type="dxa"/>
          </w:tcPr>
          <w:p w14:paraId="43F4F795" w14:textId="2658E5F2" w:rsidR="00ED09AF" w:rsidRDefault="00ED09AF" w:rsidP="001D3BB9">
            <w:pPr>
              <w:rPr>
                <w:rFonts w:ascii="Segoe UI" w:eastAsia="Times New Roman" w:hAnsi="Segoe UI" w:cs="Segoe UI"/>
                <w:bCs/>
                <w:sz w:val="20"/>
                <w:szCs w:val="20"/>
              </w:rPr>
            </w:pPr>
            <w:r>
              <w:rPr>
                <w:rFonts w:ascii="Segoe UI" w:eastAsia="Times New Roman" w:hAnsi="Segoe UI" w:cs="Segoe UI"/>
                <w:bCs/>
                <w:sz w:val="20"/>
                <w:szCs w:val="20"/>
              </w:rPr>
              <w:t>Publication r</w:t>
            </w:r>
            <w:r w:rsidRPr="00667E41">
              <w:rPr>
                <w:rFonts w:ascii="Segoe UI" w:eastAsia="Times New Roman" w:hAnsi="Segoe UI" w:cs="Segoe UI"/>
                <w:bCs/>
                <w:sz w:val="20"/>
                <w:szCs w:val="20"/>
              </w:rPr>
              <w:t>eport</w:t>
            </w:r>
            <w:r>
              <w:rPr>
                <w:rFonts w:ascii="Segoe UI" w:eastAsia="Times New Roman" w:hAnsi="Segoe UI" w:cs="Segoe UI"/>
                <w:bCs/>
                <w:sz w:val="20"/>
                <w:szCs w:val="20"/>
              </w:rPr>
              <w:t>ing</w:t>
            </w:r>
            <w:r w:rsidRPr="00667E41">
              <w:rPr>
                <w:rFonts w:ascii="Segoe UI" w:eastAsia="Times New Roman" w:hAnsi="Segoe UI" w:cs="Segoe UI"/>
                <w:bCs/>
                <w:sz w:val="20"/>
                <w:szCs w:val="20"/>
              </w:rPr>
              <w:t xml:space="preserve"> </w:t>
            </w:r>
            <w:r>
              <w:rPr>
                <w:rFonts w:ascii="Segoe UI" w:eastAsia="Times New Roman" w:hAnsi="Segoe UI" w:cs="Segoe UI"/>
                <w:bCs/>
                <w:sz w:val="20"/>
                <w:szCs w:val="20"/>
              </w:rPr>
              <w:t xml:space="preserve">CARTITUDE-1 </w:t>
            </w:r>
            <w:r w:rsidRPr="00667E41">
              <w:rPr>
                <w:rFonts w:ascii="Segoe UI" w:eastAsia="Times New Roman" w:hAnsi="Segoe UI" w:cs="Segoe UI"/>
                <w:bCs/>
                <w:sz w:val="20"/>
                <w:szCs w:val="20"/>
              </w:rPr>
              <w:t>health-related quality of life (HRQOL) secondary outcomes evaluated using patient-reported outcomes</w:t>
            </w:r>
            <w:r>
              <w:rPr>
                <w:rFonts w:ascii="Segoe UI" w:eastAsia="Times New Roman" w:hAnsi="Segoe UI" w:cs="Segoe UI"/>
                <w:bCs/>
                <w:sz w:val="20"/>
                <w:szCs w:val="20"/>
              </w:rPr>
              <w:t xml:space="preserve"> (</w:t>
            </w:r>
            <w:r w:rsidRPr="00667E41">
              <w:rPr>
                <w:rFonts w:ascii="Segoe UI" w:eastAsia="Times New Roman" w:hAnsi="Segoe UI" w:cs="Segoe UI"/>
                <w:bCs/>
                <w:sz w:val="20"/>
                <w:szCs w:val="20"/>
              </w:rPr>
              <w:t>EORTC QLQ-C30</w:t>
            </w:r>
            <w:r>
              <w:rPr>
                <w:rFonts w:ascii="Segoe UI" w:eastAsia="Times New Roman" w:hAnsi="Segoe UI" w:cs="Segoe UI"/>
                <w:bCs/>
                <w:sz w:val="20"/>
                <w:szCs w:val="20"/>
              </w:rPr>
              <w:t xml:space="preserve">, </w:t>
            </w:r>
            <w:r w:rsidRPr="00667E41">
              <w:rPr>
                <w:rFonts w:ascii="Segoe UI" w:eastAsia="Times New Roman" w:hAnsi="Segoe UI" w:cs="Segoe UI"/>
                <w:bCs/>
                <w:sz w:val="20"/>
                <w:szCs w:val="20"/>
              </w:rPr>
              <w:t>EORTC QLQ MY20</w:t>
            </w:r>
            <w:r>
              <w:rPr>
                <w:rFonts w:ascii="Segoe UI" w:eastAsia="Times New Roman" w:hAnsi="Segoe UI" w:cs="Segoe UI"/>
                <w:bCs/>
                <w:sz w:val="20"/>
                <w:szCs w:val="20"/>
              </w:rPr>
              <w:t xml:space="preserve">, </w:t>
            </w:r>
            <w:r w:rsidRPr="00667E41">
              <w:rPr>
                <w:rFonts w:ascii="Segoe UI" w:eastAsia="Times New Roman" w:hAnsi="Segoe UI" w:cs="Segoe UI"/>
                <w:bCs/>
                <w:sz w:val="20"/>
                <w:szCs w:val="20"/>
              </w:rPr>
              <w:t>EQ-5D-5L</w:t>
            </w:r>
            <w:r>
              <w:rPr>
                <w:rFonts w:ascii="Segoe UI" w:eastAsia="Times New Roman" w:hAnsi="Segoe UI" w:cs="Segoe UI"/>
                <w:bCs/>
                <w:sz w:val="20"/>
                <w:szCs w:val="20"/>
              </w:rPr>
              <w:t>).</w:t>
            </w:r>
          </w:p>
          <w:p w14:paraId="2C80D8FA" w14:textId="77777777" w:rsidR="00ED09AF" w:rsidRDefault="00ED09AF" w:rsidP="001D3BB9">
            <w:pPr>
              <w:rPr>
                <w:rFonts w:ascii="Segoe UI" w:eastAsia="Times New Roman" w:hAnsi="Segoe UI" w:cs="Segoe UI"/>
                <w:bCs/>
                <w:sz w:val="20"/>
                <w:szCs w:val="20"/>
              </w:rPr>
            </w:pPr>
          </w:p>
          <w:p w14:paraId="403403AC" w14:textId="043DC2CC" w:rsidR="00ED09AF" w:rsidRPr="001D3BB9" w:rsidRDefault="00ED09AF" w:rsidP="001D3BB9">
            <w:pPr>
              <w:rPr>
                <w:rFonts w:ascii="Segoe UI" w:eastAsia="Times New Roman" w:hAnsi="Segoe UI" w:cs="Segoe UI"/>
                <w:bCs/>
                <w:sz w:val="20"/>
                <w:szCs w:val="20"/>
              </w:rPr>
            </w:pPr>
            <w:r>
              <w:rPr>
                <w:rFonts w:ascii="Segoe UI" w:eastAsia="Times New Roman" w:hAnsi="Segoe UI" w:cs="Segoe UI"/>
                <w:bCs/>
                <w:sz w:val="20"/>
                <w:szCs w:val="20"/>
              </w:rPr>
              <w:t xml:space="preserve">Follow-up to publications included in first </w:t>
            </w:r>
            <w:proofErr w:type="spellStart"/>
            <w:r>
              <w:rPr>
                <w:rFonts w:ascii="Segoe UI" w:eastAsia="Times New Roman" w:hAnsi="Segoe UI" w:cs="Segoe UI"/>
                <w:bCs/>
                <w:sz w:val="20"/>
                <w:szCs w:val="20"/>
              </w:rPr>
              <w:t>cilta-cel</w:t>
            </w:r>
            <w:proofErr w:type="spellEnd"/>
            <w:r>
              <w:rPr>
                <w:rFonts w:ascii="Segoe UI" w:eastAsia="Times New Roman" w:hAnsi="Segoe UI" w:cs="Segoe UI"/>
                <w:bCs/>
                <w:sz w:val="20"/>
                <w:szCs w:val="20"/>
              </w:rPr>
              <w:t xml:space="preserve"> submission, data </w:t>
            </w:r>
            <w:r w:rsidRPr="00CC0DBD">
              <w:rPr>
                <w:rFonts w:ascii="Segoe UI" w:eastAsia="Times New Roman" w:hAnsi="Segoe UI" w:cs="Segoe UI"/>
                <w:bCs/>
                <w:sz w:val="20"/>
                <w:szCs w:val="20"/>
              </w:rPr>
              <w:t>with median follow-up 16·9 months</w:t>
            </w:r>
            <w:r>
              <w:rPr>
                <w:rFonts w:ascii="Segoe UI" w:eastAsia="Times New Roman" w:hAnsi="Segoe UI" w:cs="Segoe UI"/>
                <w:bCs/>
                <w:sz w:val="20"/>
                <w:szCs w:val="20"/>
              </w:rPr>
              <w:t>.</w:t>
            </w:r>
          </w:p>
        </w:tc>
        <w:tc>
          <w:tcPr>
            <w:tcW w:w="2552" w:type="dxa"/>
          </w:tcPr>
          <w:p w14:paraId="267DB23B" w14:textId="774A7085" w:rsidR="00ED09AF" w:rsidRPr="00407B82" w:rsidRDefault="00ED09AF" w:rsidP="00407B82">
            <w:pPr>
              <w:rPr>
                <w:rFonts w:ascii="Segoe UI" w:eastAsia="Times New Roman" w:hAnsi="Segoe UI" w:cs="Segoe UI"/>
                <w:sz w:val="20"/>
                <w:szCs w:val="20"/>
              </w:rPr>
            </w:pPr>
            <w:r w:rsidRPr="00667E41">
              <w:rPr>
                <w:rFonts w:ascii="Segoe UI" w:eastAsia="Times New Roman" w:hAnsi="Segoe UI" w:cs="Segoe UI"/>
                <w:sz w:val="20"/>
                <w:szCs w:val="20"/>
              </w:rPr>
              <w:t>https://www.sciencedirect.com/science/article/pii/S2352302622002848</w:t>
            </w:r>
          </w:p>
        </w:tc>
        <w:tc>
          <w:tcPr>
            <w:tcW w:w="2551" w:type="dxa"/>
          </w:tcPr>
          <w:p w14:paraId="3F2B459E" w14:textId="4BF97876" w:rsidR="00ED09AF" w:rsidRPr="00407B82" w:rsidRDefault="00ED09AF" w:rsidP="00407B82">
            <w:pPr>
              <w:rPr>
                <w:rFonts w:ascii="Segoe UI" w:eastAsia="Times New Roman" w:hAnsi="Segoe UI" w:cs="Segoe UI"/>
                <w:sz w:val="20"/>
                <w:szCs w:val="20"/>
              </w:rPr>
            </w:pPr>
            <w:r w:rsidRPr="00667E41">
              <w:rPr>
                <w:rFonts w:ascii="Segoe UI" w:eastAsia="Times New Roman" w:hAnsi="Segoe UI" w:cs="Segoe UI"/>
                <w:sz w:val="20"/>
                <w:szCs w:val="20"/>
              </w:rPr>
              <w:t>December 2022</w:t>
            </w:r>
          </w:p>
        </w:tc>
      </w:tr>
      <w:tr w:rsidR="00ED09AF" w:rsidRPr="00407B82" w14:paraId="0B8ECB1C" w14:textId="77777777" w:rsidTr="00ED09AF">
        <w:trPr>
          <w:cantSplit/>
        </w:trPr>
        <w:tc>
          <w:tcPr>
            <w:tcW w:w="1895" w:type="dxa"/>
            <w:vMerge/>
          </w:tcPr>
          <w:p w14:paraId="0194B958" w14:textId="77777777" w:rsidR="00ED09AF" w:rsidRPr="001D3BB9" w:rsidRDefault="00ED09AF" w:rsidP="001D3BB9">
            <w:pPr>
              <w:rPr>
                <w:rFonts w:ascii="Segoe UI" w:eastAsia="Times New Roman" w:hAnsi="Segoe UI" w:cs="Segoe UI"/>
                <w:sz w:val="20"/>
                <w:szCs w:val="20"/>
              </w:rPr>
            </w:pPr>
          </w:p>
        </w:tc>
        <w:tc>
          <w:tcPr>
            <w:tcW w:w="4337" w:type="dxa"/>
          </w:tcPr>
          <w:p w14:paraId="65697993" w14:textId="77777777" w:rsidR="00ED09AF" w:rsidRPr="00616B21" w:rsidRDefault="00ED09AF" w:rsidP="001D3BB9">
            <w:pPr>
              <w:rPr>
                <w:rFonts w:ascii="Segoe UI" w:eastAsia="Times New Roman" w:hAnsi="Segoe UI" w:cs="Segoe UI"/>
                <w:b/>
                <w:bCs/>
                <w:sz w:val="20"/>
                <w:szCs w:val="20"/>
              </w:rPr>
            </w:pPr>
            <w:r w:rsidRPr="00616B21">
              <w:rPr>
                <w:rFonts w:ascii="Segoe UI" w:eastAsia="Times New Roman" w:hAnsi="Segoe UI" w:cs="Segoe UI"/>
                <w:b/>
                <w:bCs/>
                <w:sz w:val="20"/>
                <w:szCs w:val="20"/>
              </w:rPr>
              <w:t xml:space="preserve">CARTITUDE-1 </w:t>
            </w:r>
          </w:p>
          <w:p w14:paraId="143E55D9" w14:textId="2300E19C" w:rsidR="00ED09AF" w:rsidRDefault="00ED09AF" w:rsidP="001D3BB9">
            <w:pPr>
              <w:rPr>
                <w:rFonts w:ascii="Segoe UI" w:eastAsia="Times New Roman" w:hAnsi="Segoe UI" w:cs="Segoe UI"/>
                <w:sz w:val="20"/>
                <w:szCs w:val="20"/>
              </w:rPr>
            </w:pPr>
            <w:r w:rsidRPr="00616B21">
              <w:rPr>
                <w:rFonts w:ascii="Segoe UI" w:eastAsia="Times New Roman" w:hAnsi="Segoe UI" w:cs="Segoe UI"/>
                <w:b/>
                <w:bCs/>
                <w:sz w:val="20"/>
                <w:szCs w:val="20"/>
              </w:rPr>
              <w:t>Janssen: Close-out analysis Clinical Study Report (CSR</w:t>
            </w:r>
            <w:r>
              <w:rPr>
                <w:rFonts w:ascii="Segoe UI" w:eastAsia="Times New Roman" w:hAnsi="Segoe UI" w:cs="Segoe UI"/>
                <w:sz w:val="20"/>
                <w:szCs w:val="20"/>
              </w:rPr>
              <w:t>)</w:t>
            </w:r>
          </w:p>
          <w:p w14:paraId="247DEC20" w14:textId="77777777" w:rsidR="00ED09AF" w:rsidRPr="00616B21" w:rsidRDefault="00ED09AF" w:rsidP="00616B21">
            <w:pPr>
              <w:rPr>
                <w:rFonts w:ascii="Segoe UI" w:eastAsia="Times New Roman" w:hAnsi="Segoe UI" w:cs="Segoe UI"/>
                <w:sz w:val="20"/>
                <w:szCs w:val="20"/>
              </w:rPr>
            </w:pPr>
            <w:r w:rsidRPr="00616B21">
              <w:rPr>
                <w:rFonts w:ascii="Segoe UI" w:eastAsia="Times New Roman" w:hAnsi="Segoe UI" w:cs="Segoe UI"/>
                <w:sz w:val="20"/>
                <w:szCs w:val="20"/>
              </w:rPr>
              <w:t>A Phase 1b-2, Open-Label Study of JNJ-68284528, a Chimeric Antigen Receptor T cell (CAR-T)</w:t>
            </w:r>
          </w:p>
          <w:p w14:paraId="4D3CAA81" w14:textId="77777777" w:rsidR="00ED09AF" w:rsidRDefault="00ED09AF" w:rsidP="00616B21">
            <w:pPr>
              <w:rPr>
                <w:rFonts w:ascii="Segoe UI" w:eastAsia="Times New Roman" w:hAnsi="Segoe UI" w:cs="Segoe UI"/>
                <w:sz w:val="20"/>
                <w:szCs w:val="20"/>
              </w:rPr>
            </w:pPr>
            <w:r w:rsidRPr="00616B21">
              <w:rPr>
                <w:rFonts w:ascii="Segoe UI" w:eastAsia="Times New Roman" w:hAnsi="Segoe UI" w:cs="Segoe UI"/>
                <w:sz w:val="20"/>
                <w:szCs w:val="20"/>
              </w:rPr>
              <w:t>Therapy Directed Against BCMA in Subjects with Relapsed or Refractory Multiple Myeloma</w:t>
            </w:r>
          </w:p>
          <w:p w14:paraId="41972119" w14:textId="5D33B057" w:rsidR="00ED09AF" w:rsidRPr="00616B21" w:rsidRDefault="00ED09AF" w:rsidP="00616B21">
            <w:pPr>
              <w:rPr>
                <w:rFonts w:ascii="Segoe UI" w:eastAsia="Times New Roman" w:hAnsi="Segoe UI" w:cs="Segoe UI"/>
                <w:i/>
                <w:iCs/>
                <w:sz w:val="20"/>
                <w:szCs w:val="20"/>
              </w:rPr>
            </w:pPr>
          </w:p>
        </w:tc>
        <w:tc>
          <w:tcPr>
            <w:tcW w:w="3544" w:type="dxa"/>
          </w:tcPr>
          <w:p w14:paraId="1F63AAEA" w14:textId="77777777" w:rsidR="00ED09AF" w:rsidRPr="00616B21" w:rsidRDefault="00ED09AF" w:rsidP="00616B21">
            <w:pPr>
              <w:rPr>
                <w:rFonts w:ascii="Segoe UI" w:eastAsia="Times New Roman" w:hAnsi="Segoe UI" w:cs="Segoe UI"/>
                <w:bCs/>
                <w:sz w:val="20"/>
                <w:szCs w:val="20"/>
              </w:rPr>
            </w:pPr>
            <w:r w:rsidRPr="00616B21">
              <w:rPr>
                <w:rFonts w:ascii="Segoe UI" w:eastAsia="Times New Roman" w:hAnsi="Segoe UI" w:cs="Segoe UI"/>
                <w:bCs/>
                <w:sz w:val="20"/>
                <w:szCs w:val="20"/>
              </w:rPr>
              <w:t xml:space="preserve">This CSR provides findings at the time of study closeout for subjects treated with </w:t>
            </w:r>
            <w:proofErr w:type="spellStart"/>
            <w:r w:rsidRPr="00616B21">
              <w:rPr>
                <w:rFonts w:ascii="Segoe UI" w:eastAsia="Times New Roman" w:hAnsi="Segoe UI" w:cs="Segoe UI"/>
                <w:bCs/>
                <w:sz w:val="20"/>
                <w:szCs w:val="20"/>
              </w:rPr>
              <w:t>cilta-cel</w:t>
            </w:r>
            <w:proofErr w:type="spellEnd"/>
            <w:r w:rsidRPr="00616B21">
              <w:rPr>
                <w:rFonts w:ascii="Segoe UI" w:eastAsia="Times New Roman" w:hAnsi="Segoe UI" w:cs="Segoe UI"/>
                <w:bCs/>
                <w:sz w:val="20"/>
                <w:szCs w:val="20"/>
              </w:rPr>
              <w:t xml:space="preserve"> using a</w:t>
            </w:r>
          </w:p>
          <w:p w14:paraId="1597BA2F" w14:textId="77777777" w:rsidR="00ED09AF" w:rsidRDefault="00ED09AF" w:rsidP="00616B21">
            <w:pPr>
              <w:rPr>
                <w:rFonts w:ascii="Segoe UI" w:eastAsia="Times New Roman" w:hAnsi="Segoe UI" w:cs="Segoe UI"/>
                <w:bCs/>
                <w:sz w:val="20"/>
                <w:szCs w:val="20"/>
              </w:rPr>
            </w:pPr>
            <w:r w:rsidRPr="00616B21">
              <w:rPr>
                <w:rFonts w:ascii="Segoe UI" w:eastAsia="Times New Roman" w:hAnsi="Segoe UI" w:cs="Segoe UI"/>
                <w:bCs/>
                <w:sz w:val="20"/>
                <w:szCs w:val="20"/>
              </w:rPr>
              <w:t>data release date of 14 October 2022.</w:t>
            </w:r>
          </w:p>
          <w:p w14:paraId="20A9C3BB" w14:textId="77777777" w:rsidR="00ED09AF" w:rsidRDefault="00ED09AF" w:rsidP="00616B21">
            <w:pPr>
              <w:rPr>
                <w:rFonts w:ascii="Segoe UI" w:eastAsia="Times New Roman" w:hAnsi="Segoe UI" w:cs="Segoe UI"/>
                <w:bCs/>
                <w:sz w:val="20"/>
                <w:szCs w:val="20"/>
              </w:rPr>
            </w:pPr>
          </w:p>
          <w:p w14:paraId="5DDDA026" w14:textId="1B8597A9" w:rsidR="00ED09AF" w:rsidRDefault="00ED09AF" w:rsidP="00616B21">
            <w:pPr>
              <w:rPr>
                <w:rFonts w:ascii="Segoe UI" w:eastAsia="Times New Roman" w:hAnsi="Segoe UI" w:cs="Segoe UI"/>
                <w:bCs/>
                <w:sz w:val="20"/>
                <w:szCs w:val="20"/>
              </w:rPr>
            </w:pPr>
            <w:r>
              <w:rPr>
                <w:rFonts w:ascii="Segoe UI" w:eastAsia="Times New Roman" w:hAnsi="Segoe UI" w:cs="Segoe UI"/>
                <w:bCs/>
                <w:sz w:val="20"/>
                <w:szCs w:val="20"/>
              </w:rPr>
              <w:t xml:space="preserve">Follow-up to CSRs included in first </w:t>
            </w:r>
            <w:proofErr w:type="spellStart"/>
            <w:r>
              <w:rPr>
                <w:rFonts w:ascii="Segoe UI" w:eastAsia="Times New Roman" w:hAnsi="Segoe UI" w:cs="Segoe UI"/>
                <w:bCs/>
                <w:sz w:val="20"/>
                <w:szCs w:val="20"/>
              </w:rPr>
              <w:t>cilta-cel</w:t>
            </w:r>
            <w:proofErr w:type="spellEnd"/>
            <w:r>
              <w:rPr>
                <w:rFonts w:ascii="Segoe UI" w:eastAsia="Times New Roman" w:hAnsi="Segoe UI" w:cs="Segoe UI"/>
                <w:bCs/>
                <w:sz w:val="20"/>
                <w:szCs w:val="20"/>
              </w:rPr>
              <w:t xml:space="preserve"> submission, data with median follow-up 33.4 months.</w:t>
            </w:r>
          </w:p>
        </w:tc>
        <w:tc>
          <w:tcPr>
            <w:tcW w:w="2552" w:type="dxa"/>
          </w:tcPr>
          <w:p w14:paraId="1A55BA42" w14:textId="479E3723" w:rsidR="00ED09AF" w:rsidRPr="00667E41" w:rsidRDefault="00ED09AF" w:rsidP="00407B82">
            <w:pPr>
              <w:rPr>
                <w:rFonts w:ascii="Segoe UI" w:eastAsia="Times New Roman" w:hAnsi="Segoe UI" w:cs="Segoe UI"/>
                <w:sz w:val="20"/>
                <w:szCs w:val="20"/>
              </w:rPr>
            </w:pPr>
            <w:r>
              <w:rPr>
                <w:rFonts w:ascii="Segoe UI" w:eastAsia="Times New Roman" w:hAnsi="Segoe UI" w:cs="Segoe UI"/>
                <w:sz w:val="20"/>
                <w:szCs w:val="20"/>
              </w:rPr>
              <w:t>N/A</w:t>
            </w:r>
          </w:p>
        </w:tc>
        <w:tc>
          <w:tcPr>
            <w:tcW w:w="2551" w:type="dxa"/>
          </w:tcPr>
          <w:p w14:paraId="539FE8B7" w14:textId="15AFAF22" w:rsidR="00ED09AF" w:rsidRDefault="00ED09AF" w:rsidP="00616B21">
            <w:pPr>
              <w:rPr>
                <w:rFonts w:ascii="Segoe UI" w:eastAsia="Times New Roman" w:hAnsi="Segoe UI" w:cs="Segoe UI"/>
                <w:bCs/>
                <w:sz w:val="20"/>
                <w:szCs w:val="20"/>
              </w:rPr>
            </w:pPr>
            <w:r w:rsidRPr="00616B21">
              <w:rPr>
                <w:rFonts w:ascii="Segoe UI" w:eastAsia="Times New Roman" w:hAnsi="Segoe UI" w:cs="Segoe UI"/>
                <w:bCs/>
                <w:sz w:val="20"/>
                <w:szCs w:val="20"/>
              </w:rPr>
              <w:t xml:space="preserve">Not yet published </w:t>
            </w:r>
          </w:p>
          <w:p w14:paraId="0FDE7A41" w14:textId="77777777" w:rsidR="00ED09AF" w:rsidRPr="00616B21" w:rsidRDefault="00ED09AF" w:rsidP="00616B21">
            <w:pPr>
              <w:rPr>
                <w:rFonts w:ascii="Segoe UI" w:eastAsia="Times New Roman" w:hAnsi="Segoe UI" w:cs="Segoe UI"/>
                <w:bCs/>
                <w:sz w:val="20"/>
                <w:szCs w:val="20"/>
              </w:rPr>
            </w:pPr>
          </w:p>
          <w:p w14:paraId="65D73165" w14:textId="38AFA34D" w:rsidR="00ED09AF" w:rsidRPr="00667E41" w:rsidRDefault="00ED09AF" w:rsidP="00616B21">
            <w:pPr>
              <w:rPr>
                <w:rFonts w:ascii="Segoe UI" w:eastAsia="Times New Roman" w:hAnsi="Segoe UI" w:cs="Segoe UI"/>
                <w:sz w:val="20"/>
                <w:szCs w:val="20"/>
              </w:rPr>
            </w:pPr>
            <w:r w:rsidRPr="00616B21">
              <w:rPr>
                <w:rFonts w:ascii="Segoe UI" w:eastAsia="Times New Roman" w:hAnsi="Segoe UI" w:cs="Segoe UI"/>
                <w:bCs/>
                <w:sz w:val="20"/>
                <w:szCs w:val="20"/>
              </w:rPr>
              <w:t>(CSR results may be published in future)</w:t>
            </w:r>
          </w:p>
        </w:tc>
      </w:tr>
      <w:bookmarkEnd w:id="8"/>
      <w:bookmarkEnd w:id="9"/>
    </w:tbl>
    <w:p w14:paraId="3B237DB6" w14:textId="77777777" w:rsidR="00407B82" w:rsidRPr="00407B82" w:rsidRDefault="00407B82" w:rsidP="00407B82">
      <w:pPr>
        <w:rPr>
          <w:rFonts w:ascii="Segoe UI" w:eastAsia="Times New Roman" w:hAnsi="Segoe UI" w:cs="Segoe UI"/>
        </w:rPr>
      </w:pPr>
    </w:p>
    <w:p w14:paraId="3A3ED3FC" w14:textId="77777777" w:rsidR="00DB2D53" w:rsidRPr="00407B82" w:rsidRDefault="00DB2D53" w:rsidP="00407B82"/>
    <w:sectPr w:rsidR="00DB2D53" w:rsidRPr="00407B82" w:rsidSect="00246FB8">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6CC5" w14:textId="77777777" w:rsidR="00F43E05" w:rsidRDefault="00F43E05" w:rsidP="00BE6B22">
      <w:pPr>
        <w:spacing w:after="0" w:line="240" w:lineRule="auto"/>
      </w:pPr>
      <w:r>
        <w:separator/>
      </w:r>
    </w:p>
  </w:endnote>
  <w:endnote w:type="continuationSeparator" w:id="0">
    <w:p w14:paraId="42416384" w14:textId="77777777" w:rsidR="00F43E05" w:rsidRDefault="00F43E05" w:rsidP="00BE6B22">
      <w:pPr>
        <w:spacing w:after="0" w:line="240" w:lineRule="auto"/>
      </w:pPr>
      <w:r>
        <w:continuationSeparator/>
      </w:r>
    </w:p>
  </w:endnote>
  <w:endnote w:type="continuationNotice" w:id="1">
    <w:p w14:paraId="756AE026" w14:textId="77777777" w:rsidR="00F43E05" w:rsidRDefault="00F43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933A" w14:textId="77777777" w:rsidR="00605181" w:rsidRDefault="00605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sz w:val="20"/>
        <w:szCs w:val="20"/>
      </w:rPr>
      <w:id w:val="-723988514"/>
      <w:docPartObj>
        <w:docPartGallery w:val="Page Numbers (Bottom of Page)"/>
        <w:docPartUnique/>
      </w:docPartObj>
    </w:sdtPr>
    <w:sdtEndPr>
      <w:rPr>
        <w:rFonts w:ascii="Times New Roman" w:hAnsi="Times New Roman" w:cs="Times New Roman"/>
        <w:color w:val="7F7F7F" w:themeColor="background1" w:themeShade="7F"/>
        <w:spacing w:val="60"/>
        <w:sz w:val="24"/>
        <w:szCs w:val="24"/>
      </w:rPr>
    </w:sdtEndPr>
    <w:sdtContent>
      <w:p w14:paraId="1D946C7C" w14:textId="2ED158E6" w:rsidR="0090168B" w:rsidRDefault="0090168B" w:rsidP="0090168B">
        <w:pPr>
          <w:pStyle w:val="Footer"/>
          <w:pBdr>
            <w:top w:val="single" w:sz="4" w:space="1" w:color="D9D9D9" w:themeColor="background1" w:themeShade="D9"/>
          </w:pBdr>
          <w:jc w:val="right"/>
        </w:pPr>
        <w:r w:rsidRPr="0090168B">
          <w:rPr>
            <w:rFonts w:ascii="Segoe UI" w:hAnsi="Segoe UI" w:cs="Segoe UI"/>
            <w:color w:val="7F7F7F" w:themeColor="background1" w:themeShade="7F"/>
            <w:spacing w:val="60"/>
            <w:sz w:val="20"/>
            <w:szCs w:val="20"/>
          </w:rPr>
          <w:t xml:space="preserve">Page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PAGE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r w:rsidRPr="0090168B">
          <w:rPr>
            <w:rFonts w:ascii="Segoe UI" w:hAnsi="Segoe UI" w:cs="Segoe UI"/>
            <w:color w:val="7F7F7F" w:themeColor="background1" w:themeShade="7F"/>
            <w:spacing w:val="60"/>
            <w:sz w:val="20"/>
            <w:szCs w:val="20"/>
          </w:rPr>
          <w:t xml:space="preserve"> of </w:t>
        </w:r>
        <w:r w:rsidRPr="0090168B">
          <w:rPr>
            <w:rFonts w:ascii="Segoe UI" w:hAnsi="Segoe UI" w:cs="Segoe UI"/>
            <w:color w:val="7F7F7F" w:themeColor="background1" w:themeShade="7F"/>
            <w:spacing w:val="60"/>
            <w:sz w:val="20"/>
            <w:szCs w:val="20"/>
          </w:rPr>
          <w:fldChar w:fldCharType="begin"/>
        </w:r>
        <w:r w:rsidRPr="0090168B">
          <w:rPr>
            <w:rFonts w:ascii="Segoe UI" w:hAnsi="Segoe UI" w:cs="Segoe UI"/>
            <w:color w:val="7F7F7F" w:themeColor="background1" w:themeShade="7F"/>
            <w:spacing w:val="60"/>
            <w:sz w:val="20"/>
            <w:szCs w:val="20"/>
          </w:rPr>
          <w:instrText xml:space="preserve"> NUMPAGES  \* Arabic  \* MERGEFORMAT </w:instrText>
        </w:r>
        <w:r w:rsidRPr="0090168B">
          <w:rPr>
            <w:rFonts w:ascii="Segoe UI" w:hAnsi="Segoe UI" w:cs="Segoe UI"/>
            <w:color w:val="7F7F7F" w:themeColor="background1" w:themeShade="7F"/>
            <w:spacing w:val="60"/>
            <w:sz w:val="20"/>
            <w:szCs w:val="20"/>
          </w:rPr>
          <w:fldChar w:fldCharType="separate"/>
        </w:r>
        <w:r w:rsidRPr="0090168B">
          <w:rPr>
            <w:rFonts w:ascii="Segoe UI" w:hAnsi="Segoe UI" w:cs="Segoe UI"/>
            <w:noProof/>
            <w:color w:val="7F7F7F" w:themeColor="background1" w:themeShade="7F"/>
            <w:spacing w:val="60"/>
            <w:sz w:val="20"/>
            <w:szCs w:val="20"/>
          </w:rPr>
          <w:t>3</w:t>
        </w:r>
        <w:r w:rsidRPr="0090168B">
          <w:rPr>
            <w:rFonts w:ascii="Segoe UI" w:hAnsi="Segoe UI" w:cs="Segoe UI"/>
            <w:color w:val="7F7F7F" w:themeColor="background1" w:themeShade="7F"/>
            <w:spacing w:val="60"/>
            <w:sz w:val="20"/>
            <w:szCs w:val="20"/>
          </w:rPr>
          <w:fldChar w:fldCharType="end"/>
        </w:r>
      </w:p>
    </w:sdtContent>
  </w:sdt>
  <w:p w14:paraId="355A1DA5" w14:textId="77777777" w:rsidR="0090168B" w:rsidRDefault="00901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7A8" w14:textId="77777777" w:rsidR="00605181" w:rsidRDefault="00605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8C50" w14:textId="77777777" w:rsidR="00F43E05" w:rsidRDefault="00F43E05" w:rsidP="00BE6B22">
      <w:pPr>
        <w:spacing w:after="0" w:line="240" w:lineRule="auto"/>
      </w:pPr>
      <w:r>
        <w:separator/>
      </w:r>
    </w:p>
  </w:footnote>
  <w:footnote w:type="continuationSeparator" w:id="0">
    <w:p w14:paraId="5C4DFEC3" w14:textId="77777777" w:rsidR="00F43E05" w:rsidRDefault="00F43E05" w:rsidP="00BE6B22">
      <w:pPr>
        <w:spacing w:after="0" w:line="240" w:lineRule="auto"/>
      </w:pPr>
      <w:r>
        <w:continuationSeparator/>
      </w:r>
    </w:p>
  </w:footnote>
  <w:footnote w:type="continuationNotice" w:id="1">
    <w:p w14:paraId="4C9DC62D" w14:textId="77777777" w:rsidR="00F43E05" w:rsidRDefault="00F43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0C2C" w14:textId="77777777" w:rsidR="00605181" w:rsidRDefault="00605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72D2" w14:textId="2577A5A7" w:rsidR="001864E1" w:rsidRPr="001864E1" w:rsidRDefault="001864E1" w:rsidP="001E1A13">
    <w:pPr>
      <w:pStyle w:val="Header"/>
      <w:rPr>
        <w:rFonts w:ascii="Segoe UI" w:eastAsia="Segoe UI" w:hAnsi="Segoe UI"/>
        <w:sz w:val="22"/>
        <w:szCs w:val="22"/>
      </w:rPr>
    </w:pPr>
    <w:proofErr w:type="spellStart"/>
    <w:r w:rsidRPr="001864E1">
      <w:rPr>
        <w:rFonts w:ascii="Segoe UI" w:eastAsia="Segoe UI" w:hAnsi="Segoe UI"/>
        <w:sz w:val="22"/>
        <w:szCs w:val="22"/>
      </w:rPr>
      <w:t>Ciltacabtagene</w:t>
    </w:r>
    <w:proofErr w:type="spellEnd"/>
    <w:r w:rsidRPr="001864E1">
      <w:rPr>
        <w:rFonts w:ascii="Segoe UI" w:eastAsia="Segoe UI" w:hAnsi="Segoe UI"/>
        <w:sz w:val="22"/>
        <w:szCs w:val="22"/>
      </w:rPr>
      <w:t xml:space="preserve"> </w:t>
    </w:r>
    <w:proofErr w:type="spellStart"/>
    <w:r w:rsidRPr="001864E1">
      <w:rPr>
        <w:rFonts w:ascii="Segoe UI" w:eastAsia="Segoe UI" w:hAnsi="Segoe UI"/>
        <w:sz w:val="22"/>
        <w:szCs w:val="22"/>
      </w:rPr>
      <w:t>autoleucel</w:t>
    </w:r>
    <w:proofErr w:type="spellEnd"/>
    <w:r w:rsidRPr="001864E1">
      <w:rPr>
        <w:rFonts w:ascii="Segoe UI" w:eastAsia="Segoe UI" w:hAnsi="Segoe UI"/>
        <w:sz w:val="22"/>
        <w:szCs w:val="22"/>
      </w:rPr>
      <w:t xml:space="preserve">, a B-cell maturation antigen-directed chimeric antigen receptor T cell to treat refractory or relapsed multiple myeloma after at least 4 prior therapies including a PI, </w:t>
    </w:r>
    <w:proofErr w:type="spellStart"/>
    <w:r w:rsidRPr="001864E1">
      <w:rPr>
        <w:rFonts w:ascii="Segoe UI" w:eastAsia="Segoe UI" w:hAnsi="Segoe UI"/>
        <w:sz w:val="22"/>
        <w:szCs w:val="22"/>
      </w:rPr>
      <w:t>IMiD</w:t>
    </w:r>
    <w:proofErr w:type="spellEnd"/>
    <w:r w:rsidRPr="001864E1">
      <w:rPr>
        <w:rFonts w:ascii="Segoe UI" w:eastAsia="Segoe UI" w:hAnsi="Segoe UI"/>
        <w:sz w:val="22"/>
        <w:szCs w:val="22"/>
      </w:rPr>
      <w:t xml:space="preserve"> and anti-CD38</w:t>
    </w:r>
    <w:r>
      <w:rPr>
        <w:rFonts w:ascii="Segoe UI" w:eastAsia="Segoe UI" w:hAnsi="Segoe UI"/>
        <w:sz w:val="22"/>
        <w:szCs w:val="22"/>
      </w:rPr>
      <w:t xml:space="preserve"> – PICO Set</w:t>
    </w:r>
  </w:p>
  <w:p w14:paraId="6451851C" w14:textId="3CB073A8" w:rsidR="00F16239" w:rsidRDefault="00F16239" w:rsidP="00BE6B22">
    <w:pPr>
      <w:pStyle w:val="Header"/>
      <w:jc w:val="center"/>
    </w:pPr>
    <w:r>
      <w:rPr>
        <w:rFonts w:ascii="Segoe UI" w:eastAsia="Segoe UI" w:hAnsi="Segoe UI"/>
        <w:noProof/>
        <w:color w:val="FF0000"/>
        <w:sz w:val="22"/>
      </w:rPr>
      <mc:AlternateContent>
        <mc:Choice Requires="wps">
          <w:drawing>
            <wp:anchor distT="0" distB="0" distL="114300" distR="114300" simplePos="0" relativeHeight="251658240" behindDoc="0" locked="0" layoutInCell="1" allowOverlap="1" wp14:anchorId="39B179C6" wp14:editId="73348AD0">
              <wp:simplePos x="0" y="0"/>
              <wp:positionH relativeFrom="column">
                <wp:posOffset>-142875</wp:posOffset>
              </wp:positionH>
              <wp:positionV relativeFrom="paragraph">
                <wp:posOffset>117475</wp:posOffset>
              </wp:positionV>
              <wp:extent cx="58959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DCD34F" id="Straight Connector 2"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9707" w14:textId="77777777" w:rsidR="00605181" w:rsidRDefault="00605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985"/>
    <w:multiLevelType w:val="hybridMultilevel"/>
    <w:tmpl w:val="D404478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5CC17F7"/>
    <w:multiLevelType w:val="hybridMultilevel"/>
    <w:tmpl w:val="0D609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E86102"/>
    <w:multiLevelType w:val="hybridMultilevel"/>
    <w:tmpl w:val="A148F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386643"/>
    <w:multiLevelType w:val="hybridMultilevel"/>
    <w:tmpl w:val="AD7021FC"/>
    <w:lvl w:ilvl="0" w:tplc="F0BE7296">
      <w:start w:val="1"/>
      <w:numFmt w:val="bullet"/>
      <w:lvlText w:val=""/>
      <w:lvlJc w:val="left"/>
      <w:pPr>
        <w:ind w:left="1080" w:hanging="360"/>
      </w:pPr>
      <w:rPr>
        <w:rFonts w:ascii="Symbol" w:hAnsi="Symbol" w:hint="default"/>
        <w:color w:val="000000"/>
        <w14:textFill>
          <w14:solidFill>
            <w14:srgbClr w14:val="000000">
              <w14:alpha w14:val="100000"/>
            </w14:srgbClr>
          </w14:solidFill>
        </w14:textFil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CFA793B"/>
    <w:multiLevelType w:val="hybridMultilevel"/>
    <w:tmpl w:val="1F3E01D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5B0D4A82"/>
    <w:multiLevelType w:val="hybridMultilevel"/>
    <w:tmpl w:val="609A81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2F74D6"/>
    <w:multiLevelType w:val="hybridMultilevel"/>
    <w:tmpl w:val="2932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281CDA"/>
    <w:multiLevelType w:val="hybridMultilevel"/>
    <w:tmpl w:val="0E88D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127227"/>
    <w:multiLevelType w:val="hybridMultilevel"/>
    <w:tmpl w:val="CBAE7548"/>
    <w:lvl w:ilvl="0" w:tplc="F0BE7296">
      <w:start w:val="1"/>
      <w:numFmt w:val="bullet"/>
      <w:lvlText w:val=""/>
      <w:lvlJc w:val="left"/>
      <w:pPr>
        <w:ind w:left="720" w:hanging="360"/>
      </w:pPr>
      <w:rPr>
        <w:rFonts w:ascii="Symbol" w:hAnsi="Symbol" w:hint="default"/>
        <w:color w:val="000000"/>
        <w14:textFill>
          <w14:solidFill>
            <w14:srgbClr w14:val="000000">
              <w14:alpha w14:val="100000"/>
            </w14:srgbClr>
          </w14:solidFill>
        </w14:textFil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1F64E9"/>
    <w:multiLevelType w:val="hybridMultilevel"/>
    <w:tmpl w:val="33A6C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D162F"/>
    <w:multiLevelType w:val="hybridMultilevel"/>
    <w:tmpl w:val="5D560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131C55"/>
    <w:multiLevelType w:val="hybridMultilevel"/>
    <w:tmpl w:val="1AACB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
  </w:num>
  <w:num w:numId="5">
    <w:abstractNumId w:val="11"/>
  </w:num>
  <w:num w:numId="6">
    <w:abstractNumId w:val="6"/>
  </w:num>
  <w:num w:numId="7">
    <w:abstractNumId w:val="2"/>
  </w:num>
  <w:num w:numId="8">
    <w:abstractNumId w:val="10"/>
  </w:num>
  <w:num w:numId="9">
    <w:abstractNumId w:val="7"/>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0510E"/>
    <w:rsid w:val="000155C9"/>
    <w:rsid w:val="00025969"/>
    <w:rsid w:val="000468A6"/>
    <w:rsid w:val="00051843"/>
    <w:rsid w:val="00056308"/>
    <w:rsid w:val="00056E96"/>
    <w:rsid w:val="000627EF"/>
    <w:rsid w:val="00062B5C"/>
    <w:rsid w:val="00063167"/>
    <w:rsid w:val="00064AF2"/>
    <w:rsid w:val="00072355"/>
    <w:rsid w:val="00073B9D"/>
    <w:rsid w:val="000802B0"/>
    <w:rsid w:val="00087193"/>
    <w:rsid w:val="0009097A"/>
    <w:rsid w:val="00091A84"/>
    <w:rsid w:val="000934AF"/>
    <w:rsid w:val="0009426D"/>
    <w:rsid w:val="00094FB6"/>
    <w:rsid w:val="000957E4"/>
    <w:rsid w:val="000A04A4"/>
    <w:rsid w:val="000B3A23"/>
    <w:rsid w:val="000B6C87"/>
    <w:rsid w:val="000B7429"/>
    <w:rsid w:val="000B7550"/>
    <w:rsid w:val="000C69AC"/>
    <w:rsid w:val="000D1019"/>
    <w:rsid w:val="00124780"/>
    <w:rsid w:val="00130C92"/>
    <w:rsid w:val="00136C3A"/>
    <w:rsid w:val="0013727F"/>
    <w:rsid w:val="00144A76"/>
    <w:rsid w:val="001452A0"/>
    <w:rsid w:val="0016065A"/>
    <w:rsid w:val="00162674"/>
    <w:rsid w:val="00164B45"/>
    <w:rsid w:val="001864E1"/>
    <w:rsid w:val="00197AE5"/>
    <w:rsid w:val="001B1EE0"/>
    <w:rsid w:val="001B7B26"/>
    <w:rsid w:val="001D13FF"/>
    <w:rsid w:val="001D195D"/>
    <w:rsid w:val="001D373E"/>
    <w:rsid w:val="001D3BB9"/>
    <w:rsid w:val="001D7D85"/>
    <w:rsid w:val="001E1A13"/>
    <w:rsid w:val="001F54DF"/>
    <w:rsid w:val="001F7C76"/>
    <w:rsid w:val="00210096"/>
    <w:rsid w:val="002244EF"/>
    <w:rsid w:val="00233CC9"/>
    <w:rsid w:val="002349C6"/>
    <w:rsid w:val="00241904"/>
    <w:rsid w:val="00246FB8"/>
    <w:rsid w:val="002470B8"/>
    <w:rsid w:val="00256411"/>
    <w:rsid w:val="00277F46"/>
    <w:rsid w:val="00280050"/>
    <w:rsid w:val="00280A76"/>
    <w:rsid w:val="00281E3E"/>
    <w:rsid w:val="002B4A7C"/>
    <w:rsid w:val="002B7B2B"/>
    <w:rsid w:val="002D29C3"/>
    <w:rsid w:val="002D2A5F"/>
    <w:rsid w:val="002D7216"/>
    <w:rsid w:val="002E357C"/>
    <w:rsid w:val="003265B4"/>
    <w:rsid w:val="003435D9"/>
    <w:rsid w:val="00350444"/>
    <w:rsid w:val="003627D6"/>
    <w:rsid w:val="0037188B"/>
    <w:rsid w:val="00374832"/>
    <w:rsid w:val="00380C41"/>
    <w:rsid w:val="0039212C"/>
    <w:rsid w:val="00396F41"/>
    <w:rsid w:val="003A16D1"/>
    <w:rsid w:val="003D77B1"/>
    <w:rsid w:val="003E7678"/>
    <w:rsid w:val="003F39D1"/>
    <w:rsid w:val="00407B82"/>
    <w:rsid w:val="00413800"/>
    <w:rsid w:val="004209FC"/>
    <w:rsid w:val="0042180F"/>
    <w:rsid w:val="004229E8"/>
    <w:rsid w:val="00423CCC"/>
    <w:rsid w:val="00425E47"/>
    <w:rsid w:val="00432B58"/>
    <w:rsid w:val="004401DB"/>
    <w:rsid w:val="00440962"/>
    <w:rsid w:val="00441E81"/>
    <w:rsid w:val="00447F60"/>
    <w:rsid w:val="004505EB"/>
    <w:rsid w:val="00452657"/>
    <w:rsid w:val="0046033C"/>
    <w:rsid w:val="004609CA"/>
    <w:rsid w:val="004735DF"/>
    <w:rsid w:val="00474766"/>
    <w:rsid w:val="0047653F"/>
    <w:rsid w:val="00481FE8"/>
    <w:rsid w:val="0048435C"/>
    <w:rsid w:val="00484A36"/>
    <w:rsid w:val="0049704C"/>
    <w:rsid w:val="004A301E"/>
    <w:rsid w:val="004A45BE"/>
    <w:rsid w:val="004A6BB8"/>
    <w:rsid w:val="004B032C"/>
    <w:rsid w:val="004B62A2"/>
    <w:rsid w:val="004C02B7"/>
    <w:rsid w:val="004C1192"/>
    <w:rsid w:val="004D5765"/>
    <w:rsid w:val="004E306A"/>
    <w:rsid w:val="004F6333"/>
    <w:rsid w:val="0050049F"/>
    <w:rsid w:val="005013F6"/>
    <w:rsid w:val="005075D1"/>
    <w:rsid w:val="005077D3"/>
    <w:rsid w:val="00511246"/>
    <w:rsid w:val="0052274F"/>
    <w:rsid w:val="00532814"/>
    <w:rsid w:val="00540C73"/>
    <w:rsid w:val="005453C9"/>
    <w:rsid w:val="00545A4C"/>
    <w:rsid w:val="00554D24"/>
    <w:rsid w:val="00562593"/>
    <w:rsid w:val="00563BB9"/>
    <w:rsid w:val="00566CA5"/>
    <w:rsid w:val="00566CF9"/>
    <w:rsid w:val="00573128"/>
    <w:rsid w:val="00573D43"/>
    <w:rsid w:val="00575E70"/>
    <w:rsid w:val="005763D1"/>
    <w:rsid w:val="00582F1F"/>
    <w:rsid w:val="005837E9"/>
    <w:rsid w:val="005979A5"/>
    <w:rsid w:val="005B0A28"/>
    <w:rsid w:val="005B5A58"/>
    <w:rsid w:val="005E1CFB"/>
    <w:rsid w:val="005F0343"/>
    <w:rsid w:val="005F1698"/>
    <w:rsid w:val="005F54A7"/>
    <w:rsid w:val="00605181"/>
    <w:rsid w:val="006132C8"/>
    <w:rsid w:val="00616B21"/>
    <w:rsid w:val="00622685"/>
    <w:rsid w:val="006227EF"/>
    <w:rsid w:val="00623C95"/>
    <w:rsid w:val="0062612E"/>
    <w:rsid w:val="006334AC"/>
    <w:rsid w:val="00635E9F"/>
    <w:rsid w:val="00636E76"/>
    <w:rsid w:val="00641597"/>
    <w:rsid w:val="006429A1"/>
    <w:rsid w:val="006437DB"/>
    <w:rsid w:val="006437E6"/>
    <w:rsid w:val="00665487"/>
    <w:rsid w:val="00667A7D"/>
    <w:rsid w:val="00667E41"/>
    <w:rsid w:val="00672443"/>
    <w:rsid w:val="00692799"/>
    <w:rsid w:val="006F0456"/>
    <w:rsid w:val="006F7295"/>
    <w:rsid w:val="007010C4"/>
    <w:rsid w:val="0070492E"/>
    <w:rsid w:val="0071204E"/>
    <w:rsid w:val="00715936"/>
    <w:rsid w:val="00732EB1"/>
    <w:rsid w:val="00734D54"/>
    <w:rsid w:val="00745188"/>
    <w:rsid w:val="00762818"/>
    <w:rsid w:val="00763F1A"/>
    <w:rsid w:val="00770FA6"/>
    <w:rsid w:val="007717A7"/>
    <w:rsid w:val="007A292F"/>
    <w:rsid w:val="007A4F77"/>
    <w:rsid w:val="007C185A"/>
    <w:rsid w:val="007E35D6"/>
    <w:rsid w:val="007E3B98"/>
    <w:rsid w:val="007E6973"/>
    <w:rsid w:val="007F052B"/>
    <w:rsid w:val="007F7307"/>
    <w:rsid w:val="00813F5E"/>
    <w:rsid w:val="00827749"/>
    <w:rsid w:val="00836A15"/>
    <w:rsid w:val="00851D39"/>
    <w:rsid w:val="00852DBD"/>
    <w:rsid w:val="0086245A"/>
    <w:rsid w:val="00864985"/>
    <w:rsid w:val="00875AA8"/>
    <w:rsid w:val="00884F92"/>
    <w:rsid w:val="00886AED"/>
    <w:rsid w:val="008907BF"/>
    <w:rsid w:val="00890BB1"/>
    <w:rsid w:val="00892472"/>
    <w:rsid w:val="0089351C"/>
    <w:rsid w:val="0089740E"/>
    <w:rsid w:val="008B0FFA"/>
    <w:rsid w:val="008B20F8"/>
    <w:rsid w:val="008D2AA5"/>
    <w:rsid w:val="008D5432"/>
    <w:rsid w:val="008D722B"/>
    <w:rsid w:val="008E13FD"/>
    <w:rsid w:val="008E6461"/>
    <w:rsid w:val="008F2410"/>
    <w:rsid w:val="008F733F"/>
    <w:rsid w:val="008F75CE"/>
    <w:rsid w:val="0090168B"/>
    <w:rsid w:val="00906BB1"/>
    <w:rsid w:val="0091626B"/>
    <w:rsid w:val="00917852"/>
    <w:rsid w:val="00930344"/>
    <w:rsid w:val="009314D2"/>
    <w:rsid w:val="00932CE5"/>
    <w:rsid w:val="0093529E"/>
    <w:rsid w:val="00941755"/>
    <w:rsid w:val="00944A2F"/>
    <w:rsid w:val="00955904"/>
    <w:rsid w:val="00964754"/>
    <w:rsid w:val="00966059"/>
    <w:rsid w:val="009722AE"/>
    <w:rsid w:val="00974CF6"/>
    <w:rsid w:val="00975B6D"/>
    <w:rsid w:val="00983BC1"/>
    <w:rsid w:val="00984DA4"/>
    <w:rsid w:val="009868DE"/>
    <w:rsid w:val="00992928"/>
    <w:rsid w:val="009B3F72"/>
    <w:rsid w:val="009B5D2A"/>
    <w:rsid w:val="009C0554"/>
    <w:rsid w:val="009C2534"/>
    <w:rsid w:val="009D5D20"/>
    <w:rsid w:val="009E24F8"/>
    <w:rsid w:val="009E51E3"/>
    <w:rsid w:val="009F4492"/>
    <w:rsid w:val="00A02051"/>
    <w:rsid w:val="00A06EEA"/>
    <w:rsid w:val="00A10062"/>
    <w:rsid w:val="00A15FAC"/>
    <w:rsid w:val="00A17270"/>
    <w:rsid w:val="00A2318B"/>
    <w:rsid w:val="00A34008"/>
    <w:rsid w:val="00A435D2"/>
    <w:rsid w:val="00A455C2"/>
    <w:rsid w:val="00A45719"/>
    <w:rsid w:val="00A549C9"/>
    <w:rsid w:val="00A6304B"/>
    <w:rsid w:val="00A637B8"/>
    <w:rsid w:val="00A676DA"/>
    <w:rsid w:val="00A765D3"/>
    <w:rsid w:val="00A876B4"/>
    <w:rsid w:val="00A91E53"/>
    <w:rsid w:val="00A952EC"/>
    <w:rsid w:val="00AA1DB9"/>
    <w:rsid w:val="00AA4D6D"/>
    <w:rsid w:val="00AA7C05"/>
    <w:rsid w:val="00AB0967"/>
    <w:rsid w:val="00AB3B09"/>
    <w:rsid w:val="00AB3F47"/>
    <w:rsid w:val="00AB4C54"/>
    <w:rsid w:val="00AE1498"/>
    <w:rsid w:val="00AE4F58"/>
    <w:rsid w:val="00B04BEB"/>
    <w:rsid w:val="00B10A36"/>
    <w:rsid w:val="00B3569E"/>
    <w:rsid w:val="00B549C1"/>
    <w:rsid w:val="00B706AC"/>
    <w:rsid w:val="00B74815"/>
    <w:rsid w:val="00B759D1"/>
    <w:rsid w:val="00B802C6"/>
    <w:rsid w:val="00B805C2"/>
    <w:rsid w:val="00B90FD3"/>
    <w:rsid w:val="00B936AF"/>
    <w:rsid w:val="00BA2774"/>
    <w:rsid w:val="00BB494A"/>
    <w:rsid w:val="00BC6311"/>
    <w:rsid w:val="00BC6C17"/>
    <w:rsid w:val="00BC7668"/>
    <w:rsid w:val="00BD0893"/>
    <w:rsid w:val="00BD4A24"/>
    <w:rsid w:val="00BE0612"/>
    <w:rsid w:val="00BE38EE"/>
    <w:rsid w:val="00BE6B22"/>
    <w:rsid w:val="00BF040C"/>
    <w:rsid w:val="00BF273E"/>
    <w:rsid w:val="00C006EC"/>
    <w:rsid w:val="00C0618E"/>
    <w:rsid w:val="00C070B8"/>
    <w:rsid w:val="00C12788"/>
    <w:rsid w:val="00C1297F"/>
    <w:rsid w:val="00C1636E"/>
    <w:rsid w:val="00C16A90"/>
    <w:rsid w:val="00C2320E"/>
    <w:rsid w:val="00C25870"/>
    <w:rsid w:val="00C413D4"/>
    <w:rsid w:val="00C425A1"/>
    <w:rsid w:val="00C528B6"/>
    <w:rsid w:val="00C53CAA"/>
    <w:rsid w:val="00C57631"/>
    <w:rsid w:val="00C64270"/>
    <w:rsid w:val="00C737C3"/>
    <w:rsid w:val="00C77B39"/>
    <w:rsid w:val="00C8036E"/>
    <w:rsid w:val="00C96E92"/>
    <w:rsid w:val="00CA4775"/>
    <w:rsid w:val="00CA6DE7"/>
    <w:rsid w:val="00CB5480"/>
    <w:rsid w:val="00CC0DBD"/>
    <w:rsid w:val="00CD5285"/>
    <w:rsid w:val="00CE1256"/>
    <w:rsid w:val="00CE2948"/>
    <w:rsid w:val="00CE744F"/>
    <w:rsid w:val="00CF26C3"/>
    <w:rsid w:val="00D04E96"/>
    <w:rsid w:val="00D16069"/>
    <w:rsid w:val="00D163E6"/>
    <w:rsid w:val="00D25346"/>
    <w:rsid w:val="00D32DD1"/>
    <w:rsid w:val="00D42274"/>
    <w:rsid w:val="00D478EE"/>
    <w:rsid w:val="00D5139A"/>
    <w:rsid w:val="00D52112"/>
    <w:rsid w:val="00D5329B"/>
    <w:rsid w:val="00D60C40"/>
    <w:rsid w:val="00D60F51"/>
    <w:rsid w:val="00D8107F"/>
    <w:rsid w:val="00D82A3E"/>
    <w:rsid w:val="00D95FB2"/>
    <w:rsid w:val="00DA6970"/>
    <w:rsid w:val="00DB2D53"/>
    <w:rsid w:val="00DB6D1C"/>
    <w:rsid w:val="00DC11E3"/>
    <w:rsid w:val="00DC273D"/>
    <w:rsid w:val="00DD0A06"/>
    <w:rsid w:val="00DD1455"/>
    <w:rsid w:val="00DD4722"/>
    <w:rsid w:val="00E00CD3"/>
    <w:rsid w:val="00E0139D"/>
    <w:rsid w:val="00E02E74"/>
    <w:rsid w:val="00E07A6F"/>
    <w:rsid w:val="00E11A4E"/>
    <w:rsid w:val="00E1389C"/>
    <w:rsid w:val="00E2140E"/>
    <w:rsid w:val="00E24B05"/>
    <w:rsid w:val="00E26621"/>
    <w:rsid w:val="00E30D0D"/>
    <w:rsid w:val="00E30D56"/>
    <w:rsid w:val="00E57040"/>
    <w:rsid w:val="00E663A8"/>
    <w:rsid w:val="00E73B31"/>
    <w:rsid w:val="00E745E1"/>
    <w:rsid w:val="00E92D01"/>
    <w:rsid w:val="00EA3279"/>
    <w:rsid w:val="00EA4947"/>
    <w:rsid w:val="00EA51E1"/>
    <w:rsid w:val="00EA7B42"/>
    <w:rsid w:val="00EB39E3"/>
    <w:rsid w:val="00ED09AF"/>
    <w:rsid w:val="00ED58B4"/>
    <w:rsid w:val="00ED660F"/>
    <w:rsid w:val="00EE25FB"/>
    <w:rsid w:val="00EE2CD7"/>
    <w:rsid w:val="00EF41B7"/>
    <w:rsid w:val="00F04F20"/>
    <w:rsid w:val="00F06B9A"/>
    <w:rsid w:val="00F14D6C"/>
    <w:rsid w:val="00F16239"/>
    <w:rsid w:val="00F25E1E"/>
    <w:rsid w:val="00F268FD"/>
    <w:rsid w:val="00F40C9E"/>
    <w:rsid w:val="00F43E05"/>
    <w:rsid w:val="00F50E75"/>
    <w:rsid w:val="00F6248C"/>
    <w:rsid w:val="00F65017"/>
    <w:rsid w:val="00F82A3E"/>
    <w:rsid w:val="00F92F34"/>
    <w:rsid w:val="00FA23B0"/>
    <w:rsid w:val="00FA3866"/>
    <w:rsid w:val="00FA6D97"/>
    <w:rsid w:val="00FC0E33"/>
    <w:rsid w:val="00FC3E33"/>
    <w:rsid w:val="00FC7D54"/>
    <w:rsid w:val="00FE257E"/>
    <w:rsid w:val="00FF5462"/>
    <w:rsid w:val="1F1FA1C0"/>
    <w:rsid w:val="48DC2495"/>
    <w:rsid w:val="5BECC4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line="240" w:lineRule="auto"/>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character" w:styleId="CommentReference">
    <w:name w:val="annotation reference"/>
    <w:basedOn w:val="DefaultParagraphFont"/>
    <w:uiPriority w:val="99"/>
    <w:semiHidden/>
    <w:unhideWhenUsed/>
    <w:rsid w:val="008B0FFA"/>
    <w:rPr>
      <w:rFonts w:cs="Times New Roman"/>
      <w:sz w:val="16"/>
      <w:szCs w:val="16"/>
    </w:rPr>
  </w:style>
  <w:style w:type="paragraph" w:styleId="CommentText">
    <w:name w:val="annotation text"/>
    <w:basedOn w:val="Normal"/>
    <w:link w:val="CommentTextChar"/>
    <w:uiPriority w:val="99"/>
    <w:unhideWhenUsed/>
    <w:rsid w:val="008B0FFA"/>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rsid w:val="008B0FFA"/>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4B05"/>
    <w:rPr>
      <w:rFonts w:eastAsiaTheme="minorHAnsi"/>
      <w:b/>
      <w:bCs/>
    </w:rPr>
  </w:style>
  <w:style w:type="character" w:customStyle="1" w:styleId="CommentSubjectChar">
    <w:name w:val="Comment Subject Char"/>
    <w:basedOn w:val="CommentTextChar"/>
    <w:link w:val="CommentSubject"/>
    <w:uiPriority w:val="99"/>
    <w:semiHidden/>
    <w:rsid w:val="00E24B05"/>
    <w:rPr>
      <w:rFonts w:eastAsia="Times New Roman"/>
      <w:b/>
      <w:bCs/>
      <w:sz w:val="20"/>
      <w:szCs w:val="20"/>
    </w:rPr>
  </w:style>
  <w:style w:type="character" w:styleId="Hyperlink">
    <w:name w:val="Hyperlink"/>
    <w:basedOn w:val="DefaultParagraphFont"/>
    <w:uiPriority w:val="99"/>
    <w:unhideWhenUsed/>
    <w:rsid w:val="00A02051"/>
    <w:rPr>
      <w:color w:val="0563C1" w:themeColor="hyperlink"/>
      <w:u w:val="single"/>
    </w:rPr>
  </w:style>
  <w:style w:type="character" w:styleId="UnresolvedMention">
    <w:name w:val="Unresolved Mention"/>
    <w:basedOn w:val="DefaultParagraphFont"/>
    <w:uiPriority w:val="99"/>
    <w:unhideWhenUsed/>
    <w:rsid w:val="00A02051"/>
    <w:rPr>
      <w:color w:val="605E5C"/>
      <w:shd w:val="clear" w:color="auto" w:fill="E1DFDD"/>
    </w:rPr>
  </w:style>
  <w:style w:type="paragraph" w:customStyle="1" w:styleId="Instructionaltext">
    <w:name w:val="Instructional text"/>
    <w:basedOn w:val="Normal"/>
    <w:link w:val="InstructionaltextChar"/>
    <w:qFormat/>
    <w:rsid w:val="004D5765"/>
    <w:pPr>
      <w:spacing w:before="120"/>
    </w:pPr>
    <w:rPr>
      <w:rFonts w:ascii="Franklin Gothic Book" w:hAnsi="Franklin Gothic Book" w:cstheme="minorBidi"/>
      <w:color w:val="258221"/>
      <w:sz w:val="22"/>
      <w:szCs w:val="22"/>
    </w:rPr>
  </w:style>
  <w:style w:type="character" w:customStyle="1" w:styleId="InstructionaltextChar">
    <w:name w:val="Instructional text Char"/>
    <w:basedOn w:val="DefaultParagraphFont"/>
    <w:link w:val="Instructionaltext"/>
    <w:rsid w:val="004D5765"/>
    <w:rPr>
      <w:rFonts w:ascii="Franklin Gothic Book" w:hAnsi="Franklin Gothic Book" w:cstheme="minorBidi"/>
      <w:color w:val="258221"/>
      <w:sz w:val="22"/>
      <w:szCs w:val="22"/>
    </w:rPr>
  </w:style>
  <w:style w:type="paragraph" w:styleId="Revision">
    <w:name w:val="Revision"/>
    <w:hidden/>
    <w:uiPriority w:val="99"/>
    <w:semiHidden/>
    <w:rsid w:val="00AB4C54"/>
    <w:pPr>
      <w:spacing w:after="0" w:line="240" w:lineRule="auto"/>
    </w:pPr>
  </w:style>
  <w:style w:type="paragraph" w:styleId="ListParagraph">
    <w:name w:val="List Paragraph"/>
    <w:basedOn w:val="Normal"/>
    <w:uiPriority w:val="34"/>
    <w:qFormat/>
    <w:rsid w:val="002244EF"/>
    <w:pPr>
      <w:ind w:left="720"/>
      <w:contextualSpacing/>
    </w:pPr>
  </w:style>
  <w:style w:type="character" w:styleId="Mention">
    <w:name w:val="Mention"/>
    <w:basedOn w:val="DefaultParagraphFont"/>
    <w:uiPriority w:val="99"/>
    <w:unhideWhenUsed/>
    <w:rsid w:val="00A637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81521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linicaltrials.gov/show/NCT03548207"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qld.gov.au/__data/assets/pdf_file/0035/993536/NHRA-addendum-2020-2025.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ECA3660A9E6844A6283D382B1ED595" ma:contentTypeVersion="10" ma:contentTypeDescription="Create a new document." ma:contentTypeScope="" ma:versionID="d46051424a5e857a870d5fa441eb2c04">
  <xsd:schema xmlns:xsd="http://www.w3.org/2001/XMLSchema" xmlns:xs="http://www.w3.org/2001/XMLSchema" xmlns:p="http://schemas.microsoft.com/office/2006/metadata/properties" xmlns:ns2="fcf7a6c0-b028-428b-8f28-9b06d722bf06" xmlns:ns3="e7d54a9e-4aca-451b-99db-b94fe438e987" targetNamespace="http://schemas.microsoft.com/office/2006/metadata/properties" ma:root="true" ma:fieldsID="8d40bd8196293737f3266c562dce74b7" ns2:_="" ns3:_="">
    <xsd:import namespace="fcf7a6c0-b028-428b-8f28-9b06d722bf06"/>
    <xsd:import namespace="e7d54a9e-4aca-451b-99db-b94fe438e9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7a6c0-b028-428b-8f28-9b06d722b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54a9e-4aca-451b-99db-b94fe438e9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b094059-5103-4cd0-8820-a17a44f45f06}" ma:internalName="TaxCatchAll" ma:showField="CatchAllData" ma:web="e7d54a9e-4aca-451b-99db-b94fe438e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54a9e-4aca-451b-99db-b94fe438e987" xsi:nil="true"/>
    <lcf76f155ced4ddcb4097134ff3c332f xmlns="fcf7a6c0-b028-428b-8f28-9b06d722bf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93F84-1188-4A2F-9E44-AEDF5A087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7a6c0-b028-428b-8f28-9b06d722bf06"/>
    <ds:schemaRef ds:uri="e7d54a9e-4aca-451b-99db-b94fe4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71567-8A48-4B24-8639-5F02DB23985A}">
  <ds:schemaRefs>
    <ds:schemaRef ds:uri="http://schemas.microsoft.com/sharepoint/v3/contenttype/forms"/>
  </ds:schemaRefs>
</ds:datastoreItem>
</file>

<file path=customXml/itemProps3.xml><?xml version="1.0" encoding="utf-8"?>
<ds:datastoreItem xmlns:ds="http://schemas.openxmlformats.org/officeDocument/2006/customXml" ds:itemID="{D33B3383-B4FD-4C78-AF94-B98269C8E5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d54a9e-4aca-451b-99db-b94fe438e987"/>
    <ds:schemaRef ds:uri="http://purl.org/dc/elements/1.1/"/>
    <ds:schemaRef ds:uri="http://schemas.microsoft.com/office/2006/metadata/properties"/>
    <ds:schemaRef ds:uri="fcf7a6c0-b028-428b-8f28-9b06d722bf06"/>
    <ds:schemaRef ds:uri="http://www.w3.org/XML/1998/namespace"/>
    <ds:schemaRef ds:uri="http://purl.org/dc/dcmitype/"/>
  </ds:schemaRefs>
</ds:datastoreItem>
</file>

<file path=customXml/itemProps4.xml><?xml version="1.0" encoding="utf-8"?>
<ds:datastoreItem xmlns:ds="http://schemas.openxmlformats.org/officeDocument/2006/customXml" ds:itemID="{C74B3ADB-77A4-4DC6-8294-9830ADF9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8956</Words>
  <Characters>51054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59891</CharactersWithSpaces>
  <SharedDoc>false</SharedDoc>
  <HLinks>
    <vt:vector size="18" baseType="variant">
      <vt:variant>
        <vt:i4>3145837</vt:i4>
      </vt:variant>
      <vt:variant>
        <vt:i4>105</vt:i4>
      </vt:variant>
      <vt:variant>
        <vt:i4>0</vt:i4>
      </vt:variant>
      <vt:variant>
        <vt:i4>5</vt:i4>
      </vt:variant>
      <vt:variant>
        <vt:lpwstr>https://clinicaltrials.gov/show/NCT03548207</vt:lpwstr>
      </vt:variant>
      <vt:variant>
        <vt:lpwstr/>
      </vt:variant>
      <vt:variant>
        <vt:i4>5439536</vt:i4>
      </vt:variant>
      <vt:variant>
        <vt:i4>102</vt:i4>
      </vt:variant>
      <vt:variant>
        <vt:i4>0</vt:i4>
      </vt:variant>
      <vt:variant>
        <vt:i4>5</vt:i4>
      </vt:variant>
      <vt:variant>
        <vt:lpwstr>https://www.health.qld.gov.au/__data/assets/pdf_file/0035/993536/NHRA-addendum-2020-2025.pdf</vt:lpwstr>
      </vt:variant>
      <vt:variant>
        <vt:lpwstr/>
      </vt:variant>
      <vt:variant>
        <vt:i4>721016</vt:i4>
      </vt:variant>
      <vt:variant>
        <vt:i4>0</vt:i4>
      </vt:variant>
      <vt:variant>
        <vt:i4>0</vt:i4>
      </vt:variant>
      <vt:variant>
        <vt:i4>5</vt:i4>
      </vt:variant>
      <vt:variant>
        <vt:lpwstr>https://ascopubs.org/doi/abs/10.1200/JCO.2023.41.16_suppl.8009?af=R</vt:lpwstr>
      </vt:variant>
      <vt:variant>
        <vt:lpwstr>:%7E:text=At%20the%20final%20protocol%2Dspecified,%25%20and%2070%25%2C%20respectively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2023-06-22T02:16:00Z</dcterms:created>
  <dcterms:modified xsi:type="dcterms:W3CDTF">2023-07-14T00:22:00Z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0x0101007FECA3660A9E6844A6283D382B1ED595</vt:lpwstr>
  </property>
  <property fmtid="{D5CDD505-2E9C-101B-9397-08002B2CF9AE}" pid="3" name="MediaServiceImageTags">
    <vt:lpwstr/>
  </property>
</Properties>
</file>