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1576E" w14:textId="2F85A736" w:rsidR="004A34F2" w:rsidRDefault="00A36DE2" w:rsidP="000D5C36">
      <w:pPr>
        <w:spacing w:before="120" w:after="120"/>
        <w:jc w:val="center"/>
        <w:rPr>
          <w:b/>
          <w:color w:val="000000" w:themeColor="text1"/>
          <w:sz w:val="32"/>
          <w:szCs w:val="24"/>
        </w:rPr>
      </w:pPr>
      <w:r w:rsidRPr="00A36DE2">
        <w:rPr>
          <w:noProof/>
        </w:rPr>
        <w:drawing>
          <wp:inline distT="0" distB="0" distL="0" distR="0" wp14:anchorId="41E963D7" wp14:editId="5AD47AB3">
            <wp:extent cx="5731510" cy="1805940"/>
            <wp:effectExtent l="0" t="0" r="0" b="0"/>
            <wp:docPr id="1" name="Picture 1" descr="M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A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05940"/>
                    </a:xfrm>
                    <a:prstGeom prst="rect">
                      <a:avLst/>
                    </a:prstGeom>
                    <a:noFill/>
                    <a:ln>
                      <a:noFill/>
                    </a:ln>
                  </pic:spPr>
                </pic:pic>
              </a:graphicData>
            </a:graphic>
          </wp:inline>
        </w:drawing>
      </w:r>
    </w:p>
    <w:p w14:paraId="5CD743DD" w14:textId="7AFEABBD" w:rsidR="0050188B" w:rsidRPr="00A36DE2" w:rsidRDefault="00A36DE2" w:rsidP="00A36DE2">
      <w:pPr>
        <w:pStyle w:val="Subtitle"/>
        <w:spacing w:after="0"/>
      </w:pPr>
      <w:r>
        <w:t xml:space="preserve">Application </w:t>
      </w:r>
      <w:r w:rsidR="004A34F2" w:rsidRPr="004A34F2">
        <w:t>15</w:t>
      </w:r>
      <w:r w:rsidR="00DA06B6">
        <w:t>64</w:t>
      </w:r>
      <w:r w:rsidR="004A34F2" w:rsidRPr="004A34F2">
        <w:t xml:space="preserve"> – </w:t>
      </w:r>
      <w:r w:rsidR="004A34F2" w:rsidRPr="00A36DE2">
        <w:t>Review of Immunoglobulin (Ig) for</w:t>
      </w:r>
      <w:r>
        <w:t xml:space="preserve"> </w:t>
      </w:r>
      <w:r w:rsidR="00EF342F" w:rsidRPr="00A36DE2">
        <w:t>Chronic Inflammatory Demyelinating Polyneuropathy</w:t>
      </w:r>
      <w:r w:rsidR="004A34F2" w:rsidRPr="00A36DE2">
        <w:t xml:space="preserve"> (</w:t>
      </w:r>
      <w:r w:rsidR="00DA06B6" w:rsidRPr="00A36DE2">
        <w:t>CIDP</w:t>
      </w:r>
      <w:r w:rsidR="004A34F2" w:rsidRPr="00A36DE2">
        <w:t>)</w:t>
      </w:r>
    </w:p>
    <w:p w14:paraId="1F456B50" w14:textId="188D2CDC" w:rsidR="006B241A" w:rsidRPr="00A36DE2" w:rsidRDefault="00065623" w:rsidP="00A36DE2">
      <w:pPr>
        <w:tabs>
          <w:tab w:val="left" w:pos="3686"/>
        </w:tabs>
        <w:rPr>
          <w:rFonts w:ascii="Arial" w:hAnsi="Arial" w:cs="Arial"/>
          <w:b/>
          <w:szCs w:val="24"/>
        </w:rPr>
      </w:pPr>
      <w:r w:rsidRPr="00A36DE2">
        <w:rPr>
          <w:rFonts w:ascii="Arial" w:hAnsi="Arial" w:cs="Arial"/>
          <w:b/>
          <w:szCs w:val="24"/>
        </w:rPr>
        <w:t>Applicant:</w:t>
      </w:r>
      <w:r w:rsidR="0065529B" w:rsidRPr="00A36DE2">
        <w:rPr>
          <w:rFonts w:ascii="Arial" w:hAnsi="Arial" w:cs="Arial"/>
          <w:b/>
          <w:szCs w:val="24"/>
        </w:rPr>
        <w:t xml:space="preserve"> </w:t>
      </w:r>
      <w:r w:rsidR="004A34F2" w:rsidRPr="00A36DE2">
        <w:rPr>
          <w:rFonts w:ascii="Arial" w:hAnsi="Arial" w:cs="Arial"/>
          <w:b/>
          <w:szCs w:val="24"/>
        </w:rPr>
        <w:t>National Blood Authority (NBA)</w:t>
      </w:r>
    </w:p>
    <w:p w14:paraId="414AE06F" w14:textId="69BAA591" w:rsidR="00165433" w:rsidRDefault="00676C49" w:rsidP="00A36DE2">
      <w:pPr>
        <w:tabs>
          <w:tab w:val="left" w:pos="3686"/>
        </w:tabs>
        <w:rPr>
          <w:rFonts w:ascii="Arial" w:hAnsi="Arial" w:cs="Arial"/>
          <w:b/>
          <w:szCs w:val="24"/>
        </w:rPr>
      </w:pPr>
      <w:r w:rsidRPr="00A36DE2">
        <w:rPr>
          <w:rFonts w:ascii="Arial" w:hAnsi="Arial" w:cs="Arial"/>
          <w:b/>
          <w:szCs w:val="24"/>
        </w:rPr>
        <w:t xml:space="preserve">Date of </w:t>
      </w:r>
      <w:r w:rsidR="00A36DE2">
        <w:rPr>
          <w:rFonts w:ascii="Arial" w:hAnsi="Arial" w:cs="Arial"/>
          <w:b/>
          <w:szCs w:val="24"/>
        </w:rPr>
        <w:t>MSAC</w:t>
      </w:r>
      <w:r w:rsidRPr="00A36DE2">
        <w:rPr>
          <w:rFonts w:ascii="Arial" w:hAnsi="Arial" w:cs="Arial"/>
          <w:b/>
          <w:szCs w:val="24"/>
        </w:rPr>
        <w:t xml:space="preserve"> </w:t>
      </w:r>
      <w:r w:rsidR="00065623" w:rsidRPr="00A36DE2">
        <w:rPr>
          <w:rFonts w:ascii="Arial" w:hAnsi="Arial" w:cs="Arial"/>
          <w:b/>
          <w:szCs w:val="24"/>
        </w:rPr>
        <w:t>consideration:</w:t>
      </w:r>
      <w:r w:rsidR="00A75E27" w:rsidRPr="00A36DE2">
        <w:rPr>
          <w:rFonts w:ascii="Arial" w:hAnsi="Arial" w:cs="Arial"/>
          <w:b/>
          <w:szCs w:val="24"/>
        </w:rPr>
        <w:t xml:space="preserve"> </w:t>
      </w:r>
      <w:r w:rsidR="00FA1486">
        <w:rPr>
          <w:rFonts w:ascii="Arial" w:hAnsi="Arial" w:cs="Arial"/>
          <w:b/>
          <w:szCs w:val="24"/>
        </w:rPr>
        <w:t>MSAC 82</w:t>
      </w:r>
      <w:r w:rsidR="00FA1486" w:rsidRPr="00425371">
        <w:rPr>
          <w:rFonts w:ascii="Arial" w:hAnsi="Arial" w:cs="Arial"/>
          <w:b/>
          <w:szCs w:val="24"/>
          <w:vertAlign w:val="superscript"/>
        </w:rPr>
        <w:t>nd</w:t>
      </w:r>
      <w:r w:rsidR="00FA1486">
        <w:rPr>
          <w:rFonts w:ascii="Arial" w:hAnsi="Arial" w:cs="Arial"/>
          <w:b/>
          <w:szCs w:val="24"/>
        </w:rPr>
        <w:t xml:space="preserve"> Meeting, </w:t>
      </w:r>
      <w:r w:rsidR="00A36DE2">
        <w:rPr>
          <w:rFonts w:ascii="Arial" w:hAnsi="Arial" w:cs="Arial"/>
          <w:b/>
          <w:szCs w:val="24"/>
        </w:rPr>
        <w:t>29-30 July 2021</w:t>
      </w:r>
    </w:p>
    <w:p w14:paraId="73FEF9B2" w14:textId="77DAA20B" w:rsidR="001C19D7" w:rsidRPr="001C19D7" w:rsidRDefault="001C19D7" w:rsidP="001C19D7">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08A48B3" w14:textId="512D5412" w:rsidR="00576ED3" w:rsidRPr="00A36DE2" w:rsidRDefault="00F00E75" w:rsidP="00A36DE2">
      <w:pPr>
        <w:pStyle w:val="Heading1"/>
        <w:spacing w:before="360" w:after="120"/>
        <w:rPr>
          <w:rFonts w:ascii="Arial" w:hAnsi="Arial" w:cs="Arial"/>
        </w:rPr>
      </w:pPr>
      <w:r w:rsidRPr="00A36DE2">
        <w:rPr>
          <w:rFonts w:ascii="Arial" w:hAnsi="Arial" w:cs="Arial"/>
        </w:rPr>
        <w:t>P</w:t>
      </w:r>
      <w:r w:rsidR="00065623" w:rsidRPr="00A36DE2">
        <w:rPr>
          <w:rFonts w:ascii="Arial" w:hAnsi="Arial" w:cs="Arial"/>
        </w:rPr>
        <w:t>urpose of application</w:t>
      </w:r>
    </w:p>
    <w:p w14:paraId="1CAE6519" w14:textId="354EE277" w:rsidR="00780B26" w:rsidRDefault="006A69D2" w:rsidP="00A36DE2">
      <w:pPr>
        <w:tabs>
          <w:tab w:val="left" w:pos="720"/>
          <w:tab w:val="left" w:pos="1140"/>
        </w:tabs>
        <w:spacing w:after="120"/>
        <w:rPr>
          <w:szCs w:val="24"/>
        </w:rPr>
      </w:pPr>
      <w:r w:rsidRPr="006A69D2">
        <w:rPr>
          <w:szCs w:val="24"/>
        </w:rPr>
        <w:t xml:space="preserve">This Post-market Review requests MSAC advice on the Government funded supply of replacement human gamma immunoglobulin (IgG) therapy under the National Blood Arrangements for the treatment of </w:t>
      </w:r>
      <w:r w:rsidR="00862DFB" w:rsidRPr="00862DFB">
        <w:rPr>
          <w:szCs w:val="24"/>
        </w:rPr>
        <w:t>Chronic Inflammatory Demyelinating Polyneuropathy</w:t>
      </w:r>
      <w:r>
        <w:rPr>
          <w:szCs w:val="24"/>
        </w:rPr>
        <w:t xml:space="preserve"> (</w:t>
      </w:r>
      <w:r w:rsidR="00702BD7">
        <w:rPr>
          <w:szCs w:val="24"/>
        </w:rPr>
        <w:t>CIDP</w:t>
      </w:r>
      <w:r>
        <w:rPr>
          <w:szCs w:val="24"/>
        </w:rPr>
        <w:t>)</w:t>
      </w:r>
      <w:r w:rsidRPr="006A69D2">
        <w:rPr>
          <w:szCs w:val="24"/>
        </w:rPr>
        <w:t>. The application (referral) was received by the Department of Health from the National Blood Authority (NBA).</w:t>
      </w:r>
    </w:p>
    <w:p w14:paraId="2E52BBCF" w14:textId="6E29C60F" w:rsidR="0024194E" w:rsidRPr="0024194E" w:rsidRDefault="0024194E" w:rsidP="00A36DE2">
      <w:pPr>
        <w:tabs>
          <w:tab w:val="left" w:pos="720"/>
          <w:tab w:val="left" w:pos="1140"/>
        </w:tabs>
        <w:spacing w:after="120"/>
        <w:rPr>
          <w:i/>
          <w:szCs w:val="24"/>
        </w:rPr>
      </w:pPr>
      <w:r>
        <w:rPr>
          <w:i/>
          <w:szCs w:val="24"/>
        </w:rPr>
        <w:t>Previous consideration of this application</w:t>
      </w:r>
    </w:p>
    <w:p w14:paraId="4691679B" w14:textId="1C95F8A2" w:rsidR="00780B26" w:rsidRDefault="00780B26" w:rsidP="000D5C36">
      <w:pPr>
        <w:tabs>
          <w:tab w:val="left" w:pos="720"/>
          <w:tab w:val="left" w:pos="1140"/>
        </w:tabs>
        <w:spacing w:before="120" w:after="120"/>
        <w:rPr>
          <w:szCs w:val="24"/>
        </w:rPr>
      </w:pPr>
      <w:r>
        <w:rPr>
          <w:szCs w:val="24"/>
        </w:rPr>
        <w:t xml:space="preserve">The first </w:t>
      </w:r>
      <w:r w:rsidR="00A71845">
        <w:rPr>
          <w:szCs w:val="24"/>
        </w:rPr>
        <w:t>Application 1564</w:t>
      </w:r>
      <w:r w:rsidR="0024194E">
        <w:rPr>
          <w:szCs w:val="24"/>
        </w:rPr>
        <w:t xml:space="preserve"> for CIDP was considered </w:t>
      </w:r>
      <w:r>
        <w:rPr>
          <w:szCs w:val="24"/>
        </w:rPr>
        <w:t xml:space="preserve">by ESC </w:t>
      </w:r>
      <w:r w:rsidR="00CD7E7B">
        <w:rPr>
          <w:szCs w:val="24"/>
        </w:rPr>
        <w:t>in February 2020</w:t>
      </w:r>
      <w:r>
        <w:rPr>
          <w:szCs w:val="24"/>
        </w:rPr>
        <w:t xml:space="preserve">, and by MSAC </w:t>
      </w:r>
      <w:r w:rsidR="00E52FD6">
        <w:rPr>
          <w:szCs w:val="24"/>
        </w:rPr>
        <w:t>in April 2020</w:t>
      </w:r>
      <w:r>
        <w:rPr>
          <w:szCs w:val="24"/>
        </w:rPr>
        <w:t xml:space="preserve">. MSAC </w:t>
      </w:r>
      <w:r w:rsidR="00CA5A8A">
        <w:rPr>
          <w:szCs w:val="24"/>
        </w:rPr>
        <w:t xml:space="preserve">deferred providing advice and </w:t>
      </w:r>
      <w:r>
        <w:rPr>
          <w:szCs w:val="24"/>
        </w:rPr>
        <w:t>requested</w:t>
      </w:r>
      <w:r w:rsidR="00E52FD6">
        <w:rPr>
          <w:szCs w:val="24"/>
        </w:rPr>
        <w:t>:</w:t>
      </w:r>
    </w:p>
    <w:p w14:paraId="372E5E4F" w14:textId="2EDD1F72" w:rsidR="00E52FD6" w:rsidRPr="00E52FD6" w:rsidRDefault="00E52FD6" w:rsidP="000D5C36">
      <w:pPr>
        <w:pStyle w:val="ListParagraph"/>
        <w:numPr>
          <w:ilvl w:val="0"/>
          <w:numId w:val="6"/>
        </w:numPr>
        <w:tabs>
          <w:tab w:val="left" w:pos="720"/>
          <w:tab w:val="left" w:pos="1140"/>
        </w:tabs>
        <w:spacing w:before="120" w:after="120"/>
        <w:rPr>
          <w:szCs w:val="24"/>
        </w:rPr>
      </w:pPr>
      <w:r w:rsidRPr="00E52FD6">
        <w:rPr>
          <w:szCs w:val="24"/>
        </w:rPr>
        <w:t>an update of the systematic literature review on the safety and effectiveness of Ig for CIDP (including IVIg and SCIg), especially with relation to the safety of comparators</w:t>
      </w:r>
    </w:p>
    <w:p w14:paraId="50BA81B2" w14:textId="1F065DF6" w:rsidR="00E52FD6" w:rsidRDefault="00E52FD6" w:rsidP="000D5C36">
      <w:pPr>
        <w:pStyle w:val="ListParagraph"/>
        <w:numPr>
          <w:ilvl w:val="0"/>
          <w:numId w:val="6"/>
        </w:numPr>
        <w:tabs>
          <w:tab w:val="left" w:pos="720"/>
          <w:tab w:val="left" w:pos="1140"/>
        </w:tabs>
        <w:spacing w:before="120" w:after="120"/>
        <w:rPr>
          <w:szCs w:val="24"/>
        </w:rPr>
      </w:pPr>
      <w:r w:rsidRPr="00E52FD6">
        <w:rPr>
          <w:szCs w:val="24"/>
        </w:rPr>
        <w:t>revised economic modelling and evaluation of Ig for the management of patients with CIDP, including the development of three distinct models using three different comparators, and addressing specific issues raised by MSAC.</w:t>
      </w:r>
    </w:p>
    <w:p w14:paraId="524F6874" w14:textId="3C98AC75" w:rsidR="00A95558" w:rsidRPr="00A95558" w:rsidRDefault="00A95558" w:rsidP="00A95558">
      <w:pPr>
        <w:tabs>
          <w:tab w:val="left" w:pos="720"/>
          <w:tab w:val="left" w:pos="1140"/>
        </w:tabs>
        <w:spacing w:before="120" w:after="120"/>
        <w:rPr>
          <w:szCs w:val="24"/>
        </w:rPr>
      </w:pPr>
      <w:r>
        <w:rPr>
          <w:szCs w:val="24"/>
        </w:rPr>
        <w:t xml:space="preserve">This reconsideration of the Application 1564 </w:t>
      </w:r>
      <w:r w:rsidRPr="00A71845">
        <w:rPr>
          <w:szCs w:val="24"/>
        </w:rPr>
        <w:t xml:space="preserve">examines recent evidence on the safety and effectiveness of Ig </w:t>
      </w:r>
      <w:r>
        <w:rPr>
          <w:szCs w:val="24"/>
        </w:rPr>
        <w:t xml:space="preserve">therapy and comparator treatments </w:t>
      </w:r>
      <w:r w:rsidRPr="00A71845">
        <w:rPr>
          <w:szCs w:val="24"/>
        </w:rPr>
        <w:t xml:space="preserve">for the management of CIDP. It also provides new economic modelling for the management of CIDP. </w:t>
      </w:r>
    </w:p>
    <w:p w14:paraId="26BF840D" w14:textId="77777777" w:rsidR="00A36DE2" w:rsidRPr="007D0728" w:rsidRDefault="00A36DE2" w:rsidP="00A36DE2">
      <w:pPr>
        <w:pStyle w:val="Heading1"/>
        <w:rPr>
          <w:rFonts w:ascii="Arial" w:hAnsi="Arial" w:cs="Arial"/>
        </w:rPr>
      </w:pPr>
      <w:bookmarkStart w:id="0" w:name="_Hlk82777256"/>
      <w:r w:rsidRPr="007D0728">
        <w:rPr>
          <w:rFonts w:ascii="Arial" w:hAnsi="Arial" w:cs="Arial"/>
        </w:rPr>
        <w:t>MSAC’s advice to the Minister</w:t>
      </w:r>
    </w:p>
    <w:p w14:paraId="2B104E64" w14:textId="4DA72AB1" w:rsidR="007E4ECE" w:rsidRDefault="002C2993" w:rsidP="002C2993">
      <w:pPr>
        <w:pStyle w:val="Default"/>
        <w:spacing w:after="240"/>
        <w:rPr>
          <w:rFonts w:ascii="Times New Roman" w:hAnsi="Times New Roman" w:cs="Times New Roman"/>
          <w:color w:val="auto"/>
          <w:szCs w:val="20"/>
        </w:rPr>
      </w:pPr>
      <w:r w:rsidRPr="002C2993">
        <w:rPr>
          <w:rFonts w:ascii="Times New Roman" w:hAnsi="Times New Roman" w:cs="Times New Roman"/>
          <w:color w:val="auto"/>
          <w:szCs w:val="20"/>
        </w:rPr>
        <w:t xml:space="preserve">After considering the strength of the available evidence in relation to the comparative safety, clinical </w:t>
      </w:r>
      <w:r w:rsidR="00BC59BD" w:rsidRPr="002C2993">
        <w:rPr>
          <w:rFonts w:ascii="Times New Roman" w:hAnsi="Times New Roman" w:cs="Times New Roman"/>
          <w:color w:val="auto"/>
          <w:szCs w:val="20"/>
        </w:rPr>
        <w:t>effectiveness,</w:t>
      </w:r>
      <w:r w:rsidRPr="002C2993">
        <w:rPr>
          <w:rFonts w:ascii="Times New Roman" w:hAnsi="Times New Roman" w:cs="Times New Roman"/>
          <w:color w:val="auto"/>
          <w:szCs w:val="20"/>
        </w:rPr>
        <w:t xml:space="preserve"> and cost-effectiveness, MSAC </w:t>
      </w:r>
      <w:r w:rsidR="007E4ECE">
        <w:rPr>
          <w:rFonts w:ascii="Times New Roman" w:hAnsi="Times New Roman" w:cs="Times New Roman"/>
          <w:color w:val="auto"/>
          <w:szCs w:val="20"/>
        </w:rPr>
        <w:t>advised that</w:t>
      </w:r>
      <w:r w:rsidRPr="002C2993">
        <w:rPr>
          <w:rFonts w:ascii="Times New Roman" w:hAnsi="Times New Roman" w:cs="Times New Roman"/>
          <w:color w:val="auto"/>
          <w:szCs w:val="20"/>
        </w:rPr>
        <w:t xml:space="preserve"> funding of Ig therapy for the treatment of </w:t>
      </w:r>
      <w:r>
        <w:rPr>
          <w:rFonts w:ascii="Times New Roman" w:hAnsi="Times New Roman" w:cs="Times New Roman"/>
          <w:color w:val="auto"/>
          <w:szCs w:val="20"/>
        </w:rPr>
        <w:t>CIDP</w:t>
      </w:r>
      <w:r w:rsidR="007E4ECE">
        <w:rPr>
          <w:rFonts w:ascii="Times New Roman" w:hAnsi="Times New Roman" w:cs="Times New Roman"/>
          <w:color w:val="auto"/>
          <w:szCs w:val="20"/>
        </w:rPr>
        <w:t xml:space="preserve"> should continue</w:t>
      </w:r>
      <w:r w:rsidR="00F32C60">
        <w:rPr>
          <w:rFonts w:ascii="Times New Roman" w:hAnsi="Times New Roman" w:cs="Times New Roman"/>
          <w:color w:val="auto"/>
          <w:szCs w:val="20"/>
        </w:rPr>
        <w:t xml:space="preserve"> on the basis that it appears safe and is already an accepted first-line treatment</w:t>
      </w:r>
      <w:r w:rsidR="00A461D7">
        <w:rPr>
          <w:rFonts w:ascii="Times New Roman" w:hAnsi="Times New Roman" w:cs="Times New Roman"/>
          <w:color w:val="auto"/>
          <w:szCs w:val="20"/>
        </w:rPr>
        <w:t xml:space="preserve"> in Australia</w:t>
      </w:r>
      <w:r w:rsidR="0093543C">
        <w:rPr>
          <w:rFonts w:ascii="Times New Roman" w:hAnsi="Times New Roman" w:cs="Times New Roman"/>
          <w:color w:val="auto"/>
          <w:szCs w:val="20"/>
        </w:rPr>
        <w:t xml:space="preserve">. </w:t>
      </w:r>
      <w:r w:rsidR="00F32C60">
        <w:rPr>
          <w:rFonts w:ascii="Times New Roman" w:hAnsi="Times New Roman" w:cs="Times New Roman"/>
          <w:color w:val="auto"/>
          <w:szCs w:val="20"/>
        </w:rPr>
        <w:t xml:space="preserve">However, MSAC was concerned about the size of the </w:t>
      </w:r>
      <w:r w:rsidR="00F32C60">
        <w:rPr>
          <w:rFonts w:ascii="Times New Roman" w:hAnsi="Times New Roman" w:cs="Times New Roman"/>
          <w:color w:val="auto"/>
          <w:szCs w:val="20"/>
        </w:rPr>
        <w:lastRenderedPageBreak/>
        <w:t>population receiving Ig therapy for CIDP compared to published estimates</w:t>
      </w:r>
      <w:r w:rsidR="00B0181D">
        <w:rPr>
          <w:rFonts w:ascii="Times New Roman" w:hAnsi="Times New Roman" w:cs="Times New Roman"/>
          <w:color w:val="auto"/>
          <w:szCs w:val="20"/>
        </w:rPr>
        <w:t xml:space="preserve"> of disease incidence and prevalence,</w:t>
      </w:r>
      <w:r w:rsidR="00F32C60">
        <w:rPr>
          <w:rFonts w:ascii="Times New Roman" w:hAnsi="Times New Roman" w:cs="Times New Roman"/>
          <w:color w:val="auto"/>
          <w:szCs w:val="20"/>
        </w:rPr>
        <w:t xml:space="preserve"> and advised that Ig therapy did not appear </w:t>
      </w:r>
      <w:r w:rsidR="007E4ECE">
        <w:rPr>
          <w:rFonts w:ascii="Times New Roman" w:hAnsi="Times New Roman" w:cs="Times New Roman"/>
          <w:color w:val="auto"/>
          <w:szCs w:val="20"/>
        </w:rPr>
        <w:t xml:space="preserve">acceptably cost-effective. </w:t>
      </w:r>
    </w:p>
    <w:p w14:paraId="782F5C23" w14:textId="3A65FDDB" w:rsidR="00A36DE2" w:rsidRDefault="007E4ECE" w:rsidP="00A36DE2">
      <w:pPr>
        <w:pStyle w:val="Default"/>
        <w:spacing w:after="240"/>
        <w:rPr>
          <w:rFonts w:ascii="Times New Roman" w:hAnsi="Times New Roman" w:cs="Times New Roman"/>
          <w:color w:val="auto"/>
          <w:szCs w:val="20"/>
        </w:rPr>
      </w:pPr>
      <w:r w:rsidRPr="00C96074">
        <w:rPr>
          <w:rFonts w:ascii="Times New Roman" w:hAnsi="Times New Roman" w:cs="Times New Roman"/>
          <w:color w:val="auto"/>
          <w:szCs w:val="20"/>
        </w:rPr>
        <w:t>The total Ig costs, (including delivery) were estimated to be $128.2 million in 2021-22, increasing to $152.6 million in 2025-26</w:t>
      </w:r>
      <w:r>
        <w:rPr>
          <w:rFonts w:ascii="Times New Roman" w:hAnsi="Times New Roman" w:cs="Times New Roman"/>
          <w:color w:val="auto"/>
          <w:szCs w:val="20"/>
        </w:rPr>
        <w:t xml:space="preserve"> and were</w:t>
      </w:r>
      <w:r w:rsidRPr="00C96074">
        <w:rPr>
          <w:rFonts w:ascii="Times New Roman" w:hAnsi="Times New Roman" w:cs="Times New Roman"/>
          <w:color w:val="auto"/>
          <w:szCs w:val="20"/>
        </w:rPr>
        <w:t xml:space="preserve"> sensitive to the price of Ig</w:t>
      </w:r>
      <w:r>
        <w:rPr>
          <w:rFonts w:ascii="Times New Roman" w:hAnsi="Times New Roman" w:cs="Times New Roman"/>
          <w:color w:val="auto"/>
          <w:szCs w:val="20"/>
        </w:rPr>
        <w:t xml:space="preserve"> and amount of Ig used</w:t>
      </w:r>
      <w:r w:rsidRPr="00C96074">
        <w:rPr>
          <w:rFonts w:ascii="Times New Roman" w:hAnsi="Times New Roman" w:cs="Times New Roman"/>
          <w:color w:val="auto"/>
          <w:szCs w:val="20"/>
        </w:rPr>
        <w:t xml:space="preserve">. </w:t>
      </w:r>
      <w:r w:rsidR="00655599">
        <w:rPr>
          <w:rFonts w:ascii="Times New Roman" w:hAnsi="Times New Roman" w:cs="Times New Roman"/>
          <w:color w:val="auto"/>
          <w:szCs w:val="20"/>
        </w:rPr>
        <w:t xml:space="preserve">MSAC noted that the cost and demand of Ig is likely to increase and </w:t>
      </w:r>
      <w:r w:rsidR="00C95F48">
        <w:rPr>
          <w:rFonts w:ascii="Times New Roman" w:hAnsi="Times New Roman" w:cs="Times New Roman"/>
          <w:color w:val="auto"/>
          <w:szCs w:val="20"/>
        </w:rPr>
        <w:t xml:space="preserve">was </w:t>
      </w:r>
      <w:r w:rsidR="00655599">
        <w:rPr>
          <w:rFonts w:ascii="Times New Roman" w:hAnsi="Times New Roman" w:cs="Times New Roman"/>
          <w:color w:val="auto"/>
          <w:szCs w:val="20"/>
        </w:rPr>
        <w:t xml:space="preserve">concerned about the projected increase in Ig use in the face of constrained supply. </w:t>
      </w:r>
      <w:r>
        <w:rPr>
          <w:rFonts w:ascii="Times New Roman" w:hAnsi="Times New Roman" w:cs="Times New Roman"/>
          <w:color w:val="auto"/>
          <w:szCs w:val="20"/>
        </w:rPr>
        <w:t xml:space="preserve">MSAC recommended that the diagnostic requirements and </w:t>
      </w:r>
      <w:r w:rsidRPr="00C96074">
        <w:rPr>
          <w:rFonts w:ascii="Times New Roman" w:hAnsi="Times New Roman" w:cs="Times New Roman"/>
          <w:color w:val="auto"/>
          <w:szCs w:val="20"/>
        </w:rPr>
        <w:t xml:space="preserve">current thresholds to access Ig therapy </w:t>
      </w:r>
      <w:r>
        <w:rPr>
          <w:rFonts w:ascii="Times New Roman" w:hAnsi="Times New Roman" w:cs="Times New Roman"/>
          <w:color w:val="auto"/>
          <w:szCs w:val="20"/>
        </w:rPr>
        <w:t xml:space="preserve">for CIDP </w:t>
      </w:r>
      <w:r w:rsidRPr="00C96074">
        <w:rPr>
          <w:rFonts w:ascii="Times New Roman" w:hAnsi="Times New Roman" w:cs="Times New Roman"/>
          <w:color w:val="auto"/>
          <w:szCs w:val="20"/>
        </w:rPr>
        <w:t xml:space="preserve">under the </w:t>
      </w:r>
      <w:r w:rsidRPr="007C7662">
        <w:rPr>
          <w:rFonts w:ascii="Times New Roman" w:hAnsi="Times New Roman" w:cs="Times New Roman"/>
          <w:i/>
          <w:iCs/>
          <w:color w:val="auto"/>
          <w:szCs w:val="20"/>
        </w:rPr>
        <w:t>Criteria for the clinical use of immunoglobulin in Australia</w:t>
      </w:r>
      <w:r w:rsidRPr="00C96074">
        <w:rPr>
          <w:rFonts w:ascii="Times New Roman" w:hAnsi="Times New Roman" w:cs="Times New Roman"/>
          <w:color w:val="auto"/>
          <w:szCs w:val="20"/>
        </w:rPr>
        <w:t xml:space="preserve"> (version 3) (the Criteria) </w:t>
      </w:r>
      <w:r>
        <w:rPr>
          <w:rFonts w:ascii="Times New Roman" w:hAnsi="Times New Roman" w:cs="Times New Roman"/>
          <w:color w:val="auto"/>
          <w:szCs w:val="20"/>
        </w:rPr>
        <w:t>be reviewed to ensure that treatment is directed to patients with CIDP who are most likely to derive benefit.</w:t>
      </w:r>
      <w:r w:rsidR="008A1CFB">
        <w:rPr>
          <w:rFonts w:ascii="Times New Roman" w:hAnsi="Times New Roman" w:cs="Times New Roman"/>
          <w:color w:val="auto"/>
          <w:szCs w:val="20"/>
        </w:rPr>
        <w:t xml:space="preserve"> </w:t>
      </w:r>
      <w:r w:rsidRPr="000F50ED">
        <w:rPr>
          <w:rFonts w:ascii="Times New Roman" w:hAnsi="Times New Roman" w:cs="Times New Roman"/>
          <w:color w:val="auto"/>
          <w:szCs w:val="20"/>
        </w:rPr>
        <w:t xml:space="preserve">MSAC </w:t>
      </w:r>
      <w:r w:rsidR="00655599">
        <w:rPr>
          <w:rFonts w:ascii="Times New Roman" w:hAnsi="Times New Roman" w:cs="Times New Roman"/>
          <w:color w:val="auto"/>
          <w:szCs w:val="20"/>
        </w:rPr>
        <w:t xml:space="preserve">also </w:t>
      </w:r>
      <w:r>
        <w:rPr>
          <w:rFonts w:ascii="Times New Roman" w:hAnsi="Times New Roman" w:cs="Times New Roman"/>
          <w:color w:val="auto"/>
          <w:szCs w:val="20"/>
        </w:rPr>
        <w:t>considered data collection and reporting could be optimised through BloodSTAR</w:t>
      </w:r>
      <w:r w:rsidR="00655599" w:rsidRPr="00655599">
        <w:t xml:space="preserve"> </w:t>
      </w:r>
      <w:r w:rsidR="00655599" w:rsidRPr="00655599">
        <w:rPr>
          <w:rFonts w:ascii="Times New Roman" w:hAnsi="Times New Roman" w:cs="Times New Roman"/>
          <w:color w:val="auto"/>
          <w:szCs w:val="20"/>
        </w:rPr>
        <w:t>to help inform an optimum dose regimen in CIDP, and a separate review of the cost-effectiveness of subcutaneous Ig compared with intravenous Ig should also be explored.</w:t>
      </w:r>
    </w:p>
    <w:tbl>
      <w:tblPr>
        <w:tblStyle w:val="TableGrid"/>
        <w:tblW w:w="0" w:type="auto"/>
        <w:tblLook w:val="04A0" w:firstRow="1" w:lastRow="0" w:firstColumn="1" w:lastColumn="0" w:noHBand="0" w:noVBand="1"/>
        <w:tblDescription w:val="Consumer summary of MSAC consideration"/>
      </w:tblPr>
      <w:tblGrid>
        <w:gridCol w:w="9016"/>
      </w:tblGrid>
      <w:tr w:rsidR="00555911" w14:paraId="3521FD1F" w14:textId="77777777" w:rsidTr="00555911">
        <w:trPr>
          <w:tblHeader/>
        </w:trPr>
        <w:tc>
          <w:tcPr>
            <w:tcW w:w="9016" w:type="dxa"/>
          </w:tcPr>
          <w:bookmarkEnd w:id="0"/>
          <w:p w14:paraId="03963954" w14:textId="639910A4" w:rsidR="00555911" w:rsidRPr="00555911" w:rsidRDefault="00555911" w:rsidP="00555911">
            <w:pPr>
              <w:pStyle w:val="Default"/>
              <w:spacing w:before="120" w:after="120"/>
              <w:rPr>
                <w:rFonts w:ascii="Times New Roman" w:hAnsi="Times New Roman"/>
                <w:iCs/>
                <w:color w:val="auto"/>
                <w:sz w:val="24"/>
              </w:rPr>
            </w:pPr>
            <w:r w:rsidRPr="007D0728">
              <w:rPr>
                <w:rFonts w:ascii="Times New Roman" w:hAnsi="Times New Roman"/>
                <w:b/>
                <w:color w:val="auto"/>
                <w:sz w:val="24"/>
              </w:rPr>
              <w:t>Consumer summary</w:t>
            </w:r>
          </w:p>
        </w:tc>
      </w:tr>
      <w:tr w:rsidR="00555911" w14:paraId="0DC2B1DE" w14:textId="77777777" w:rsidTr="008A1CFB">
        <w:tc>
          <w:tcPr>
            <w:tcW w:w="9016" w:type="dxa"/>
          </w:tcPr>
          <w:p w14:paraId="312E30F7" w14:textId="7FE0AFEB" w:rsidR="00555911" w:rsidRDefault="00555911" w:rsidP="008A1CFB">
            <w:pPr>
              <w:pStyle w:val="Default"/>
              <w:spacing w:after="240"/>
              <w:rPr>
                <w:rFonts w:ascii="Times New Roman" w:hAnsi="Times New Roman"/>
                <w:iCs/>
                <w:color w:val="auto"/>
                <w:sz w:val="24"/>
              </w:rPr>
            </w:pPr>
            <w:r w:rsidRPr="002C2993">
              <w:rPr>
                <w:rFonts w:ascii="Times New Roman" w:hAnsi="Times New Roman"/>
                <w:iCs/>
                <w:color w:val="auto"/>
                <w:sz w:val="24"/>
              </w:rPr>
              <w:t xml:space="preserve">The National Blood Authority (NBA) sought advice from MSAC on the government-funded supply of human antibodies (immunoglobulin, or Ig) used to </w:t>
            </w:r>
            <w:r w:rsidR="004F35E3" w:rsidRPr="0096414D">
              <w:rPr>
                <w:rFonts w:ascii="Times New Roman" w:hAnsi="Times New Roman"/>
                <w:iCs/>
                <w:color w:val="auto"/>
                <w:sz w:val="24"/>
              </w:rPr>
              <w:t>treat</w:t>
            </w:r>
            <w:r w:rsidR="004F35E3">
              <w:rPr>
                <w:rFonts w:ascii="Times New Roman" w:hAnsi="Times New Roman"/>
                <w:iCs/>
                <w:color w:val="auto"/>
                <w:sz w:val="24"/>
              </w:rPr>
              <w:t xml:space="preserve"> </w:t>
            </w:r>
            <w:r>
              <w:rPr>
                <w:rFonts w:ascii="Times New Roman" w:hAnsi="Times New Roman"/>
                <w:iCs/>
                <w:color w:val="auto"/>
                <w:sz w:val="24"/>
              </w:rPr>
              <w:t>chronic inflammatory demyelinating polyneuropathy (CIDP)</w:t>
            </w:r>
            <w:r w:rsidRPr="002C2993">
              <w:rPr>
                <w:rFonts w:ascii="Times New Roman" w:hAnsi="Times New Roman"/>
                <w:iCs/>
                <w:color w:val="auto"/>
                <w:sz w:val="24"/>
              </w:rPr>
              <w:t xml:space="preserve">. The NBA is the statutory agency within the Australian Government Health portfolio that manages and coordinates arrangements for the supply of blood and blood products and services on behalf of the Australian Government and state and territory governments. This referral to review the use of Ig in </w:t>
            </w:r>
            <w:r>
              <w:rPr>
                <w:rFonts w:ascii="Times New Roman" w:hAnsi="Times New Roman"/>
                <w:iCs/>
                <w:color w:val="auto"/>
                <w:sz w:val="24"/>
              </w:rPr>
              <w:t>CIDP</w:t>
            </w:r>
            <w:r w:rsidRPr="002C2993">
              <w:rPr>
                <w:rFonts w:ascii="Times New Roman" w:hAnsi="Times New Roman"/>
                <w:iCs/>
                <w:color w:val="auto"/>
                <w:sz w:val="24"/>
              </w:rPr>
              <w:t xml:space="preserve"> is included as part of the Ig Reviews, which aim to ensure that government-funded Ig use within Australia is based on evidence of clinical safety, </w:t>
            </w:r>
            <w:r>
              <w:rPr>
                <w:rFonts w:ascii="Times New Roman" w:hAnsi="Times New Roman"/>
                <w:iCs/>
                <w:color w:val="auto"/>
                <w:sz w:val="24"/>
              </w:rPr>
              <w:t xml:space="preserve">clinical </w:t>
            </w:r>
            <w:r w:rsidRPr="002C2993">
              <w:rPr>
                <w:rFonts w:ascii="Times New Roman" w:hAnsi="Times New Roman"/>
                <w:iCs/>
                <w:color w:val="auto"/>
                <w:sz w:val="24"/>
              </w:rPr>
              <w:t>effectiveness</w:t>
            </w:r>
            <w:r>
              <w:rPr>
                <w:rFonts w:ascii="Times New Roman" w:hAnsi="Times New Roman"/>
                <w:iCs/>
                <w:color w:val="auto"/>
                <w:sz w:val="24"/>
              </w:rPr>
              <w:t>,</w:t>
            </w:r>
            <w:r w:rsidRPr="002C2993">
              <w:rPr>
                <w:rFonts w:ascii="Times New Roman" w:hAnsi="Times New Roman"/>
                <w:iCs/>
                <w:color w:val="auto"/>
                <w:sz w:val="24"/>
              </w:rPr>
              <w:t xml:space="preserve"> and cost</w:t>
            </w:r>
            <w:r w:rsidR="0042679A">
              <w:rPr>
                <w:rFonts w:ascii="Times New Roman" w:hAnsi="Times New Roman"/>
                <w:iCs/>
                <w:color w:val="auto"/>
                <w:sz w:val="24"/>
              </w:rPr>
              <w:noBreakHyphen/>
            </w:r>
            <w:r w:rsidRPr="002C2993">
              <w:rPr>
                <w:rFonts w:ascii="Times New Roman" w:hAnsi="Times New Roman"/>
                <w:iCs/>
                <w:color w:val="auto"/>
                <w:sz w:val="24"/>
              </w:rPr>
              <w:t>effectiveness.</w:t>
            </w:r>
          </w:p>
          <w:p w14:paraId="541936F1" w14:textId="77777777" w:rsidR="00555911" w:rsidRDefault="00555911" w:rsidP="008A1CFB">
            <w:pPr>
              <w:pStyle w:val="Default"/>
              <w:spacing w:after="240"/>
              <w:rPr>
                <w:rFonts w:ascii="Times New Roman" w:hAnsi="Times New Roman"/>
                <w:iCs/>
                <w:color w:val="auto"/>
                <w:sz w:val="24"/>
              </w:rPr>
            </w:pPr>
            <w:r w:rsidRPr="00FB1A11">
              <w:rPr>
                <w:rFonts w:ascii="Times New Roman" w:hAnsi="Times New Roman"/>
                <w:iCs/>
                <w:color w:val="auto"/>
                <w:sz w:val="24"/>
              </w:rPr>
              <w:t>CIDP is caused by the body’s immune system inappropriately reacting against and damaging myelin</w:t>
            </w:r>
            <w:r>
              <w:rPr>
                <w:rFonts w:ascii="Times New Roman" w:hAnsi="Times New Roman"/>
                <w:iCs/>
                <w:color w:val="auto"/>
                <w:sz w:val="24"/>
              </w:rPr>
              <w:t xml:space="preserve"> that covers the nerves</w:t>
            </w:r>
            <w:r w:rsidRPr="00FB1A11">
              <w:rPr>
                <w:rFonts w:ascii="Times New Roman" w:hAnsi="Times New Roman"/>
                <w:iCs/>
                <w:color w:val="auto"/>
                <w:sz w:val="24"/>
              </w:rPr>
              <w:t>. Symptoms include tingling, numbness or altered feeling which often begins in the feet and hands; weakness of the arms and legs; fatigue; and aching pain in the muscles.</w:t>
            </w:r>
          </w:p>
          <w:p w14:paraId="665D92C4" w14:textId="424A3E58" w:rsidR="00555911" w:rsidRDefault="00555911" w:rsidP="008A1CFB">
            <w:pPr>
              <w:pStyle w:val="Default"/>
              <w:spacing w:after="240"/>
              <w:rPr>
                <w:rFonts w:ascii="Times New Roman" w:hAnsi="Times New Roman"/>
                <w:iCs/>
                <w:color w:val="auto"/>
                <w:sz w:val="24"/>
              </w:rPr>
            </w:pPr>
            <w:r>
              <w:rPr>
                <w:rFonts w:ascii="Times New Roman" w:hAnsi="Times New Roman"/>
                <w:iCs/>
                <w:color w:val="auto"/>
                <w:sz w:val="24"/>
              </w:rPr>
              <w:t xml:space="preserve">MSAC noted that there is limited high quality evidence comparing Ig to </w:t>
            </w:r>
            <w:r w:rsidR="00B0181D">
              <w:rPr>
                <w:rFonts w:ascii="Times New Roman" w:hAnsi="Times New Roman"/>
                <w:iCs/>
                <w:color w:val="auto"/>
                <w:sz w:val="24"/>
              </w:rPr>
              <w:t>other</w:t>
            </w:r>
            <w:r>
              <w:rPr>
                <w:rFonts w:ascii="Times New Roman" w:hAnsi="Times New Roman"/>
                <w:iCs/>
                <w:color w:val="auto"/>
                <w:sz w:val="24"/>
              </w:rPr>
              <w:t xml:space="preserve"> therapies for CIDP such as </w:t>
            </w:r>
            <w:r w:rsidR="005764BC">
              <w:rPr>
                <w:rFonts w:ascii="Times New Roman" w:hAnsi="Times New Roman"/>
                <w:iCs/>
                <w:color w:val="auto"/>
                <w:sz w:val="24"/>
              </w:rPr>
              <w:t>cortico</w:t>
            </w:r>
            <w:r>
              <w:rPr>
                <w:rFonts w:ascii="Times New Roman" w:hAnsi="Times New Roman"/>
                <w:iCs/>
                <w:color w:val="auto"/>
                <w:sz w:val="24"/>
              </w:rPr>
              <w:t>steroids, plasma exchange and other immunosuppressants, but noted that Ig appears to be safe and is an accepted first-line treatment for CIDP in Australia. Therefore, MSAC advised that Ig should continue to be available to treat people with CIDP, but</w:t>
            </w:r>
            <w:r w:rsidRPr="00C134F8">
              <w:rPr>
                <w:rFonts w:ascii="Times New Roman" w:hAnsi="Times New Roman"/>
                <w:iCs/>
                <w:color w:val="auto"/>
                <w:sz w:val="24"/>
              </w:rPr>
              <w:t xml:space="preserve"> further work is needed to manage demand for I</w:t>
            </w:r>
            <w:r>
              <w:rPr>
                <w:rFonts w:ascii="Times New Roman" w:hAnsi="Times New Roman"/>
                <w:iCs/>
                <w:color w:val="auto"/>
                <w:sz w:val="24"/>
              </w:rPr>
              <w:t xml:space="preserve">g. </w:t>
            </w:r>
          </w:p>
          <w:p w14:paraId="2ED45387" w14:textId="11281D70" w:rsidR="00555911" w:rsidRDefault="00555911" w:rsidP="008A1CFB">
            <w:pPr>
              <w:pStyle w:val="Default"/>
              <w:spacing w:after="240"/>
              <w:rPr>
                <w:rFonts w:ascii="Times New Roman" w:hAnsi="Times New Roman"/>
                <w:iCs/>
                <w:color w:val="auto"/>
                <w:sz w:val="24"/>
              </w:rPr>
            </w:pPr>
            <w:bookmarkStart w:id="1" w:name="_Hlk82777688"/>
            <w:r>
              <w:rPr>
                <w:rFonts w:ascii="Times New Roman" w:hAnsi="Times New Roman"/>
                <w:iCs/>
                <w:color w:val="auto"/>
                <w:sz w:val="24"/>
              </w:rPr>
              <w:t xml:space="preserve">MSAC acknowledged that Ig is a very expensive therapy and the review predicted that over the next five years, the cost to government of supplying Ig was estimated to increase from approximately </w:t>
            </w:r>
            <w:r w:rsidRPr="005E144D">
              <w:rPr>
                <w:rFonts w:ascii="Times New Roman" w:hAnsi="Times New Roman"/>
                <w:iCs/>
                <w:color w:val="auto"/>
                <w:sz w:val="24"/>
              </w:rPr>
              <w:t>$128.2 million in 2021-22, to $152.6 million in 2025-26</w:t>
            </w:r>
            <w:r>
              <w:rPr>
                <w:rFonts w:ascii="Times New Roman" w:hAnsi="Times New Roman"/>
                <w:iCs/>
                <w:color w:val="auto"/>
                <w:sz w:val="24"/>
              </w:rPr>
              <w:t>. MSAC was concerned that</w:t>
            </w:r>
            <w:r>
              <w:t xml:space="preserve"> </w:t>
            </w:r>
            <w:r w:rsidRPr="005E144D">
              <w:rPr>
                <w:rFonts w:ascii="Times New Roman" w:hAnsi="Times New Roman"/>
                <w:iCs/>
                <w:color w:val="auto"/>
                <w:sz w:val="24"/>
              </w:rPr>
              <w:t>nearly four times more patients in Australia (</w:t>
            </w:r>
            <w:r>
              <w:rPr>
                <w:rFonts w:ascii="Times New Roman" w:hAnsi="Times New Roman"/>
                <w:iCs/>
                <w:color w:val="auto"/>
                <w:sz w:val="24"/>
              </w:rPr>
              <w:t xml:space="preserve">according to </w:t>
            </w:r>
            <w:r w:rsidRPr="005E144D">
              <w:rPr>
                <w:rFonts w:ascii="Times New Roman" w:hAnsi="Times New Roman"/>
                <w:iCs/>
                <w:color w:val="auto"/>
                <w:sz w:val="24"/>
              </w:rPr>
              <w:t>NBA data) received Ig for CIDP than expected</w:t>
            </w:r>
            <w:r>
              <w:rPr>
                <w:rFonts w:ascii="Times New Roman" w:hAnsi="Times New Roman"/>
                <w:iCs/>
                <w:color w:val="auto"/>
                <w:sz w:val="24"/>
              </w:rPr>
              <w:t xml:space="preserve">, and that the diagnostic and eligibility requirements to access Ig therapy may not be sufficient to ensure </w:t>
            </w:r>
            <w:r w:rsidR="004F35E3" w:rsidRPr="0096414D">
              <w:rPr>
                <w:rFonts w:ascii="Times New Roman" w:hAnsi="Times New Roman"/>
                <w:iCs/>
                <w:color w:val="auto"/>
                <w:sz w:val="24"/>
              </w:rPr>
              <w:t>that</w:t>
            </w:r>
            <w:r w:rsidR="004F35E3">
              <w:rPr>
                <w:rFonts w:ascii="Times New Roman" w:hAnsi="Times New Roman"/>
                <w:iCs/>
                <w:color w:val="auto"/>
                <w:sz w:val="24"/>
              </w:rPr>
              <w:t xml:space="preserve"> </w:t>
            </w:r>
            <w:r>
              <w:rPr>
                <w:rFonts w:ascii="Times New Roman" w:hAnsi="Times New Roman"/>
                <w:iCs/>
                <w:color w:val="auto"/>
                <w:sz w:val="24"/>
              </w:rPr>
              <w:t>only those people with a confirmed CIDP diagnosis receive Ig</w:t>
            </w:r>
            <w:r w:rsidRPr="005E144D">
              <w:rPr>
                <w:rFonts w:ascii="Times New Roman" w:hAnsi="Times New Roman"/>
                <w:iCs/>
                <w:color w:val="auto"/>
                <w:sz w:val="24"/>
              </w:rPr>
              <w:t>.</w:t>
            </w:r>
            <w:r>
              <w:rPr>
                <w:rFonts w:ascii="Times New Roman" w:hAnsi="Times New Roman"/>
                <w:iCs/>
                <w:color w:val="auto"/>
                <w:sz w:val="24"/>
              </w:rPr>
              <w:t xml:space="preserve"> MSAC advised that given the increasing cost and demand for Ig product, it is </w:t>
            </w:r>
            <w:r w:rsidR="0042679A">
              <w:rPr>
                <w:rFonts w:ascii="Times New Roman" w:hAnsi="Times New Roman"/>
                <w:iCs/>
                <w:color w:val="auto"/>
                <w:sz w:val="24"/>
              </w:rPr>
              <w:t xml:space="preserve">critical </w:t>
            </w:r>
            <w:r>
              <w:rPr>
                <w:rFonts w:ascii="Times New Roman" w:hAnsi="Times New Roman"/>
                <w:iCs/>
                <w:color w:val="auto"/>
                <w:sz w:val="24"/>
              </w:rPr>
              <w:t xml:space="preserve">that these eligibility requirements are reviewed to ensure that Ig is being used to treat only those patients who benefit clinically. </w:t>
            </w:r>
          </w:p>
          <w:bookmarkEnd w:id="1"/>
          <w:p w14:paraId="0D38B805" w14:textId="2324D81A" w:rsidR="00555911" w:rsidRPr="00E259E0" w:rsidRDefault="00555911" w:rsidP="008A1CFB">
            <w:pPr>
              <w:pStyle w:val="Default"/>
              <w:spacing w:after="240"/>
              <w:rPr>
                <w:rFonts w:ascii="Times New Roman" w:hAnsi="Times New Roman"/>
                <w:iCs/>
                <w:color w:val="auto"/>
                <w:sz w:val="24"/>
              </w:rPr>
            </w:pPr>
            <w:r w:rsidRPr="003B01EE">
              <w:rPr>
                <w:rFonts w:ascii="Times New Roman" w:hAnsi="Times New Roman"/>
                <w:iCs/>
                <w:color w:val="auto"/>
                <w:sz w:val="24"/>
              </w:rPr>
              <w:lastRenderedPageBreak/>
              <w:t>MSAC also recommended areas for future research and for data collection and reporting through BloodSTAR</w:t>
            </w:r>
            <w:r w:rsidR="00B40955" w:rsidRPr="00E259E0">
              <w:rPr>
                <w:rFonts w:ascii="Times New Roman" w:hAnsi="Times New Roman"/>
                <w:iCs/>
                <w:color w:val="auto"/>
              </w:rPr>
              <w:t xml:space="preserve">* </w:t>
            </w:r>
            <w:r w:rsidRPr="00E259E0">
              <w:rPr>
                <w:rFonts w:ascii="Times New Roman" w:hAnsi="Times New Roman"/>
                <w:iCs/>
                <w:color w:val="auto"/>
              </w:rPr>
              <w:t>to be improved, which may inform any future evaluations of the cost</w:t>
            </w:r>
            <w:r w:rsidR="00D32CBB" w:rsidRPr="00E259E0">
              <w:rPr>
                <w:rFonts w:ascii="Times New Roman" w:hAnsi="Times New Roman"/>
                <w:iCs/>
                <w:color w:val="auto"/>
              </w:rPr>
              <w:t> </w:t>
            </w:r>
            <w:r w:rsidRPr="00E259E0">
              <w:rPr>
                <w:rFonts w:ascii="Times New Roman" w:hAnsi="Times New Roman"/>
                <w:iCs/>
                <w:color w:val="auto"/>
              </w:rPr>
              <w:t>effectiveness of treating CIDP with Ig.</w:t>
            </w:r>
          </w:p>
          <w:p w14:paraId="7C02AD63" w14:textId="20106355" w:rsidR="004F35E3" w:rsidRPr="003B01EE" w:rsidRDefault="00B40955" w:rsidP="003B01EE">
            <w:pPr>
              <w:pStyle w:val="Default"/>
              <w:rPr>
                <w:rFonts w:ascii="Times New Roman" w:hAnsi="Times New Roman"/>
                <w:iCs/>
                <w:color w:val="auto"/>
                <w:sz w:val="20"/>
                <w:szCs w:val="20"/>
              </w:rPr>
            </w:pPr>
            <w:r w:rsidRPr="003B01EE">
              <w:rPr>
                <w:rFonts w:ascii="Times New Roman" w:hAnsi="Times New Roman"/>
                <w:iCs/>
                <w:color w:val="auto"/>
                <w:sz w:val="20"/>
                <w:szCs w:val="20"/>
              </w:rPr>
              <w:t xml:space="preserve">* BloodSTAR </w:t>
            </w:r>
            <w:r w:rsidR="0096414D" w:rsidRPr="003B01EE">
              <w:rPr>
                <w:rFonts w:ascii="Times New Roman" w:hAnsi="Times New Roman"/>
                <w:iCs/>
                <w:color w:val="auto"/>
                <w:sz w:val="20"/>
                <w:szCs w:val="20"/>
              </w:rPr>
              <w:t>(</w:t>
            </w:r>
            <w:hyperlink r:id="rId10" w:history="1">
              <w:r w:rsidR="003B01EE" w:rsidRPr="003B01EE">
                <w:rPr>
                  <w:rStyle w:val="Hyperlink"/>
                  <w:rFonts w:ascii="Times New Roman" w:hAnsi="Times New Roman"/>
                  <w:iCs/>
                  <w:sz w:val="20"/>
                  <w:szCs w:val="20"/>
                </w:rPr>
                <w:t>https://www.blood.gov.au/bloodstar</w:t>
              </w:r>
            </w:hyperlink>
            <w:r w:rsidR="003B01EE" w:rsidRPr="003B01EE">
              <w:rPr>
                <w:rFonts w:ascii="Times New Roman" w:hAnsi="Times New Roman"/>
                <w:iCs/>
                <w:color w:val="auto"/>
                <w:sz w:val="20"/>
                <w:szCs w:val="20"/>
              </w:rPr>
              <w:t>)</w:t>
            </w:r>
            <w:r w:rsidR="0096414D" w:rsidRPr="003B01EE">
              <w:rPr>
                <w:rFonts w:ascii="Times New Roman" w:hAnsi="Times New Roman"/>
                <w:iCs/>
                <w:color w:val="auto"/>
                <w:sz w:val="20"/>
                <w:szCs w:val="20"/>
              </w:rPr>
              <w:t xml:space="preserve"> </w:t>
            </w:r>
            <w:r w:rsidR="0096414D">
              <w:rPr>
                <w:rFonts w:ascii="Times New Roman" w:hAnsi="Times New Roman"/>
                <w:iCs/>
                <w:color w:val="auto"/>
                <w:sz w:val="20"/>
                <w:szCs w:val="20"/>
              </w:rPr>
              <w:t xml:space="preserve">is </w:t>
            </w:r>
            <w:r w:rsidR="0096414D" w:rsidRPr="003B01EE">
              <w:rPr>
                <w:rFonts w:ascii="Times New Roman" w:hAnsi="Times New Roman"/>
                <w:iCs/>
                <w:color w:val="auto"/>
                <w:sz w:val="20"/>
                <w:szCs w:val="20"/>
              </w:rPr>
              <w:t xml:space="preserve">the online system used </w:t>
            </w:r>
            <w:r w:rsidR="0096414D">
              <w:rPr>
                <w:rFonts w:ascii="Times New Roman" w:hAnsi="Times New Roman"/>
                <w:iCs/>
                <w:color w:val="auto"/>
                <w:sz w:val="20"/>
                <w:szCs w:val="20"/>
              </w:rPr>
              <w:t>in</w:t>
            </w:r>
            <w:r w:rsidR="0096414D" w:rsidRPr="003B01EE">
              <w:rPr>
                <w:rFonts w:ascii="Times New Roman" w:hAnsi="Times New Roman"/>
                <w:iCs/>
                <w:color w:val="auto"/>
                <w:sz w:val="20"/>
                <w:szCs w:val="20"/>
              </w:rPr>
              <w:t xml:space="preserve"> Australia to manage access to the supply of government funded immunoglobulin products. The system manages the authorisation request and review process for the treatment of conditions identified in the Criteria for the clinical use of immunoglobulin in Australia (</w:t>
            </w:r>
            <w:hyperlink r:id="rId11" w:history="1">
              <w:r w:rsidR="003B01EE" w:rsidRPr="00E2203C">
                <w:rPr>
                  <w:rStyle w:val="Hyperlink"/>
                  <w:rFonts w:ascii="Times New Roman" w:hAnsi="Times New Roman"/>
                  <w:iCs/>
                  <w:sz w:val="20"/>
                  <w:szCs w:val="20"/>
                </w:rPr>
                <w:t>https://www.criteria.blood.gov.au/</w:t>
              </w:r>
            </w:hyperlink>
            <w:r w:rsidR="0096414D" w:rsidRPr="003B01EE">
              <w:rPr>
                <w:rFonts w:ascii="Times New Roman" w:hAnsi="Times New Roman"/>
                <w:iCs/>
                <w:color w:val="auto"/>
                <w:sz w:val="20"/>
                <w:szCs w:val="20"/>
              </w:rPr>
              <w:t>).</w:t>
            </w:r>
          </w:p>
        </w:tc>
      </w:tr>
    </w:tbl>
    <w:p w14:paraId="7DE4FE2F" w14:textId="76C05C65" w:rsidR="00555911" w:rsidRPr="00060C99" w:rsidRDefault="00555911" w:rsidP="00C10778">
      <w:pPr>
        <w:pStyle w:val="Default"/>
        <w:spacing w:before="0" w:after="240"/>
        <w:rPr>
          <w:rFonts w:ascii="Times New Roman" w:hAnsi="Times New Roman" w:cs="Times New Roman"/>
          <w:color w:val="auto"/>
          <w:szCs w:val="20"/>
        </w:rPr>
      </w:pPr>
    </w:p>
    <w:tbl>
      <w:tblPr>
        <w:tblStyle w:val="TableGrid"/>
        <w:tblW w:w="0" w:type="auto"/>
        <w:tblLook w:val="04A0" w:firstRow="1" w:lastRow="0" w:firstColumn="1" w:lastColumn="0" w:noHBand="0" w:noVBand="1"/>
        <w:tblDescription w:val="Consumer summary of MSAC consideration"/>
      </w:tblPr>
      <w:tblGrid>
        <w:gridCol w:w="9016"/>
      </w:tblGrid>
      <w:tr w:rsidR="00555911" w14:paraId="13384F70" w14:textId="77777777" w:rsidTr="00555911">
        <w:trPr>
          <w:tblHeader/>
        </w:trPr>
        <w:tc>
          <w:tcPr>
            <w:tcW w:w="9016" w:type="dxa"/>
          </w:tcPr>
          <w:p w14:paraId="404ADE20" w14:textId="76C05C65" w:rsidR="00555911" w:rsidRPr="00555911" w:rsidDel="00555911" w:rsidRDefault="00555911" w:rsidP="00555911">
            <w:pPr>
              <w:pStyle w:val="Default"/>
              <w:spacing w:before="120" w:after="120"/>
              <w:rPr>
                <w:rFonts w:ascii="Times New Roman" w:hAnsi="Times New Roman"/>
                <w:b/>
                <w:color w:val="auto"/>
                <w:sz w:val="24"/>
              </w:rPr>
            </w:pPr>
            <w:r w:rsidRPr="007D0728">
              <w:rPr>
                <w:rFonts w:ascii="Times New Roman" w:hAnsi="Times New Roman"/>
                <w:b/>
                <w:color w:val="auto"/>
                <w:sz w:val="24"/>
              </w:rPr>
              <w:t xml:space="preserve">MSAC’s advice to the </w:t>
            </w:r>
            <w:r>
              <w:rPr>
                <w:rFonts w:ascii="Times New Roman" w:hAnsi="Times New Roman"/>
                <w:b/>
                <w:color w:val="auto"/>
                <w:sz w:val="24"/>
              </w:rPr>
              <w:t>National Blood Authority</w:t>
            </w:r>
          </w:p>
        </w:tc>
      </w:tr>
      <w:tr w:rsidR="00A36DE2" w14:paraId="31E2FF56" w14:textId="77777777" w:rsidTr="00A36DE2">
        <w:tc>
          <w:tcPr>
            <w:tcW w:w="9016" w:type="dxa"/>
          </w:tcPr>
          <w:p w14:paraId="7F6E6EAF" w14:textId="1844A5C3" w:rsidR="00655599" w:rsidRPr="00555911" w:rsidRDefault="00655599" w:rsidP="00655599">
            <w:pPr>
              <w:pStyle w:val="Default"/>
              <w:rPr>
                <w:rFonts w:ascii="Times New Roman" w:hAnsi="Times New Roman"/>
                <w:iCs/>
                <w:color w:val="auto"/>
                <w:sz w:val="24"/>
              </w:rPr>
            </w:pPr>
            <w:bookmarkStart w:id="2" w:name="_Hlk82777874"/>
            <w:r w:rsidRPr="00555911">
              <w:rPr>
                <w:rFonts w:ascii="Times New Roman" w:hAnsi="Times New Roman"/>
                <w:iCs/>
                <w:color w:val="auto"/>
                <w:sz w:val="24"/>
              </w:rPr>
              <w:t xml:space="preserve">MSAC supported the continued funding of immunoglobulin (Ig) for </w:t>
            </w:r>
            <w:r w:rsidR="00882737" w:rsidRPr="00555911">
              <w:rPr>
                <w:rFonts w:ascii="Times New Roman" w:hAnsi="Times New Roman"/>
                <w:iCs/>
                <w:color w:val="auto"/>
                <w:sz w:val="24"/>
              </w:rPr>
              <w:t>CIDP</w:t>
            </w:r>
            <w:r w:rsidRPr="00555911">
              <w:rPr>
                <w:rFonts w:ascii="Times New Roman" w:hAnsi="Times New Roman"/>
                <w:iCs/>
                <w:color w:val="auto"/>
                <w:sz w:val="24"/>
              </w:rPr>
              <w:t xml:space="preserve"> but advised that further work is needed to manage demand for Ig. MSAC remained concerned about the size of the population receiving Ig therapy for CIDP compared to published estimates, and the projected increase in usage in the face of constrained supply. MSAC also advised that, from the revised cost-effectiveness analysis presented, Ig in this indication does not appear acceptably cost-effective.</w:t>
            </w:r>
          </w:p>
          <w:p w14:paraId="6F1072DF" w14:textId="6AA7CDD6" w:rsidR="00655599" w:rsidRDefault="00655599" w:rsidP="00655599">
            <w:pPr>
              <w:pStyle w:val="Default"/>
              <w:spacing w:after="240"/>
              <w:rPr>
                <w:rFonts w:ascii="Times New Roman" w:hAnsi="Times New Roman"/>
                <w:iCs/>
                <w:color w:val="auto"/>
                <w:sz w:val="24"/>
              </w:rPr>
            </w:pPr>
            <w:r w:rsidRPr="00555911">
              <w:rPr>
                <w:rFonts w:ascii="Times New Roman" w:hAnsi="Times New Roman"/>
                <w:iCs/>
                <w:color w:val="auto"/>
                <w:sz w:val="24"/>
              </w:rPr>
              <w:t xml:space="preserve">MSAC advised that the diagnosis requirements for CIDP in the eligibility criteria be reviewed to ensure that access to Ig is appropriately maintained for only those patients with a CIDP diagnosis. MSAC also recommended that the BloodSTAR data system be enhanced to help inform </w:t>
            </w:r>
            <w:r w:rsidR="00882737" w:rsidRPr="00555911">
              <w:rPr>
                <w:rFonts w:ascii="Times New Roman" w:hAnsi="Times New Roman"/>
                <w:iCs/>
                <w:color w:val="auto"/>
                <w:sz w:val="24"/>
              </w:rPr>
              <w:t xml:space="preserve">research to establish </w:t>
            </w:r>
            <w:r w:rsidRPr="00555911">
              <w:rPr>
                <w:rFonts w:ascii="Times New Roman" w:hAnsi="Times New Roman"/>
                <w:iCs/>
                <w:color w:val="auto"/>
                <w:sz w:val="24"/>
              </w:rPr>
              <w:t>an optimum dose regimen in CIDP, and a separate review of the cost-effectiveness of subcutaneous Ig compared with intravenous Ig should also be explored.</w:t>
            </w:r>
          </w:p>
          <w:p w14:paraId="42907CDC" w14:textId="3362109F" w:rsidR="00B40955" w:rsidRPr="00555911" w:rsidRDefault="00B40955" w:rsidP="00655599">
            <w:pPr>
              <w:pStyle w:val="Default"/>
              <w:spacing w:after="240"/>
              <w:rPr>
                <w:rFonts w:ascii="Times New Roman" w:hAnsi="Times New Roman"/>
                <w:iCs/>
                <w:color w:val="auto"/>
                <w:sz w:val="24"/>
              </w:rPr>
            </w:pPr>
            <w:r w:rsidRPr="003B01EE">
              <w:rPr>
                <w:rFonts w:ascii="Times New Roman" w:hAnsi="Times New Roman"/>
                <w:iCs/>
                <w:color w:val="auto"/>
                <w:sz w:val="24"/>
              </w:rPr>
              <w:t>MSAC considered that there is an urgent need and ethical responsibility to ensure this limited resource is appropriately managed and prioritised to patients who will derive the most benefit and for whom it is most cost-effective</w:t>
            </w:r>
            <w:r w:rsidR="005764BC">
              <w:rPr>
                <w:rFonts w:ascii="Times New Roman" w:hAnsi="Times New Roman"/>
                <w:iCs/>
                <w:color w:val="auto"/>
                <w:sz w:val="24"/>
              </w:rPr>
              <w:t>.</w:t>
            </w:r>
          </w:p>
          <w:p w14:paraId="32423B20" w14:textId="57E4D439" w:rsidR="00655599" w:rsidRDefault="00A461D7" w:rsidP="00655599">
            <w:pPr>
              <w:pStyle w:val="Default"/>
              <w:spacing w:after="240"/>
              <w:rPr>
                <w:i/>
                <w:color w:val="auto"/>
              </w:rPr>
            </w:pPr>
            <w:r>
              <w:rPr>
                <w:rFonts w:ascii="Times New Roman" w:hAnsi="Times New Roman"/>
                <w:iCs/>
                <w:color w:val="auto"/>
                <w:sz w:val="24"/>
              </w:rPr>
              <w:t xml:space="preserve">MSAC requested a </w:t>
            </w:r>
            <w:r w:rsidR="00655599" w:rsidRPr="00555911">
              <w:rPr>
                <w:rFonts w:ascii="Times New Roman" w:hAnsi="Times New Roman"/>
                <w:iCs/>
                <w:color w:val="auto"/>
                <w:sz w:val="24"/>
              </w:rPr>
              <w:t xml:space="preserve">stakeholder meeting be held to discuss </w:t>
            </w:r>
            <w:r w:rsidR="00A95558" w:rsidRPr="00555911">
              <w:rPr>
                <w:rFonts w:ascii="Times New Roman" w:hAnsi="Times New Roman"/>
                <w:iCs/>
                <w:color w:val="auto"/>
                <w:sz w:val="24"/>
              </w:rPr>
              <w:t>criteria relating</w:t>
            </w:r>
            <w:r w:rsidR="00655599" w:rsidRPr="00555911">
              <w:rPr>
                <w:rFonts w:ascii="Times New Roman" w:hAnsi="Times New Roman"/>
                <w:iCs/>
                <w:color w:val="auto"/>
                <w:sz w:val="24"/>
              </w:rPr>
              <w:t xml:space="preserve"> to CIDP diagnosis, thresholds for initial or continued access to Ig therapy</w:t>
            </w:r>
            <w:r w:rsidR="00E81ECC" w:rsidRPr="00555911">
              <w:rPr>
                <w:rFonts w:ascii="Times New Roman" w:hAnsi="Times New Roman"/>
                <w:iCs/>
                <w:color w:val="auto"/>
                <w:sz w:val="24"/>
              </w:rPr>
              <w:t xml:space="preserve"> and optimal dose regimens</w:t>
            </w:r>
            <w:r w:rsidR="00EC105B" w:rsidRPr="00555911">
              <w:rPr>
                <w:rFonts w:ascii="Times New Roman" w:hAnsi="Times New Roman"/>
                <w:iCs/>
                <w:color w:val="auto"/>
                <w:sz w:val="24"/>
              </w:rPr>
              <w:t xml:space="preserve">. The </w:t>
            </w:r>
            <w:r w:rsidR="00E81ECC" w:rsidRPr="00555911">
              <w:rPr>
                <w:rFonts w:ascii="Times New Roman" w:hAnsi="Times New Roman"/>
                <w:iCs/>
                <w:color w:val="auto"/>
                <w:sz w:val="24"/>
              </w:rPr>
              <w:t xml:space="preserve">outcomes of the </w:t>
            </w:r>
            <w:r w:rsidR="00EC105B" w:rsidRPr="00555911">
              <w:rPr>
                <w:rFonts w:ascii="Times New Roman" w:hAnsi="Times New Roman"/>
                <w:iCs/>
                <w:color w:val="auto"/>
                <w:sz w:val="24"/>
              </w:rPr>
              <w:t xml:space="preserve">stakeholder meeting are intended to </w:t>
            </w:r>
            <w:r w:rsidR="00E81ECC" w:rsidRPr="00555911">
              <w:rPr>
                <w:rFonts w:ascii="Times New Roman" w:hAnsi="Times New Roman"/>
                <w:iCs/>
                <w:color w:val="auto"/>
                <w:sz w:val="24"/>
              </w:rPr>
              <w:t>clarify and enhance MSAC’s advice</w:t>
            </w:r>
            <w:r w:rsidR="00EC105B" w:rsidRPr="00555911">
              <w:rPr>
                <w:rFonts w:ascii="Times New Roman" w:hAnsi="Times New Roman"/>
                <w:iCs/>
                <w:color w:val="auto"/>
                <w:sz w:val="24"/>
              </w:rPr>
              <w:t xml:space="preserve"> </w:t>
            </w:r>
            <w:r w:rsidR="00E81ECC" w:rsidRPr="00555911">
              <w:rPr>
                <w:rFonts w:ascii="Times New Roman" w:hAnsi="Times New Roman"/>
                <w:iCs/>
                <w:color w:val="auto"/>
                <w:sz w:val="24"/>
              </w:rPr>
              <w:t xml:space="preserve">on these issues. The </w:t>
            </w:r>
            <w:r>
              <w:rPr>
                <w:rFonts w:ascii="Times New Roman" w:hAnsi="Times New Roman"/>
                <w:iCs/>
                <w:color w:val="auto"/>
                <w:sz w:val="24"/>
              </w:rPr>
              <w:t xml:space="preserve">stakeholder </w:t>
            </w:r>
            <w:r w:rsidR="00EB3A80">
              <w:rPr>
                <w:rFonts w:ascii="Times New Roman" w:hAnsi="Times New Roman"/>
                <w:iCs/>
                <w:color w:val="auto"/>
                <w:sz w:val="24"/>
              </w:rPr>
              <w:t xml:space="preserve">meeting </w:t>
            </w:r>
            <w:r w:rsidR="00E81ECC" w:rsidRPr="00555911">
              <w:rPr>
                <w:rFonts w:ascii="Times New Roman" w:hAnsi="Times New Roman"/>
                <w:iCs/>
                <w:color w:val="auto"/>
                <w:sz w:val="24"/>
              </w:rPr>
              <w:t xml:space="preserve">outcome statement will </w:t>
            </w:r>
            <w:r w:rsidR="001218F6">
              <w:rPr>
                <w:rFonts w:ascii="Times New Roman" w:hAnsi="Times New Roman"/>
                <w:iCs/>
                <w:color w:val="auto"/>
                <w:sz w:val="24"/>
              </w:rPr>
              <w:t xml:space="preserve">be </w:t>
            </w:r>
            <w:r>
              <w:rPr>
                <w:rFonts w:ascii="Times New Roman" w:hAnsi="Times New Roman"/>
                <w:iCs/>
                <w:color w:val="auto"/>
                <w:sz w:val="24"/>
              </w:rPr>
              <w:t xml:space="preserve">considered by MSAC and further </w:t>
            </w:r>
            <w:r w:rsidR="00655599" w:rsidRPr="00555911">
              <w:rPr>
                <w:rFonts w:ascii="Times New Roman" w:hAnsi="Times New Roman"/>
                <w:iCs/>
                <w:color w:val="auto"/>
                <w:sz w:val="24"/>
              </w:rPr>
              <w:t xml:space="preserve">advice </w:t>
            </w:r>
            <w:r>
              <w:rPr>
                <w:rFonts w:ascii="Times New Roman" w:hAnsi="Times New Roman"/>
                <w:iCs/>
                <w:color w:val="auto"/>
                <w:sz w:val="24"/>
              </w:rPr>
              <w:t xml:space="preserve">provided </w:t>
            </w:r>
            <w:r w:rsidR="00655599" w:rsidRPr="00555911">
              <w:rPr>
                <w:rFonts w:ascii="Times New Roman" w:hAnsi="Times New Roman"/>
                <w:iCs/>
                <w:color w:val="auto"/>
                <w:sz w:val="24"/>
              </w:rPr>
              <w:t>to the Jurisdictional Blood Committee (JBC) through the National Blood Authority (NBA) as applicant.</w:t>
            </w:r>
            <w:bookmarkEnd w:id="2"/>
          </w:p>
        </w:tc>
      </w:tr>
    </w:tbl>
    <w:p w14:paraId="6C6A4F5F" w14:textId="7BB1EF61" w:rsidR="00A36DE2" w:rsidRDefault="00A36DE2" w:rsidP="00A36DE2">
      <w:pPr>
        <w:pStyle w:val="Heading1"/>
        <w:rPr>
          <w:rFonts w:ascii="Arial" w:hAnsi="Arial" w:cs="Arial"/>
        </w:rPr>
      </w:pPr>
      <w:r w:rsidRPr="007D0728">
        <w:rPr>
          <w:rFonts w:ascii="Arial" w:hAnsi="Arial" w:cs="Arial"/>
        </w:rPr>
        <w:t xml:space="preserve">Summary of consideration and rationale for MSAC’s advice </w:t>
      </w:r>
    </w:p>
    <w:p w14:paraId="602FC54B" w14:textId="12A30A4A" w:rsidR="00C429DE" w:rsidRPr="00C429DE" w:rsidRDefault="00BE5414" w:rsidP="00702596">
      <w:pPr>
        <w:pStyle w:val="Default"/>
        <w:spacing w:after="240"/>
        <w:rPr>
          <w:rFonts w:ascii="Times New Roman" w:hAnsi="Times New Roman"/>
          <w:iCs/>
          <w:color w:val="auto"/>
        </w:rPr>
      </w:pPr>
      <w:r w:rsidRPr="00BE5414">
        <w:rPr>
          <w:rFonts w:ascii="Times New Roman" w:hAnsi="Times New Roman"/>
          <w:iCs/>
          <w:color w:val="auto"/>
        </w:rPr>
        <w:t xml:space="preserve">In Australia, Ig for the treatment of </w:t>
      </w:r>
      <w:r>
        <w:rPr>
          <w:rFonts w:ascii="Times New Roman" w:hAnsi="Times New Roman"/>
          <w:iCs/>
          <w:color w:val="auto"/>
        </w:rPr>
        <w:t>CIDP</w:t>
      </w:r>
      <w:r w:rsidRPr="00BE5414">
        <w:rPr>
          <w:rFonts w:ascii="Times New Roman" w:hAnsi="Times New Roman"/>
          <w:iCs/>
          <w:color w:val="auto"/>
        </w:rPr>
        <w:t xml:space="preserve"> is funded for </w:t>
      </w:r>
      <w:r w:rsidR="00C429DE">
        <w:rPr>
          <w:rFonts w:ascii="Times New Roman" w:hAnsi="Times New Roman"/>
          <w:iCs/>
          <w:color w:val="auto"/>
        </w:rPr>
        <w:t>patients</w:t>
      </w:r>
      <w:r w:rsidR="00C429DE" w:rsidRPr="00C429DE">
        <w:rPr>
          <w:rFonts w:ascii="Times New Roman" w:hAnsi="Times New Roman"/>
          <w:iCs/>
          <w:color w:val="auto"/>
        </w:rPr>
        <w:t xml:space="preserve"> </w:t>
      </w:r>
      <w:r w:rsidR="00C429DE">
        <w:rPr>
          <w:rFonts w:ascii="Times New Roman" w:hAnsi="Times New Roman"/>
          <w:iCs/>
          <w:color w:val="auto"/>
        </w:rPr>
        <w:t xml:space="preserve">who are eligible </w:t>
      </w:r>
      <w:r w:rsidR="00C429DE" w:rsidRPr="00C429DE">
        <w:rPr>
          <w:rFonts w:ascii="Times New Roman" w:hAnsi="Times New Roman"/>
          <w:iCs/>
          <w:color w:val="auto"/>
        </w:rPr>
        <w:t xml:space="preserve">under the </w:t>
      </w:r>
      <w:r w:rsidR="00C429DE" w:rsidRPr="00EE1B4A">
        <w:rPr>
          <w:rFonts w:ascii="Times New Roman" w:hAnsi="Times New Roman"/>
          <w:i/>
          <w:color w:val="auto"/>
        </w:rPr>
        <w:t>Criteria for the clinical use of immunoglobulin in Australia</w:t>
      </w:r>
      <w:r w:rsidR="00C429DE" w:rsidRPr="00C429DE">
        <w:rPr>
          <w:rFonts w:ascii="Times New Roman" w:hAnsi="Times New Roman"/>
          <w:iCs/>
          <w:color w:val="auto"/>
        </w:rPr>
        <w:t xml:space="preserve"> (version 3) (the Criteria)</w:t>
      </w:r>
      <w:r w:rsidR="00C429DE">
        <w:rPr>
          <w:rFonts w:ascii="Times New Roman" w:hAnsi="Times New Roman"/>
          <w:iCs/>
          <w:color w:val="auto"/>
        </w:rPr>
        <w:t>.</w:t>
      </w:r>
    </w:p>
    <w:p w14:paraId="6CE1D053" w14:textId="57831856" w:rsidR="00A13217" w:rsidRDefault="00122094" w:rsidP="00B91C38">
      <w:pPr>
        <w:pStyle w:val="Default"/>
        <w:spacing w:after="240"/>
        <w:rPr>
          <w:rFonts w:ascii="Times New Roman" w:hAnsi="Times New Roman"/>
          <w:iCs/>
          <w:color w:val="auto"/>
        </w:rPr>
      </w:pPr>
      <w:r>
        <w:rPr>
          <w:rFonts w:ascii="Times New Roman" w:hAnsi="Times New Roman"/>
          <w:iCs/>
          <w:color w:val="auto"/>
        </w:rPr>
        <w:t>MSAC recalled</w:t>
      </w:r>
      <w:r w:rsidR="009B4A06">
        <w:rPr>
          <w:rFonts w:ascii="Times New Roman" w:hAnsi="Times New Roman"/>
          <w:iCs/>
          <w:color w:val="auto"/>
        </w:rPr>
        <w:t xml:space="preserve"> that it had previously considered</w:t>
      </w:r>
      <w:r w:rsidR="00B1481E">
        <w:rPr>
          <w:rFonts w:ascii="Times New Roman" w:hAnsi="Times New Roman"/>
          <w:iCs/>
          <w:color w:val="auto"/>
        </w:rPr>
        <w:t xml:space="preserve"> and deferred</w:t>
      </w:r>
      <w:r w:rsidR="009B4A06">
        <w:rPr>
          <w:rFonts w:ascii="Times New Roman" w:hAnsi="Times New Roman"/>
          <w:iCs/>
          <w:color w:val="auto"/>
        </w:rPr>
        <w:t xml:space="preserve"> </w:t>
      </w:r>
      <w:r w:rsidR="009B4A06" w:rsidRPr="009B4A06">
        <w:rPr>
          <w:rFonts w:ascii="Times New Roman" w:hAnsi="Times New Roman"/>
          <w:iCs/>
          <w:color w:val="auto"/>
        </w:rPr>
        <w:t xml:space="preserve">this </w:t>
      </w:r>
      <w:r w:rsidR="00305F05">
        <w:rPr>
          <w:rFonts w:ascii="Times New Roman" w:hAnsi="Times New Roman"/>
          <w:iCs/>
          <w:color w:val="auto"/>
        </w:rPr>
        <w:t xml:space="preserve">referral </w:t>
      </w:r>
      <w:r w:rsidR="009B4A06" w:rsidRPr="009B4A06">
        <w:rPr>
          <w:rFonts w:ascii="Times New Roman" w:hAnsi="Times New Roman"/>
          <w:iCs/>
          <w:color w:val="auto"/>
        </w:rPr>
        <w:t>at its February 2020 meeting</w:t>
      </w:r>
      <w:r w:rsidR="004B4D34">
        <w:rPr>
          <w:rFonts w:ascii="Times New Roman" w:hAnsi="Times New Roman"/>
          <w:iCs/>
          <w:color w:val="auto"/>
        </w:rPr>
        <w:t>. At this meeting, MSAC</w:t>
      </w:r>
      <w:r w:rsidR="009B4A06">
        <w:rPr>
          <w:rFonts w:ascii="Times New Roman" w:hAnsi="Times New Roman"/>
          <w:iCs/>
          <w:color w:val="auto"/>
        </w:rPr>
        <w:t xml:space="preserve"> </w:t>
      </w:r>
      <w:r w:rsidR="00B1481E">
        <w:rPr>
          <w:rFonts w:ascii="Times New Roman" w:hAnsi="Times New Roman"/>
          <w:iCs/>
          <w:color w:val="auto"/>
        </w:rPr>
        <w:t>requested the Department Contracted Assessment Report (DCAR) be revised before providing its advice</w:t>
      </w:r>
      <w:r w:rsidR="00C429DE">
        <w:rPr>
          <w:rFonts w:ascii="Times New Roman" w:hAnsi="Times New Roman"/>
          <w:iCs/>
          <w:color w:val="auto"/>
        </w:rPr>
        <w:t xml:space="preserve"> on </w:t>
      </w:r>
      <w:r w:rsidR="00C429DE" w:rsidRPr="00C429DE">
        <w:rPr>
          <w:rFonts w:ascii="Times New Roman" w:hAnsi="Times New Roman"/>
          <w:iCs/>
          <w:color w:val="auto"/>
        </w:rPr>
        <w:t>the clinical effectiveness and cost</w:t>
      </w:r>
      <w:r w:rsidR="00CC68A5">
        <w:rPr>
          <w:rFonts w:ascii="Times New Roman" w:hAnsi="Times New Roman"/>
          <w:iCs/>
          <w:color w:val="auto"/>
        </w:rPr>
        <w:t> </w:t>
      </w:r>
      <w:r w:rsidR="00C429DE" w:rsidRPr="00C429DE">
        <w:rPr>
          <w:rFonts w:ascii="Times New Roman" w:hAnsi="Times New Roman"/>
          <w:iCs/>
          <w:color w:val="auto"/>
        </w:rPr>
        <w:t xml:space="preserve">effectiveness of Ig </w:t>
      </w:r>
      <w:r w:rsidR="004B4D34">
        <w:rPr>
          <w:rFonts w:ascii="Times New Roman" w:hAnsi="Times New Roman"/>
          <w:iCs/>
          <w:color w:val="auto"/>
        </w:rPr>
        <w:t>for</w:t>
      </w:r>
      <w:r w:rsidR="00C429DE" w:rsidRPr="00C429DE">
        <w:rPr>
          <w:rFonts w:ascii="Times New Roman" w:hAnsi="Times New Roman"/>
          <w:iCs/>
          <w:color w:val="auto"/>
        </w:rPr>
        <w:t xml:space="preserve"> the treatment of CIDP</w:t>
      </w:r>
      <w:r w:rsidR="004B4D34">
        <w:rPr>
          <w:rFonts w:ascii="Times New Roman" w:hAnsi="Times New Roman"/>
          <w:iCs/>
          <w:color w:val="auto"/>
        </w:rPr>
        <w:t>.</w:t>
      </w:r>
      <w:r w:rsidR="00702596">
        <w:rPr>
          <w:rFonts w:ascii="Times New Roman" w:hAnsi="Times New Roman"/>
          <w:iCs/>
          <w:color w:val="auto"/>
        </w:rPr>
        <w:t xml:space="preserve"> MSAC specifically requested that the revised economic evaluation include </w:t>
      </w:r>
      <w:r w:rsidR="00702596" w:rsidRPr="00702596">
        <w:rPr>
          <w:rFonts w:ascii="Times New Roman" w:hAnsi="Times New Roman"/>
          <w:iCs/>
          <w:color w:val="auto"/>
        </w:rPr>
        <w:t>comparisons of Ig versus corticosteroids; Ig versus plasma exchange (PE); and Ig versus placebo (in a</w:t>
      </w:r>
      <w:r w:rsidR="005764BC">
        <w:rPr>
          <w:rFonts w:ascii="Times New Roman" w:hAnsi="Times New Roman"/>
          <w:iCs/>
          <w:color w:val="auto"/>
        </w:rPr>
        <w:t xml:space="preserve"> corticosteroid</w:t>
      </w:r>
      <w:r w:rsidR="00702596" w:rsidRPr="00702596">
        <w:rPr>
          <w:rFonts w:ascii="Times New Roman" w:hAnsi="Times New Roman"/>
          <w:iCs/>
          <w:color w:val="auto"/>
        </w:rPr>
        <w:t xml:space="preserve"> resistant population). MSAC also </w:t>
      </w:r>
      <w:r w:rsidR="00702596" w:rsidRPr="00702596">
        <w:rPr>
          <w:rFonts w:ascii="Times New Roman" w:hAnsi="Times New Roman"/>
          <w:iCs/>
          <w:color w:val="auto"/>
        </w:rPr>
        <w:lastRenderedPageBreak/>
        <w:t>requested an update of the systematic literature review on the safety and effectiveness of Ig for CIDP (including IVIg and SCIg), especially in relation to the safety of</w:t>
      </w:r>
      <w:r w:rsidR="00702596">
        <w:rPr>
          <w:rFonts w:ascii="Times New Roman" w:hAnsi="Times New Roman"/>
          <w:iCs/>
          <w:color w:val="auto"/>
        </w:rPr>
        <w:t xml:space="preserve"> its</w:t>
      </w:r>
      <w:r w:rsidR="00702596" w:rsidRPr="00702596">
        <w:rPr>
          <w:rFonts w:ascii="Times New Roman" w:hAnsi="Times New Roman"/>
          <w:iCs/>
          <w:color w:val="auto"/>
        </w:rPr>
        <w:t xml:space="preserve"> comparators</w:t>
      </w:r>
      <w:r w:rsidR="00272907">
        <w:rPr>
          <w:rFonts w:ascii="Times New Roman" w:hAnsi="Times New Roman"/>
          <w:iCs/>
          <w:color w:val="auto"/>
        </w:rPr>
        <w:t>.</w:t>
      </w:r>
    </w:p>
    <w:p w14:paraId="5B66FB10" w14:textId="308A0559" w:rsidR="00A13217" w:rsidRDefault="00A13217" w:rsidP="00B91C38">
      <w:pPr>
        <w:pStyle w:val="Default"/>
        <w:spacing w:after="240"/>
        <w:rPr>
          <w:rFonts w:ascii="Times New Roman" w:hAnsi="Times New Roman"/>
          <w:iCs/>
          <w:color w:val="auto"/>
        </w:rPr>
      </w:pPr>
      <w:r w:rsidRPr="00B91C38">
        <w:rPr>
          <w:rFonts w:ascii="Times New Roman" w:hAnsi="Times New Roman"/>
          <w:iCs/>
          <w:color w:val="auto"/>
        </w:rPr>
        <w:t xml:space="preserve">MSAC considered the revised </w:t>
      </w:r>
      <w:r>
        <w:rPr>
          <w:rFonts w:ascii="Times New Roman" w:hAnsi="Times New Roman"/>
          <w:iCs/>
          <w:color w:val="auto"/>
        </w:rPr>
        <w:t>DCAR</w:t>
      </w:r>
      <w:r w:rsidRPr="00B91C38">
        <w:rPr>
          <w:rFonts w:ascii="Times New Roman" w:hAnsi="Times New Roman"/>
          <w:iCs/>
          <w:color w:val="auto"/>
        </w:rPr>
        <w:t xml:space="preserve"> </w:t>
      </w:r>
      <w:r>
        <w:rPr>
          <w:rFonts w:ascii="Times New Roman" w:hAnsi="Times New Roman"/>
          <w:iCs/>
          <w:color w:val="auto"/>
        </w:rPr>
        <w:t xml:space="preserve">largely </w:t>
      </w:r>
      <w:r w:rsidRPr="00B91C38">
        <w:rPr>
          <w:rFonts w:ascii="Times New Roman" w:hAnsi="Times New Roman"/>
          <w:iCs/>
          <w:color w:val="auto"/>
        </w:rPr>
        <w:t xml:space="preserve">addressed the </w:t>
      </w:r>
      <w:r w:rsidR="004B4D34">
        <w:rPr>
          <w:rFonts w:ascii="Times New Roman" w:hAnsi="Times New Roman"/>
          <w:iCs/>
          <w:color w:val="auto"/>
        </w:rPr>
        <w:t>specific</w:t>
      </w:r>
      <w:r w:rsidRPr="00B91C38">
        <w:rPr>
          <w:rFonts w:ascii="Times New Roman" w:hAnsi="Times New Roman"/>
          <w:iCs/>
          <w:color w:val="auto"/>
        </w:rPr>
        <w:t xml:space="preserve"> requests made at its deferral in April 2020</w:t>
      </w:r>
      <w:r>
        <w:rPr>
          <w:rFonts w:ascii="Times New Roman" w:hAnsi="Times New Roman"/>
          <w:iCs/>
          <w:color w:val="auto"/>
        </w:rPr>
        <w:t>,</w:t>
      </w:r>
      <w:r w:rsidRPr="00B91C38">
        <w:rPr>
          <w:rFonts w:ascii="Times New Roman" w:hAnsi="Times New Roman"/>
          <w:iCs/>
          <w:color w:val="auto"/>
        </w:rPr>
        <w:t xml:space="preserve"> </w:t>
      </w:r>
      <w:r>
        <w:rPr>
          <w:rFonts w:ascii="Times New Roman" w:hAnsi="Times New Roman"/>
          <w:iCs/>
          <w:color w:val="auto"/>
        </w:rPr>
        <w:t>although</w:t>
      </w:r>
      <w:r w:rsidRPr="00B91C38">
        <w:rPr>
          <w:rFonts w:ascii="Times New Roman" w:hAnsi="Times New Roman"/>
          <w:iCs/>
          <w:color w:val="auto"/>
        </w:rPr>
        <w:t xml:space="preserve"> the updated systemic literature review of comparative safety and clinical effectiveness of Ig for treatment of CIDP found no additional RCT evidence comparing Ig with</w:t>
      </w:r>
      <w:r w:rsidR="005764BC">
        <w:rPr>
          <w:rFonts w:ascii="Times New Roman" w:hAnsi="Times New Roman"/>
          <w:iCs/>
          <w:color w:val="auto"/>
        </w:rPr>
        <w:t xml:space="preserve"> corticosteroids</w:t>
      </w:r>
      <w:r w:rsidRPr="00B91C38">
        <w:rPr>
          <w:rFonts w:ascii="Times New Roman" w:hAnsi="Times New Roman"/>
          <w:iCs/>
          <w:color w:val="auto"/>
        </w:rPr>
        <w:t xml:space="preserve">, PE, immunosuppressants, or combinations therapies for CIDP. </w:t>
      </w:r>
      <w:r w:rsidRPr="009743F9">
        <w:rPr>
          <w:rFonts w:ascii="Times New Roman" w:hAnsi="Times New Roman"/>
          <w:iCs/>
          <w:color w:val="auto"/>
        </w:rPr>
        <w:t xml:space="preserve">MSAC considered the evidence presented and noted that the </w:t>
      </w:r>
      <w:r>
        <w:rPr>
          <w:rFonts w:ascii="Times New Roman" w:hAnsi="Times New Roman"/>
          <w:iCs/>
          <w:color w:val="auto"/>
        </w:rPr>
        <w:t xml:space="preserve">clinical claim in the revised </w:t>
      </w:r>
      <w:r w:rsidRPr="009743F9">
        <w:rPr>
          <w:rFonts w:ascii="Times New Roman" w:hAnsi="Times New Roman"/>
          <w:iCs/>
          <w:color w:val="auto"/>
        </w:rPr>
        <w:t xml:space="preserve">DCAR </w:t>
      </w:r>
      <w:r>
        <w:rPr>
          <w:rFonts w:ascii="Times New Roman" w:hAnsi="Times New Roman"/>
          <w:iCs/>
          <w:color w:val="auto"/>
        </w:rPr>
        <w:t xml:space="preserve">was unchanged from </w:t>
      </w:r>
      <w:r w:rsidR="004B4D34">
        <w:rPr>
          <w:rFonts w:ascii="Times New Roman" w:hAnsi="Times New Roman"/>
          <w:iCs/>
          <w:color w:val="auto"/>
        </w:rPr>
        <w:t>the conclusions at its previous consideration</w:t>
      </w:r>
      <w:r>
        <w:rPr>
          <w:rFonts w:ascii="Times New Roman" w:hAnsi="Times New Roman"/>
          <w:iCs/>
          <w:color w:val="auto"/>
        </w:rPr>
        <w:t>:</w:t>
      </w:r>
    </w:p>
    <w:p w14:paraId="132F650D" w14:textId="77777777" w:rsidR="00A13217" w:rsidRPr="006D55BC" w:rsidRDefault="00A13217" w:rsidP="00A13217">
      <w:pPr>
        <w:numPr>
          <w:ilvl w:val="0"/>
          <w:numId w:val="44"/>
        </w:numPr>
        <w:spacing w:before="0" w:after="0"/>
        <w:jc w:val="left"/>
      </w:pPr>
      <w:r w:rsidRPr="006D55BC">
        <w:t>Ig has non-inferior effectiveness and superior safety compared to corticosteroids.</w:t>
      </w:r>
    </w:p>
    <w:p w14:paraId="1C446B6E" w14:textId="07076525" w:rsidR="00A13217" w:rsidRPr="006D55BC" w:rsidRDefault="00A13217" w:rsidP="00A13217">
      <w:pPr>
        <w:numPr>
          <w:ilvl w:val="0"/>
          <w:numId w:val="44"/>
        </w:numPr>
        <w:spacing w:before="0" w:after="0"/>
        <w:jc w:val="left"/>
      </w:pPr>
      <w:r w:rsidRPr="006D55BC">
        <w:t>There was insufficient evidence to comment on the relative safety and effectiveness of Ig compared to PE, immunosuppressant or combination therapy.</w:t>
      </w:r>
    </w:p>
    <w:p w14:paraId="07DA2E49" w14:textId="77777777" w:rsidR="00A13217" w:rsidRPr="006D55BC" w:rsidRDefault="00A13217" w:rsidP="00A13217">
      <w:pPr>
        <w:numPr>
          <w:ilvl w:val="0"/>
          <w:numId w:val="44"/>
        </w:numPr>
        <w:spacing w:before="0" w:after="0"/>
        <w:jc w:val="left"/>
      </w:pPr>
      <w:r w:rsidRPr="006D55BC">
        <w:t>Ig has superior effectiveness and inferior safety to no treatment, noting that the treatment is generally safe and well-tolerated.</w:t>
      </w:r>
    </w:p>
    <w:p w14:paraId="2F75AF0E" w14:textId="7AB39233" w:rsidR="00C84A2B" w:rsidRDefault="00F96406" w:rsidP="00B91C38">
      <w:pPr>
        <w:pStyle w:val="Default"/>
        <w:spacing w:after="240"/>
        <w:rPr>
          <w:rFonts w:ascii="Times New Roman" w:hAnsi="Times New Roman"/>
          <w:iCs/>
          <w:color w:val="auto"/>
        </w:rPr>
      </w:pPr>
      <w:r>
        <w:rPr>
          <w:rFonts w:ascii="Times New Roman" w:hAnsi="Times New Roman"/>
          <w:iCs/>
          <w:color w:val="auto"/>
        </w:rPr>
        <w:t>MSAC noted that</w:t>
      </w:r>
      <w:r w:rsidR="00A13217">
        <w:rPr>
          <w:rFonts w:ascii="Times New Roman" w:hAnsi="Times New Roman"/>
          <w:iCs/>
          <w:color w:val="auto"/>
        </w:rPr>
        <w:t xml:space="preserve"> </w:t>
      </w:r>
      <w:r>
        <w:rPr>
          <w:rFonts w:ascii="Times New Roman" w:hAnsi="Times New Roman"/>
          <w:iCs/>
          <w:color w:val="auto"/>
        </w:rPr>
        <w:t xml:space="preserve">consistent with its previous request, </w:t>
      </w:r>
      <w:r w:rsidR="00A13217">
        <w:rPr>
          <w:rFonts w:ascii="Times New Roman" w:hAnsi="Times New Roman"/>
          <w:iCs/>
          <w:color w:val="auto"/>
        </w:rPr>
        <w:t>the</w:t>
      </w:r>
      <w:r w:rsidR="00122094">
        <w:rPr>
          <w:rFonts w:ascii="Times New Roman" w:hAnsi="Times New Roman"/>
          <w:iCs/>
          <w:color w:val="auto"/>
        </w:rPr>
        <w:t xml:space="preserve"> economic evaluation</w:t>
      </w:r>
      <w:r w:rsidR="00702596">
        <w:rPr>
          <w:rFonts w:ascii="Times New Roman" w:hAnsi="Times New Roman"/>
          <w:iCs/>
          <w:color w:val="auto"/>
        </w:rPr>
        <w:t xml:space="preserve"> structure</w:t>
      </w:r>
      <w:r w:rsidR="00122094">
        <w:rPr>
          <w:rFonts w:ascii="Times New Roman" w:hAnsi="Times New Roman"/>
          <w:iCs/>
          <w:color w:val="auto"/>
        </w:rPr>
        <w:t xml:space="preserve"> </w:t>
      </w:r>
      <w:r>
        <w:rPr>
          <w:rFonts w:ascii="Times New Roman" w:hAnsi="Times New Roman"/>
          <w:iCs/>
          <w:color w:val="auto"/>
        </w:rPr>
        <w:t>presented in the revised DCAR</w:t>
      </w:r>
      <w:r w:rsidR="00702596">
        <w:rPr>
          <w:rFonts w:ascii="Times New Roman" w:hAnsi="Times New Roman"/>
          <w:iCs/>
          <w:color w:val="auto"/>
        </w:rPr>
        <w:t xml:space="preserve"> now</w:t>
      </w:r>
      <w:r>
        <w:rPr>
          <w:rFonts w:ascii="Times New Roman" w:hAnsi="Times New Roman"/>
          <w:iCs/>
          <w:color w:val="auto"/>
        </w:rPr>
        <w:t xml:space="preserve"> includes</w:t>
      </w:r>
      <w:r w:rsidR="00122094">
        <w:rPr>
          <w:rFonts w:ascii="Times New Roman" w:hAnsi="Times New Roman"/>
          <w:iCs/>
          <w:color w:val="auto"/>
        </w:rPr>
        <w:t xml:space="preserve"> three distinct models using 3 different comparators </w:t>
      </w:r>
      <w:r>
        <w:rPr>
          <w:rFonts w:ascii="Times New Roman" w:hAnsi="Times New Roman"/>
          <w:iCs/>
          <w:color w:val="auto"/>
        </w:rPr>
        <w:t>and</w:t>
      </w:r>
      <w:r w:rsidR="00122094">
        <w:rPr>
          <w:rFonts w:ascii="Times New Roman" w:hAnsi="Times New Roman"/>
          <w:iCs/>
          <w:color w:val="auto"/>
        </w:rPr>
        <w:t xml:space="preserve">: </w:t>
      </w:r>
    </w:p>
    <w:p w14:paraId="5E998177" w14:textId="55BB80E9" w:rsidR="00C84A2B" w:rsidRDefault="00E7197E" w:rsidP="00702596">
      <w:pPr>
        <w:pStyle w:val="Default"/>
        <w:numPr>
          <w:ilvl w:val="0"/>
          <w:numId w:val="45"/>
        </w:numPr>
        <w:spacing w:before="0"/>
        <w:rPr>
          <w:rFonts w:ascii="Times New Roman" w:hAnsi="Times New Roman"/>
          <w:iCs/>
          <w:color w:val="auto"/>
        </w:rPr>
      </w:pPr>
      <w:r>
        <w:rPr>
          <w:rFonts w:ascii="Times New Roman" w:hAnsi="Times New Roman"/>
          <w:iCs/>
          <w:color w:val="auto"/>
        </w:rPr>
        <w:t>Included</w:t>
      </w:r>
      <w:r w:rsidR="00122094">
        <w:rPr>
          <w:rFonts w:ascii="Times New Roman" w:hAnsi="Times New Roman"/>
          <w:iCs/>
          <w:color w:val="auto"/>
        </w:rPr>
        <w:t xml:space="preserve"> health states where patients cease/stop Ig or the comparator due to remission </w:t>
      </w:r>
      <w:r>
        <w:rPr>
          <w:rFonts w:ascii="Times New Roman" w:hAnsi="Times New Roman"/>
          <w:iCs/>
          <w:color w:val="auto"/>
        </w:rPr>
        <w:t>or</w:t>
      </w:r>
      <w:r w:rsidR="00122094">
        <w:rPr>
          <w:rFonts w:ascii="Times New Roman" w:hAnsi="Times New Roman"/>
          <w:iCs/>
          <w:color w:val="auto"/>
        </w:rPr>
        <w:t xml:space="preserve"> treatment failure; </w:t>
      </w:r>
    </w:p>
    <w:p w14:paraId="604DD98A" w14:textId="38336AF0" w:rsidR="00C84A2B" w:rsidRDefault="00702596" w:rsidP="00702596">
      <w:pPr>
        <w:pStyle w:val="Default"/>
        <w:numPr>
          <w:ilvl w:val="0"/>
          <w:numId w:val="45"/>
        </w:numPr>
        <w:spacing w:before="0"/>
        <w:rPr>
          <w:rFonts w:ascii="Times New Roman" w:hAnsi="Times New Roman"/>
          <w:iCs/>
          <w:color w:val="auto"/>
        </w:rPr>
      </w:pPr>
      <w:r>
        <w:rPr>
          <w:rFonts w:ascii="Times New Roman" w:hAnsi="Times New Roman"/>
          <w:iCs/>
          <w:color w:val="auto"/>
        </w:rPr>
        <w:t xml:space="preserve">A </w:t>
      </w:r>
      <w:r w:rsidR="00C84A2B">
        <w:rPr>
          <w:rFonts w:ascii="Times New Roman" w:hAnsi="Times New Roman"/>
          <w:iCs/>
          <w:color w:val="auto"/>
        </w:rPr>
        <w:t xml:space="preserve">base-case starting with </w:t>
      </w:r>
      <w:r w:rsidR="00F96406">
        <w:rPr>
          <w:rFonts w:ascii="Times New Roman" w:hAnsi="Times New Roman"/>
          <w:iCs/>
          <w:color w:val="auto"/>
        </w:rPr>
        <w:t>trial-</w:t>
      </w:r>
      <w:r w:rsidR="00C84A2B">
        <w:rPr>
          <w:rFonts w:ascii="Times New Roman" w:hAnsi="Times New Roman"/>
          <w:iCs/>
          <w:color w:val="auto"/>
        </w:rPr>
        <w:t xml:space="preserve">based inputs for efficacy, safety, cessation rates and doses over trial time horizon; and </w:t>
      </w:r>
    </w:p>
    <w:p w14:paraId="63951BD8" w14:textId="0956EC7B" w:rsidR="00444EC6" w:rsidRPr="00702596" w:rsidRDefault="00702596" w:rsidP="00702596">
      <w:pPr>
        <w:pStyle w:val="Default"/>
        <w:numPr>
          <w:ilvl w:val="0"/>
          <w:numId w:val="45"/>
        </w:numPr>
        <w:spacing w:before="0" w:after="240"/>
        <w:rPr>
          <w:rFonts w:ascii="Times New Roman" w:hAnsi="Times New Roman"/>
          <w:iCs/>
          <w:color w:val="auto"/>
        </w:rPr>
      </w:pPr>
      <w:r>
        <w:rPr>
          <w:rFonts w:ascii="Times New Roman" w:hAnsi="Times New Roman"/>
          <w:iCs/>
          <w:color w:val="auto"/>
        </w:rPr>
        <w:t>A</w:t>
      </w:r>
      <w:r w:rsidR="00C84A2B" w:rsidRPr="00C84A2B">
        <w:rPr>
          <w:rFonts w:ascii="Times New Roman" w:hAnsi="Times New Roman"/>
          <w:iCs/>
          <w:color w:val="auto"/>
        </w:rPr>
        <w:t xml:space="preserve">dditional inputs on dose and time on treatment reflective of clinical practice in Australia. </w:t>
      </w:r>
    </w:p>
    <w:p w14:paraId="6C50AED9" w14:textId="0A7FC9EE" w:rsidR="004B4D34" w:rsidRDefault="006D1A8B" w:rsidP="004B4D34">
      <w:pPr>
        <w:pStyle w:val="Default"/>
        <w:spacing w:after="240"/>
        <w:rPr>
          <w:rFonts w:ascii="Times New Roman" w:hAnsi="Times New Roman"/>
          <w:iCs/>
          <w:color w:val="auto"/>
        </w:rPr>
      </w:pPr>
      <w:r>
        <w:rPr>
          <w:rFonts w:ascii="Times New Roman" w:hAnsi="Times New Roman"/>
          <w:iCs/>
          <w:color w:val="auto"/>
        </w:rPr>
        <w:t xml:space="preserve">MSAC noted that for the comparison of Ig versus corticosteroids, </w:t>
      </w:r>
      <w:r w:rsidR="004B4D34">
        <w:rPr>
          <w:rFonts w:ascii="Times New Roman" w:hAnsi="Times New Roman"/>
          <w:iCs/>
          <w:color w:val="auto"/>
        </w:rPr>
        <w:t xml:space="preserve">the base-case </w:t>
      </w:r>
      <w:r>
        <w:rPr>
          <w:rFonts w:ascii="Times New Roman" w:hAnsi="Times New Roman"/>
          <w:iCs/>
          <w:color w:val="auto"/>
        </w:rPr>
        <w:t>incremental cost-effectiveness ratio (</w:t>
      </w:r>
      <w:r w:rsidR="004B4D34">
        <w:rPr>
          <w:rFonts w:ascii="Times New Roman" w:hAnsi="Times New Roman"/>
          <w:iCs/>
          <w:color w:val="auto"/>
        </w:rPr>
        <w:t>ICER</w:t>
      </w:r>
      <w:r>
        <w:rPr>
          <w:rFonts w:ascii="Times New Roman" w:hAnsi="Times New Roman"/>
          <w:iCs/>
          <w:color w:val="auto"/>
        </w:rPr>
        <w:t>)</w:t>
      </w:r>
      <w:r w:rsidR="004B4D34">
        <w:rPr>
          <w:rFonts w:ascii="Times New Roman" w:hAnsi="Times New Roman"/>
          <w:iCs/>
          <w:color w:val="auto"/>
        </w:rPr>
        <w:t xml:space="preserve"> </w:t>
      </w:r>
      <w:r>
        <w:rPr>
          <w:rFonts w:ascii="Times New Roman" w:hAnsi="Times New Roman"/>
          <w:iCs/>
          <w:color w:val="auto"/>
        </w:rPr>
        <w:t>was</w:t>
      </w:r>
      <w:r w:rsidR="004B4D34">
        <w:rPr>
          <w:rFonts w:ascii="Times New Roman" w:hAnsi="Times New Roman"/>
          <w:iCs/>
          <w:color w:val="auto"/>
        </w:rPr>
        <w:t xml:space="preserve"> $116,088</w:t>
      </w:r>
      <w:r>
        <w:rPr>
          <w:rFonts w:ascii="Times New Roman" w:hAnsi="Times New Roman"/>
          <w:iCs/>
          <w:color w:val="auto"/>
        </w:rPr>
        <w:t>, driven mainly b</w:t>
      </w:r>
      <w:r w:rsidR="00780F14">
        <w:rPr>
          <w:rFonts w:ascii="Times New Roman" w:hAnsi="Times New Roman"/>
          <w:iCs/>
          <w:color w:val="auto"/>
        </w:rPr>
        <w:t>y</w:t>
      </w:r>
      <w:r>
        <w:rPr>
          <w:rFonts w:ascii="Times New Roman" w:hAnsi="Times New Roman"/>
          <w:iCs/>
          <w:color w:val="auto"/>
        </w:rPr>
        <w:t xml:space="preserve"> the cost of Ig. MSAC </w:t>
      </w:r>
      <w:r w:rsidR="00D83BB2">
        <w:rPr>
          <w:rFonts w:ascii="Times New Roman" w:hAnsi="Times New Roman"/>
          <w:iCs/>
          <w:color w:val="auto"/>
        </w:rPr>
        <w:t>agreed with</w:t>
      </w:r>
      <w:r>
        <w:rPr>
          <w:rFonts w:ascii="Times New Roman" w:hAnsi="Times New Roman"/>
          <w:iCs/>
          <w:color w:val="auto"/>
        </w:rPr>
        <w:t xml:space="preserve"> ESC that the estimated ICER is high and uncertain, although </w:t>
      </w:r>
      <w:r w:rsidR="004B4D34">
        <w:rPr>
          <w:rFonts w:ascii="Times New Roman" w:hAnsi="Times New Roman"/>
          <w:iCs/>
          <w:color w:val="auto"/>
        </w:rPr>
        <w:t>l</w:t>
      </w:r>
      <w:r w:rsidR="00702596">
        <w:rPr>
          <w:rFonts w:ascii="Times New Roman" w:hAnsi="Times New Roman"/>
          <w:iCs/>
          <w:color w:val="auto"/>
        </w:rPr>
        <w:t>ower</w:t>
      </w:r>
      <w:r w:rsidR="004B4D34">
        <w:rPr>
          <w:rFonts w:ascii="Times New Roman" w:hAnsi="Times New Roman"/>
          <w:iCs/>
          <w:color w:val="auto"/>
        </w:rPr>
        <w:t xml:space="preserve"> than t</w:t>
      </w:r>
      <w:r>
        <w:rPr>
          <w:rFonts w:ascii="Times New Roman" w:hAnsi="Times New Roman"/>
          <w:iCs/>
          <w:color w:val="auto"/>
        </w:rPr>
        <w:t>hat estimated in the original DCAR</w:t>
      </w:r>
      <w:r w:rsidR="004B4D34">
        <w:rPr>
          <w:rFonts w:ascii="Times New Roman" w:hAnsi="Times New Roman"/>
          <w:iCs/>
          <w:color w:val="auto"/>
        </w:rPr>
        <w:t xml:space="preserve"> ($197,472) due to the incorporation of severe/long term </w:t>
      </w:r>
      <w:r w:rsidR="00702596">
        <w:rPr>
          <w:rFonts w:ascii="Times New Roman" w:hAnsi="Times New Roman"/>
          <w:iCs/>
          <w:color w:val="auto"/>
        </w:rPr>
        <w:t>adverse events (</w:t>
      </w:r>
      <w:r w:rsidR="004B4D34">
        <w:rPr>
          <w:rFonts w:ascii="Times New Roman" w:hAnsi="Times New Roman"/>
          <w:iCs/>
          <w:color w:val="auto"/>
        </w:rPr>
        <w:t>AEs</w:t>
      </w:r>
      <w:r w:rsidR="00702596">
        <w:rPr>
          <w:rFonts w:ascii="Times New Roman" w:hAnsi="Times New Roman"/>
          <w:iCs/>
          <w:color w:val="auto"/>
        </w:rPr>
        <w:t>)</w:t>
      </w:r>
      <w:r w:rsidR="004B4D34">
        <w:rPr>
          <w:rFonts w:ascii="Times New Roman" w:hAnsi="Times New Roman"/>
          <w:iCs/>
          <w:color w:val="auto"/>
        </w:rPr>
        <w:t xml:space="preserve"> associate with</w:t>
      </w:r>
      <w:r w:rsidR="005764BC">
        <w:rPr>
          <w:rFonts w:ascii="Times New Roman" w:hAnsi="Times New Roman"/>
          <w:iCs/>
          <w:color w:val="auto"/>
        </w:rPr>
        <w:t xml:space="preserve"> corticosteroids</w:t>
      </w:r>
      <w:r w:rsidR="004B4D34">
        <w:rPr>
          <w:rFonts w:ascii="Times New Roman" w:hAnsi="Times New Roman"/>
          <w:iCs/>
          <w:color w:val="auto"/>
        </w:rPr>
        <w:t xml:space="preserve">. MSAC noted </w:t>
      </w:r>
      <w:r w:rsidR="00780F14">
        <w:rPr>
          <w:rFonts w:ascii="Times New Roman" w:hAnsi="Times New Roman"/>
          <w:iCs/>
          <w:color w:val="auto"/>
        </w:rPr>
        <w:t>comments</w:t>
      </w:r>
      <w:r w:rsidR="004B4D34">
        <w:rPr>
          <w:rFonts w:ascii="Times New Roman" w:hAnsi="Times New Roman"/>
          <w:iCs/>
          <w:color w:val="auto"/>
        </w:rPr>
        <w:t xml:space="preserve"> </w:t>
      </w:r>
      <w:r w:rsidR="00780F14">
        <w:rPr>
          <w:rFonts w:ascii="Times New Roman" w:hAnsi="Times New Roman"/>
          <w:iCs/>
          <w:color w:val="auto"/>
        </w:rPr>
        <w:t>from</w:t>
      </w:r>
      <w:r w:rsidR="004B4D34">
        <w:rPr>
          <w:rFonts w:ascii="Times New Roman" w:hAnsi="Times New Roman"/>
          <w:iCs/>
          <w:color w:val="auto"/>
        </w:rPr>
        <w:t xml:space="preserve"> </w:t>
      </w:r>
      <w:r w:rsidR="00780F14">
        <w:rPr>
          <w:rFonts w:ascii="Times New Roman" w:hAnsi="Times New Roman"/>
          <w:iCs/>
          <w:color w:val="auto"/>
        </w:rPr>
        <w:t xml:space="preserve">ESC and </w:t>
      </w:r>
      <w:r>
        <w:rPr>
          <w:rFonts w:ascii="Times New Roman" w:hAnsi="Times New Roman"/>
          <w:iCs/>
          <w:color w:val="auto"/>
        </w:rPr>
        <w:t xml:space="preserve">stakeholders that the </w:t>
      </w:r>
      <w:r w:rsidR="00702596">
        <w:rPr>
          <w:rFonts w:ascii="Times New Roman" w:hAnsi="Times New Roman"/>
          <w:iCs/>
          <w:color w:val="auto"/>
        </w:rPr>
        <w:t xml:space="preserve">severe </w:t>
      </w:r>
      <w:r>
        <w:rPr>
          <w:rFonts w:ascii="Times New Roman" w:hAnsi="Times New Roman"/>
          <w:iCs/>
          <w:color w:val="auto"/>
        </w:rPr>
        <w:t>AE</w:t>
      </w:r>
      <w:r w:rsidR="00780F14">
        <w:rPr>
          <w:rFonts w:ascii="Times New Roman" w:hAnsi="Times New Roman"/>
          <w:iCs/>
          <w:color w:val="auto"/>
        </w:rPr>
        <w:t xml:space="preserve"> assumptions </w:t>
      </w:r>
      <w:r w:rsidR="00D83BB2" w:rsidRPr="00D83BB2">
        <w:rPr>
          <w:rFonts w:ascii="Times New Roman" w:hAnsi="Times New Roman"/>
          <w:iCs/>
          <w:color w:val="auto"/>
        </w:rPr>
        <w:t>associated with long-term</w:t>
      </w:r>
      <w:r w:rsidR="005764BC">
        <w:rPr>
          <w:rFonts w:ascii="Times New Roman" w:hAnsi="Times New Roman"/>
          <w:iCs/>
          <w:color w:val="auto"/>
        </w:rPr>
        <w:t xml:space="preserve"> corticosteroid</w:t>
      </w:r>
      <w:r w:rsidR="00D83BB2" w:rsidRPr="00D83BB2">
        <w:rPr>
          <w:rFonts w:ascii="Times New Roman" w:hAnsi="Times New Roman"/>
          <w:iCs/>
          <w:color w:val="auto"/>
        </w:rPr>
        <w:t xml:space="preserve"> use </w:t>
      </w:r>
      <w:r w:rsidR="000C4DAC">
        <w:rPr>
          <w:rFonts w:ascii="Times New Roman" w:hAnsi="Times New Roman"/>
          <w:iCs/>
          <w:color w:val="auto"/>
        </w:rPr>
        <w:t xml:space="preserve">was </w:t>
      </w:r>
      <w:r w:rsidR="00D83BB2" w:rsidRPr="00D83BB2">
        <w:rPr>
          <w:rFonts w:ascii="Times New Roman" w:hAnsi="Times New Roman"/>
          <w:iCs/>
          <w:color w:val="auto"/>
        </w:rPr>
        <w:t xml:space="preserve">based on a study </w:t>
      </w:r>
      <w:r w:rsidR="00D83BB2">
        <w:rPr>
          <w:rFonts w:ascii="Times New Roman" w:hAnsi="Times New Roman"/>
          <w:iCs/>
          <w:color w:val="auto"/>
        </w:rPr>
        <w:t>of patients</w:t>
      </w:r>
      <w:r w:rsidR="00780F14">
        <w:rPr>
          <w:rFonts w:ascii="Times New Roman" w:hAnsi="Times New Roman"/>
          <w:iCs/>
          <w:color w:val="auto"/>
        </w:rPr>
        <w:t xml:space="preserve"> with giant cell arteritis rather than CIDP patients, but MSAC considered that AEs arising from </w:t>
      </w:r>
      <w:r w:rsidR="003821E4">
        <w:rPr>
          <w:rFonts w:ascii="Times New Roman" w:hAnsi="Times New Roman"/>
          <w:iCs/>
          <w:color w:val="auto"/>
        </w:rPr>
        <w:t>long-term</w:t>
      </w:r>
      <w:r w:rsidR="005764BC">
        <w:rPr>
          <w:rFonts w:ascii="Times New Roman" w:hAnsi="Times New Roman"/>
          <w:iCs/>
          <w:color w:val="auto"/>
        </w:rPr>
        <w:t xml:space="preserve"> corticosteroid</w:t>
      </w:r>
      <w:r w:rsidR="00780F14">
        <w:rPr>
          <w:rFonts w:ascii="Times New Roman" w:hAnsi="Times New Roman"/>
          <w:iCs/>
          <w:color w:val="auto"/>
        </w:rPr>
        <w:t xml:space="preserve"> use are not likely to vary by underlying disease and so the use of these studies </w:t>
      </w:r>
      <w:r w:rsidR="003507F9">
        <w:rPr>
          <w:rFonts w:ascii="Times New Roman" w:hAnsi="Times New Roman"/>
          <w:iCs/>
          <w:color w:val="auto"/>
        </w:rPr>
        <w:t>was</w:t>
      </w:r>
      <w:r w:rsidR="00780F14">
        <w:rPr>
          <w:rFonts w:ascii="Times New Roman" w:hAnsi="Times New Roman"/>
          <w:iCs/>
          <w:color w:val="auto"/>
        </w:rPr>
        <w:t xml:space="preserve"> reasonable.</w:t>
      </w:r>
    </w:p>
    <w:p w14:paraId="09A985E3" w14:textId="76AA20A9" w:rsidR="00780F14" w:rsidRDefault="004B4D34" w:rsidP="004B4D34">
      <w:pPr>
        <w:pStyle w:val="Default"/>
        <w:spacing w:after="240"/>
        <w:rPr>
          <w:rFonts w:ascii="Times New Roman" w:hAnsi="Times New Roman"/>
          <w:iCs/>
          <w:color w:val="auto"/>
        </w:rPr>
      </w:pPr>
      <w:r>
        <w:rPr>
          <w:rFonts w:ascii="Times New Roman" w:hAnsi="Times New Roman"/>
          <w:iCs/>
          <w:color w:val="auto"/>
        </w:rPr>
        <w:t>MSAC noted th</w:t>
      </w:r>
      <w:r w:rsidR="00780F14">
        <w:rPr>
          <w:rFonts w:ascii="Times New Roman" w:hAnsi="Times New Roman"/>
          <w:iCs/>
          <w:color w:val="auto"/>
        </w:rPr>
        <w:t xml:space="preserve">at for the </w:t>
      </w:r>
      <w:r w:rsidR="00702596">
        <w:rPr>
          <w:rFonts w:ascii="Times New Roman" w:hAnsi="Times New Roman"/>
          <w:iCs/>
          <w:color w:val="auto"/>
        </w:rPr>
        <w:t xml:space="preserve">secondary </w:t>
      </w:r>
      <w:r w:rsidR="00780F14">
        <w:rPr>
          <w:rFonts w:ascii="Times New Roman" w:hAnsi="Times New Roman"/>
          <w:iCs/>
          <w:color w:val="auto"/>
        </w:rPr>
        <w:t>comparison of Ig versus PE, the</w:t>
      </w:r>
      <w:r>
        <w:rPr>
          <w:rFonts w:ascii="Times New Roman" w:hAnsi="Times New Roman"/>
          <w:iCs/>
          <w:color w:val="auto"/>
        </w:rPr>
        <w:t xml:space="preserve"> base-case ICER </w:t>
      </w:r>
      <w:r w:rsidR="00780F14">
        <w:rPr>
          <w:rFonts w:ascii="Times New Roman" w:hAnsi="Times New Roman"/>
          <w:iCs/>
          <w:color w:val="auto"/>
        </w:rPr>
        <w:t>was</w:t>
      </w:r>
      <w:r>
        <w:rPr>
          <w:rFonts w:ascii="Times New Roman" w:hAnsi="Times New Roman"/>
          <w:iCs/>
          <w:color w:val="auto"/>
        </w:rPr>
        <w:t xml:space="preserve"> $128,614</w:t>
      </w:r>
      <w:r w:rsidR="00780F14">
        <w:rPr>
          <w:rFonts w:ascii="Times New Roman" w:hAnsi="Times New Roman"/>
          <w:iCs/>
          <w:color w:val="auto"/>
        </w:rPr>
        <w:t xml:space="preserve">. </w:t>
      </w:r>
      <w:r>
        <w:rPr>
          <w:rFonts w:ascii="Times New Roman" w:hAnsi="Times New Roman"/>
          <w:iCs/>
          <w:color w:val="auto"/>
        </w:rPr>
        <w:t xml:space="preserve">MSAC </w:t>
      </w:r>
      <w:r w:rsidR="00780F14">
        <w:rPr>
          <w:rFonts w:ascii="Times New Roman" w:hAnsi="Times New Roman"/>
          <w:iCs/>
          <w:color w:val="auto"/>
        </w:rPr>
        <w:t>considered this ICER high and highly uncertain, noting there</w:t>
      </w:r>
      <w:r>
        <w:rPr>
          <w:rFonts w:ascii="Times New Roman" w:hAnsi="Times New Roman"/>
          <w:iCs/>
          <w:color w:val="auto"/>
        </w:rPr>
        <w:t xml:space="preserve"> was insufficient</w:t>
      </w:r>
      <w:r w:rsidR="00780F14">
        <w:rPr>
          <w:rFonts w:ascii="Times New Roman" w:hAnsi="Times New Roman"/>
          <w:iCs/>
          <w:color w:val="auto"/>
        </w:rPr>
        <w:t xml:space="preserve"> clinical</w:t>
      </w:r>
      <w:r>
        <w:rPr>
          <w:rFonts w:ascii="Times New Roman" w:hAnsi="Times New Roman"/>
          <w:iCs/>
          <w:color w:val="auto"/>
        </w:rPr>
        <w:t xml:space="preserve"> evidence </w:t>
      </w:r>
      <w:r w:rsidR="00780F14">
        <w:rPr>
          <w:rFonts w:ascii="Times New Roman" w:hAnsi="Times New Roman"/>
          <w:iCs/>
          <w:color w:val="auto"/>
        </w:rPr>
        <w:t xml:space="preserve">regarding the relative effectiveness of these treatments. </w:t>
      </w:r>
    </w:p>
    <w:p w14:paraId="251F33C1" w14:textId="0F89801C" w:rsidR="004B4D34" w:rsidRPr="006F16CC" w:rsidRDefault="004B4D34" w:rsidP="004B4D34">
      <w:pPr>
        <w:pStyle w:val="Default"/>
        <w:spacing w:after="240"/>
        <w:rPr>
          <w:rFonts w:ascii="Times New Roman" w:hAnsi="Times New Roman"/>
          <w:iCs/>
          <w:color w:val="auto"/>
        </w:rPr>
      </w:pPr>
      <w:r>
        <w:rPr>
          <w:rFonts w:ascii="Times New Roman" w:hAnsi="Times New Roman"/>
          <w:iCs/>
          <w:color w:val="auto"/>
        </w:rPr>
        <w:t>MSAC</w:t>
      </w:r>
      <w:r w:rsidR="003507F9">
        <w:rPr>
          <w:rFonts w:ascii="Times New Roman" w:hAnsi="Times New Roman"/>
          <w:iCs/>
          <w:color w:val="auto"/>
        </w:rPr>
        <w:t xml:space="preserve"> also</w:t>
      </w:r>
      <w:r>
        <w:rPr>
          <w:rFonts w:ascii="Times New Roman" w:hAnsi="Times New Roman"/>
          <w:iCs/>
          <w:color w:val="auto"/>
        </w:rPr>
        <w:t xml:space="preserve"> noted the base-case ICER of $92,983 estimated for second-line use Ig in </w:t>
      </w:r>
      <w:r w:rsidR="003D2F15">
        <w:rPr>
          <w:rFonts w:ascii="Times New Roman" w:hAnsi="Times New Roman"/>
          <w:iCs/>
          <w:color w:val="auto"/>
        </w:rPr>
        <w:t xml:space="preserve">the </w:t>
      </w:r>
      <w:r w:rsidR="005764BC">
        <w:rPr>
          <w:rFonts w:ascii="Times New Roman" w:hAnsi="Times New Roman"/>
          <w:iCs/>
          <w:color w:val="auto"/>
        </w:rPr>
        <w:t>cortico</w:t>
      </w:r>
      <w:r>
        <w:rPr>
          <w:rFonts w:ascii="Times New Roman" w:hAnsi="Times New Roman"/>
          <w:iCs/>
          <w:color w:val="auto"/>
        </w:rPr>
        <w:t>steroid</w:t>
      </w:r>
      <w:r w:rsidR="003D2F15">
        <w:rPr>
          <w:rFonts w:ascii="Times New Roman" w:hAnsi="Times New Roman"/>
          <w:iCs/>
          <w:color w:val="auto"/>
        </w:rPr>
        <w:t> </w:t>
      </w:r>
      <w:r>
        <w:rPr>
          <w:rFonts w:ascii="Times New Roman" w:hAnsi="Times New Roman"/>
          <w:iCs/>
          <w:color w:val="auto"/>
        </w:rPr>
        <w:t>resistant population versus placebo.</w:t>
      </w:r>
    </w:p>
    <w:p w14:paraId="1FA1F789" w14:textId="7A5A4C96" w:rsidR="009C0E45" w:rsidRPr="00B91C38" w:rsidRDefault="009C0E45" w:rsidP="009C0E45">
      <w:pPr>
        <w:pStyle w:val="Default"/>
        <w:spacing w:after="240"/>
        <w:rPr>
          <w:rFonts w:ascii="Times New Roman" w:hAnsi="Times New Roman"/>
          <w:iCs/>
          <w:color w:val="auto"/>
        </w:rPr>
      </w:pPr>
      <w:r>
        <w:rPr>
          <w:rFonts w:ascii="Times New Roman" w:hAnsi="Times New Roman"/>
          <w:iCs/>
          <w:color w:val="auto"/>
        </w:rPr>
        <w:t>MSAC advised that while the revised economic model addresse</w:t>
      </w:r>
      <w:r w:rsidR="003821E4">
        <w:rPr>
          <w:rFonts w:ascii="Times New Roman" w:hAnsi="Times New Roman"/>
          <w:iCs/>
          <w:color w:val="auto"/>
        </w:rPr>
        <w:t>s</w:t>
      </w:r>
      <w:r>
        <w:rPr>
          <w:rFonts w:ascii="Times New Roman" w:hAnsi="Times New Roman"/>
          <w:iCs/>
          <w:color w:val="auto"/>
        </w:rPr>
        <w:t xml:space="preserve"> some uncertainties and estimated lower ICERs than that </w:t>
      </w:r>
      <w:r w:rsidR="00702596">
        <w:rPr>
          <w:rFonts w:ascii="Times New Roman" w:hAnsi="Times New Roman"/>
          <w:iCs/>
          <w:color w:val="auto"/>
        </w:rPr>
        <w:t xml:space="preserve">presented </w:t>
      </w:r>
      <w:r>
        <w:rPr>
          <w:rFonts w:ascii="Times New Roman" w:hAnsi="Times New Roman"/>
          <w:iCs/>
          <w:color w:val="auto"/>
        </w:rPr>
        <w:t xml:space="preserve">in the original DCAR, the estimated base-case ICERs </w:t>
      </w:r>
      <w:r w:rsidR="00D1627F">
        <w:rPr>
          <w:rFonts w:ascii="Times New Roman" w:hAnsi="Times New Roman"/>
          <w:iCs/>
          <w:color w:val="auto"/>
        </w:rPr>
        <w:t xml:space="preserve">in all comparisons </w:t>
      </w:r>
      <w:r>
        <w:rPr>
          <w:rFonts w:ascii="Times New Roman" w:hAnsi="Times New Roman"/>
          <w:iCs/>
          <w:color w:val="auto"/>
        </w:rPr>
        <w:t xml:space="preserve">remain </w:t>
      </w:r>
      <w:r w:rsidRPr="00B91C38">
        <w:rPr>
          <w:rFonts w:ascii="Times New Roman" w:hAnsi="Times New Roman"/>
          <w:iCs/>
          <w:color w:val="auto"/>
        </w:rPr>
        <w:t xml:space="preserve">higher than what </w:t>
      </w:r>
      <w:r>
        <w:rPr>
          <w:rFonts w:ascii="Times New Roman" w:hAnsi="Times New Roman"/>
          <w:iCs/>
          <w:color w:val="auto"/>
        </w:rPr>
        <w:t xml:space="preserve">MSAC </w:t>
      </w:r>
      <w:r w:rsidR="003507F9">
        <w:rPr>
          <w:rFonts w:ascii="Times New Roman" w:hAnsi="Times New Roman"/>
          <w:iCs/>
          <w:color w:val="auto"/>
        </w:rPr>
        <w:t xml:space="preserve">would </w:t>
      </w:r>
      <w:r w:rsidRPr="00B91C38">
        <w:rPr>
          <w:rFonts w:ascii="Times New Roman" w:hAnsi="Times New Roman"/>
          <w:iCs/>
          <w:color w:val="auto"/>
        </w:rPr>
        <w:t>consider</w:t>
      </w:r>
      <w:r w:rsidR="003507F9">
        <w:rPr>
          <w:rFonts w:ascii="Times New Roman" w:hAnsi="Times New Roman"/>
          <w:iCs/>
          <w:color w:val="auto"/>
        </w:rPr>
        <w:t xml:space="preserve"> </w:t>
      </w:r>
      <w:r w:rsidRPr="00B91C38">
        <w:rPr>
          <w:rFonts w:ascii="Times New Roman" w:hAnsi="Times New Roman"/>
          <w:iCs/>
          <w:color w:val="auto"/>
        </w:rPr>
        <w:t>cost</w:t>
      </w:r>
      <w:r w:rsidR="00D1627F">
        <w:rPr>
          <w:rFonts w:ascii="Times New Roman" w:hAnsi="Times New Roman"/>
          <w:iCs/>
          <w:color w:val="auto"/>
        </w:rPr>
        <w:t>-</w:t>
      </w:r>
      <w:r w:rsidRPr="00B91C38">
        <w:rPr>
          <w:rFonts w:ascii="Times New Roman" w:hAnsi="Times New Roman"/>
          <w:iCs/>
          <w:color w:val="auto"/>
        </w:rPr>
        <w:t>effective</w:t>
      </w:r>
      <w:r w:rsidR="003507F9">
        <w:rPr>
          <w:rFonts w:ascii="Times New Roman" w:hAnsi="Times New Roman"/>
          <w:iCs/>
          <w:color w:val="auto"/>
        </w:rPr>
        <w:t xml:space="preserve"> when recommending a new service or treatment for government funding</w:t>
      </w:r>
      <w:r>
        <w:rPr>
          <w:rFonts w:ascii="Times New Roman" w:hAnsi="Times New Roman"/>
          <w:iCs/>
          <w:color w:val="auto"/>
        </w:rPr>
        <w:t xml:space="preserve">. </w:t>
      </w:r>
    </w:p>
    <w:p w14:paraId="07D52C4E" w14:textId="155FB027" w:rsidR="004B4D34" w:rsidRDefault="00D1627F" w:rsidP="003821E4">
      <w:pPr>
        <w:pStyle w:val="Default"/>
        <w:spacing w:after="240"/>
        <w:rPr>
          <w:rFonts w:ascii="Times New Roman" w:hAnsi="Times New Roman"/>
          <w:iCs/>
          <w:color w:val="auto"/>
        </w:rPr>
      </w:pPr>
      <w:r>
        <w:rPr>
          <w:rFonts w:ascii="Times New Roman" w:hAnsi="Times New Roman"/>
          <w:iCs/>
          <w:color w:val="auto"/>
        </w:rPr>
        <w:t xml:space="preserve">Regarding </w:t>
      </w:r>
      <w:r w:rsidRPr="00D1627F">
        <w:rPr>
          <w:rFonts w:ascii="Times New Roman" w:hAnsi="Times New Roman"/>
          <w:iCs/>
          <w:color w:val="auto"/>
        </w:rPr>
        <w:t>financial and budgetary impacts</w:t>
      </w:r>
      <w:r w:rsidR="009C0E45">
        <w:rPr>
          <w:rFonts w:ascii="Times New Roman" w:hAnsi="Times New Roman"/>
          <w:iCs/>
          <w:color w:val="auto"/>
        </w:rPr>
        <w:t xml:space="preserve">, MSAC noted that </w:t>
      </w:r>
      <w:r w:rsidR="009C0E45" w:rsidRPr="009C0E45">
        <w:rPr>
          <w:rFonts w:ascii="Times New Roman" w:hAnsi="Times New Roman"/>
          <w:iCs/>
          <w:color w:val="auto"/>
        </w:rPr>
        <w:t>total Ig costs (including delivery) were estimated to be $128.2 million in 2021-22, increasing to $152.6 million in 2025-26</w:t>
      </w:r>
      <w:r w:rsidR="00E75AEE">
        <w:rPr>
          <w:rFonts w:ascii="Times New Roman" w:hAnsi="Times New Roman"/>
          <w:iCs/>
          <w:color w:val="auto"/>
        </w:rPr>
        <w:t>. T</w:t>
      </w:r>
      <w:r w:rsidR="009C0E45" w:rsidRPr="009C0E45">
        <w:rPr>
          <w:rFonts w:ascii="Times New Roman" w:hAnsi="Times New Roman"/>
          <w:iCs/>
          <w:color w:val="auto"/>
        </w:rPr>
        <w:t xml:space="preserve">hese </w:t>
      </w:r>
      <w:r w:rsidR="009C0E45" w:rsidRPr="009C0E45">
        <w:rPr>
          <w:rFonts w:ascii="Times New Roman" w:hAnsi="Times New Roman"/>
          <w:iCs/>
          <w:color w:val="auto"/>
        </w:rPr>
        <w:lastRenderedPageBreak/>
        <w:t>estimates are sensitive to the cost of Ig and amount of Ig used.</w:t>
      </w:r>
      <w:r w:rsidR="00E75AEE">
        <w:rPr>
          <w:rFonts w:ascii="Times New Roman" w:hAnsi="Times New Roman"/>
          <w:iCs/>
          <w:color w:val="auto"/>
        </w:rPr>
        <w:t xml:space="preserve"> </w:t>
      </w:r>
      <w:r w:rsidR="007243C1">
        <w:rPr>
          <w:rFonts w:ascii="Times New Roman" w:hAnsi="Times New Roman"/>
          <w:iCs/>
          <w:color w:val="auto"/>
        </w:rPr>
        <w:t xml:space="preserve">MSAC </w:t>
      </w:r>
      <w:r>
        <w:rPr>
          <w:rFonts w:ascii="Times New Roman" w:hAnsi="Times New Roman"/>
          <w:iCs/>
          <w:color w:val="auto"/>
        </w:rPr>
        <w:t>considered</w:t>
      </w:r>
      <w:r w:rsidR="007243C1">
        <w:rPr>
          <w:rFonts w:ascii="Times New Roman" w:hAnsi="Times New Roman"/>
          <w:iCs/>
          <w:color w:val="auto"/>
        </w:rPr>
        <w:t xml:space="preserve"> these estimated costs to Government </w:t>
      </w:r>
      <w:r>
        <w:rPr>
          <w:rFonts w:ascii="Times New Roman" w:hAnsi="Times New Roman"/>
          <w:iCs/>
          <w:color w:val="auto"/>
        </w:rPr>
        <w:t>to be</w:t>
      </w:r>
      <w:r w:rsidR="007243C1">
        <w:rPr>
          <w:rFonts w:ascii="Times New Roman" w:hAnsi="Times New Roman"/>
          <w:iCs/>
          <w:color w:val="auto"/>
        </w:rPr>
        <w:t xml:space="preserve"> substantial but were cognisant that Ig is</w:t>
      </w:r>
      <w:r>
        <w:rPr>
          <w:rFonts w:ascii="Times New Roman" w:hAnsi="Times New Roman"/>
          <w:iCs/>
          <w:color w:val="auto"/>
        </w:rPr>
        <w:t xml:space="preserve"> already</w:t>
      </w:r>
      <w:r w:rsidR="007243C1">
        <w:rPr>
          <w:rFonts w:ascii="Times New Roman" w:hAnsi="Times New Roman"/>
          <w:iCs/>
          <w:color w:val="auto"/>
        </w:rPr>
        <w:t xml:space="preserve"> an accepted first-line treatment</w:t>
      </w:r>
      <w:r>
        <w:rPr>
          <w:rFonts w:ascii="Times New Roman" w:hAnsi="Times New Roman"/>
          <w:iCs/>
          <w:color w:val="auto"/>
        </w:rPr>
        <w:t xml:space="preserve"> for CIDP</w:t>
      </w:r>
      <w:r w:rsidR="003507F9">
        <w:rPr>
          <w:rFonts w:ascii="Times New Roman" w:hAnsi="Times New Roman"/>
          <w:iCs/>
          <w:color w:val="auto"/>
        </w:rPr>
        <w:t xml:space="preserve"> in </w:t>
      </w:r>
      <w:r w:rsidR="000C4DAC">
        <w:rPr>
          <w:rFonts w:ascii="Times New Roman" w:hAnsi="Times New Roman"/>
          <w:iCs/>
          <w:color w:val="auto"/>
        </w:rPr>
        <w:t>Australia</w:t>
      </w:r>
      <w:r w:rsidR="007243C1">
        <w:rPr>
          <w:rFonts w:ascii="Times New Roman" w:hAnsi="Times New Roman"/>
          <w:iCs/>
          <w:color w:val="auto"/>
        </w:rPr>
        <w:t xml:space="preserve">. </w:t>
      </w:r>
      <w:r w:rsidR="003821E4" w:rsidRPr="00453948">
        <w:rPr>
          <w:rFonts w:ascii="Times New Roman" w:hAnsi="Times New Roman"/>
          <w:iCs/>
          <w:color w:val="auto"/>
        </w:rPr>
        <w:t>The economic model and financial estimates use</w:t>
      </w:r>
      <w:r w:rsidR="003C0827" w:rsidRPr="00453948">
        <w:rPr>
          <w:rFonts w:ascii="Times New Roman" w:hAnsi="Times New Roman"/>
          <w:iCs/>
          <w:color w:val="auto"/>
        </w:rPr>
        <w:t>d</w:t>
      </w:r>
      <w:r w:rsidR="003821E4" w:rsidRPr="00453948">
        <w:rPr>
          <w:rFonts w:ascii="Times New Roman" w:hAnsi="Times New Roman"/>
          <w:iCs/>
          <w:color w:val="auto"/>
        </w:rPr>
        <w:t xml:space="preserve"> a base </w:t>
      </w:r>
      <w:r w:rsidR="003821E4" w:rsidRPr="008B4EE6">
        <w:rPr>
          <w:rFonts w:ascii="Times New Roman" w:hAnsi="Times New Roman"/>
          <w:iCs/>
          <w:color w:val="auto"/>
        </w:rPr>
        <w:t>case cost of Ig of $60.41/g for consistency across all of the Reviews</w:t>
      </w:r>
      <w:r w:rsidR="003C0827" w:rsidRPr="008B4EE6">
        <w:rPr>
          <w:rFonts w:ascii="Times New Roman" w:hAnsi="Times New Roman"/>
          <w:iCs/>
          <w:color w:val="auto"/>
        </w:rPr>
        <w:t xml:space="preserve"> of Immunoglobulin (the Reviews)</w:t>
      </w:r>
      <w:r w:rsidR="003821E4" w:rsidRPr="008B4EE6">
        <w:rPr>
          <w:rFonts w:ascii="Times New Roman" w:hAnsi="Times New Roman"/>
          <w:iCs/>
          <w:color w:val="auto"/>
        </w:rPr>
        <w:t xml:space="preserve">. MSAC considered it appropriate </w:t>
      </w:r>
      <w:r w:rsidR="003C0827" w:rsidRPr="008B4EE6">
        <w:rPr>
          <w:rFonts w:ascii="Times New Roman" w:hAnsi="Times New Roman"/>
          <w:iCs/>
          <w:color w:val="auto"/>
        </w:rPr>
        <w:t>to use the</w:t>
      </w:r>
      <w:r w:rsidR="003821E4" w:rsidRPr="008B4EE6">
        <w:rPr>
          <w:rFonts w:ascii="Times New Roman" w:hAnsi="Times New Roman"/>
          <w:iCs/>
          <w:color w:val="auto"/>
        </w:rPr>
        <w:t xml:space="preserve"> same base case cost per gram of Ig </w:t>
      </w:r>
      <w:r w:rsidR="003C0827" w:rsidRPr="008B4EE6">
        <w:rPr>
          <w:rFonts w:ascii="Times New Roman" w:hAnsi="Times New Roman"/>
          <w:iCs/>
          <w:color w:val="auto"/>
        </w:rPr>
        <w:t>for consistency and comparability</w:t>
      </w:r>
      <w:r w:rsidR="003821E4" w:rsidRPr="008B4EE6">
        <w:rPr>
          <w:rFonts w:ascii="Times New Roman" w:hAnsi="Times New Roman"/>
          <w:iCs/>
          <w:color w:val="auto"/>
        </w:rPr>
        <w:t xml:space="preserve"> </w:t>
      </w:r>
      <w:r w:rsidR="003C0827" w:rsidRPr="008B4EE6">
        <w:rPr>
          <w:rFonts w:ascii="Times New Roman" w:hAnsi="Times New Roman"/>
          <w:iCs/>
          <w:color w:val="auto"/>
        </w:rPr>
        <w:t>across each of the Reviews</w:t>
      </w:r>
      <w:r w:rsidR="003821E4" w:rsidRPr="008B4EE6">
        <w:rPr>
          <w:rFonts w:ascii="Times New Roman" w:hAnsi="Times New Roman"/>
          <w:iCs/>
          <w:color w:val="auto"/>
        </w:rPr>
        <w:t>, but noted that</w:t>
      </w:r>
      <w:r w:rsidRPr="008B4EE6">
        <w:rPr>
          <w:rFonts w:ascii="Times New Roman" w:hAnsi="Times New Roman"/>
          <w:iCs/>
          <w:color w:val="auto"/>
        </w:rPr>
        <w:t xml:space="preserve"> the cost</w:t>
      </w:r>
      <w:r w:rsidR="003821E4" w:rsidRPr="008B4EE6">
        <w:rPr>
          <w:rFonts w:ascii="Times New Roman" w:hAnsi="Times New Roman"/>
          <w:iCs/>
          <w:color w:val="auto"/>
        </w:rPr>
        <w:t xml:space="preserve"> </w:t>
      </w:r>
      <w:r w:rsidRPr="008B4EE6">
        <w:rPr>
          <w:rFonts w:ascii="Times New Roman" w:hAnsi="Times New Roman"/>
          <w:iCs/>
          <w:color w:val="auto"/>
        </w:rPr>
        <w:t xml:space="preserve">of </w:t>
      </w:r>
      <w:r w:rsidR="003507F9" w:rsidRPr="008B4EE6">
        <w:rPr>
          <w:rFonts w:ascii="Times New Roman" w:hAnsi="Times New Roman"/>
          <w:iCs/>
          <w:color w:val="auto"/>
        </w:rPr>
        <w:t xml:space="preserve">imported </w:t>
      </w:r>
      <w:r w:rsidRPr="008B4EE6">
        <w:rPr>
          <w:rFonts w:ascii="Times New Roman" w:hAnsi="Times New Roman"/>
          <w:iCs/>
          <w:color w:val="auto"/>
        </w:rPr>
        <w:t xml:space="preserve">Ig has </w:t>
      </w:r>
      <w:r w:rsidR="007911A7" w:rsidRPr="008B4EE6">
        <w:rPr>
          <w:rFonts w:ascii="Times New Roman" w:hAnsi="Times New Roman"/>
          <w:iCs/>
          <w:color w:val="auto"/>
        </w:rPr>
        <w:t>risen</w:t>
      </w:r>
      <w:r w:rsidRPr="008B4EE6">
        <w:rPr>
          <w:rFonts w:ascii="Times New Roman" w:hAnsi="Times New Roman"/>
          <w:iCs/>
          <w:color w:val="auto"/>
        </w:rPr>
        <w:t xml:space="preserve"> since the </w:t>
      </w:r>
      <w:r w:rsidR="003821E4" w:rsidRPr="008B4EE6">
        <w:rPr>
          <w:rFonts w:ascii="Times New Roman" w:hAnsi="Times New Roman"/>
          <w:iCs/>
          <w:color w:val="auto"/>
        </w:rPr>
        <w:t>commencement</w:t>
      </w:r>
      <w:r w:rsidRPr="008B4EE6">
        <w:rPr>
          <w:rFonts w:ascii="Times New Roman" w:hAnsi="Times New Roman"/>
          <w:iCs/>
          <w:color w:val="auto"/>
        </w:rPr>
        <w:t xml:space="preserve"> of the</w:t>
      </w:r>
      <w:r w:rsidR="003C0827" w:rsidRPr="008B4EE6">
        <w:rPr>
          <w:rFonts w:ascii="Times New Roman" w:hAnsi="Times New Roman"/>
          <w:iCs/>
          <w:color w:val="auto"/>
        </w:rPr>
        <w:t>se</w:t>
      </w:r>
      <w:r w:rsidRPr="008B4EE6">
        <w:rPr>
          <w:rFonts w:ascii="Times New Roman" w:hAnsi="Times New Roman"/>
          <w:iCs/>
          <w:color w:val="auto"/>
        </w:rPr>
        <w:t xml:space="preserve"> Reviews, </w:t>
      </w:r>
      <w:r w:rsidR="00E75AEE" w:rsidRPr="008B4EE6">
        <w:rPr>
          <w:rFonts w:ascii="Times New Roman" w:hAnsi="Times New Roman"/>
          <w:iCs/>
          <w:color w:val="auto"/>
        </w:rPr>
        <w:t xml:space="preserve">and </w:t>
      </w:r>
      <w:r w:rsidR="007911A7" w:rsidRPr="008B4EE6">
        <w:rPr>
          <w:rFonts w:ascii="Times New Roman" w:hAnsi="Times New Roman"/>
          <w:iCs/>
          <w:color w:val="auto"/>
        </w:rPr>
        <w:t xml:space="preserve">that </w:t>
      </w:r>
      <w:r w:rsidRPr="008B4EE6">
        <w:rPr>
          <w:rFonts w:ascii="Times New Roman" w:hAnsi="Times New Roman"/>
          <w:iCs/>
          <w:color w:val="auto"/>
        </w:rPr>
        <w:t xml:space="preserve">cost and </w:t>
      </w:r>
      <w:r w:rsidR="00E75AEE" w:rsidRPr="008B4EE6">
        <w:rPr>
          <w:rFonts w:ascii="Times New Roman" w:hAnsi="Times New Roman"/>
          <w:iCs/>
          <w:color w:val="auto"/>
        </w:rPr>
        <w:t xml:space="preserve">demand of Ig </w:t>
      </w:r>
      <w:r w:rsidR="007243C1" w:rsidRPr="008B4EE6">
        <w:rPr>
          <w:rFonts w:ascii="Times New Roman" w:hAnsi="Times New Roman"/>
          <w:iCs/>
          <w:color w:val="auto"/>
        </w:rPr>
        <w:t xml:space="preserve">is likely to increase </w:t>
      </w:r>
      <w:r w:rsidRPr="008B4EE6">
        <w:rPr>
          <w:rFonts w:ascii="Times New Roman" w:hAnsi="Times New Roman"/>
          <w:iCs/>
          <w:color w:val="auto"/>
        </w:rPr>
        <w:t xml:space="preserve">in the future </w:t>
      </w:r>
      <w:r w:rsidR="00DF115E" w:rsidRPr="008B4EE6">
        <w:rPr>
          <w:rFonts w:ascii="Times New Roman" w:hAnsi="Times New Roman"/>
          <w:iCs/>
          <w:color w:val="auto"/>
        </w:rPr>
        <w:t>due to</w:t>
      </w:r>
      <w:r w:rsidR="007243C1" w:rsidRPr="008B4EE6">
        <w:rPr>
          <w:rFonts w:ascii="Times New Roman" w:hAnsi="Times New Roman"/>
          <w:iCs/>
          <w:color w:val="auto"/>
        </w:rPr>
        <w:t xml:space="preserve"> </w:t>
      </w:r>
      <w:r w:rsidR="00DF115E" w:rsidRPr="008B4EE6">
        <w:rPr>
          <w:rFonts w:ascii="Times New Roman" w:hAnsi="Times New Roman"/>
          <w:iCs/>
          <w:color w:val="auto"/>
        </w:rPr>
        <w:t xml:space="preserve">current </w:t>
      </w:r>
      <w:r w:rsidR="007243C1" w:rsidRPr="008B4EE6">
        <w:rPr>
          <w:rFonts w:ascii="Times New Roman" w:hAnsi="Times New Roman"/>
          <w:iCs/>
          <w:color w:val="auto"/>
        </w:rPr>
        <w:t>global shortages of Ig</w:t>
      </w:r>
      <w:r w:rsidR="00DF115E" w:rsidRPr="008B4EE6">
        <w:rPr>
          <w:rFonts w:ascii="Times New Roman" w:hAnsi="Times New Roman"/>
          <w:iCs/>
          <w:color w:val="auto"/>
        </w:rPr>
        <w:t xml:space="preserve"> product</w:t>
      </w:r>
      <w:r w:rsidRPr="008B4EE6">
        <w:rPr>
          <w:rFonts w:ascii="Times New Roman" w:hAnsi="Times New Roman"/>
          <w:iCs/>
          <w:color w:val="auto"/>
        </w:rPr>
        <w:t xml:space="preserve">. </w:t>
      </w:r>
      <w:r w:rsidR="007911A7">
        <w:rPr>
          <w:rFonts w:ascii="Times New Roman" w:hAnsi="Times New Roman"/>
          <w:iCs/>
          <w:color w:val="auto"/>
        </w:rPr>
        <w:t>Further,</w:t>
      </w:r>
      <w:r>
        <w:rPr>
          <w:rFonts w:ascii="Times New Roman" w:hAnsi="Times New Roman"/>
          <w:iCs/>
          <w:color w:val="auto"/>
        </w:rPr>
        <w:t xml:space="preserve"> MSAC considered that there is an urgent need and ethical responsibility to ensure </w:t>
      </w:r>
      <w:r w:rsidR="00E75AEE" w:rsidRPr="00E75AEE">
        <w:rPr>
          <w:rFonts w:ascii="Times New Roman" w:hAnsi="Times New Roman"/>
          <w:iCs/>
          <w:color w:val="auto"/>
        </w:rPr>
        <w:t>this limited resource</w:t>
      </w:r>
      <w:r w:rsidR="007911A7">
        <w:rPr>
          <w:rFonts w:ascii="Times New Roman" w:hAnsi="Times New Roman"/>
          <w:iCs/>
          <w:color w:val="auto"/>
        </w:rPr>
        <w:t xml:space="preserve"> is appropriately managed and</w:t>
      </w:r>
      <w:r w:rsidR="00E75AEE" w:rsidRPr="00E75AEE">
        <w:rPr>
          <w:rFonts w:ascii="Times New Roman" w:hAnsi="Times New Roman"/>
          <w:iCs/>
          <w:color w:val="auto"/>
        </w:rPr>
        <w:t xml:space="preserve"> prioriti</w:t>
      </w:r>
      <w:r w:rsidR="007911A7">
        <w:rPr>
          <w:rFonts w:ascii="Times New Roman" w:hAnsi="Times New Roman"/>
          <w:iCs/>
          <w:color w:val="auto"/>
        </w:rPr>
        <w:t>s</w:t>
      </w:r>
      <w:r w:rsidR="00E75AEE" w:rsidRPr="00E75AEE">
        <w:rPr>
          <w:rFonts w:ascii="Times New Roman" w:hAnsi="Times New Roman"/>
          <w:iCs/>
          <w:color w:val="auto"/>
        </w:rPr>
        <w:t xml:space="preserve">ed to patients </w:t>
      </w:r>
      <w:r w:rsidR="00E75AEE">
        <w:rPr>
          <w:rFonts w:ascii="Times New Roman" w:hAnsi="Times New Roman"/>
          <w:iCs/>
          <w:color w:val="auto"/>
        </w:rPr>
        <w:t>who will derive the most benefit</w:t>
      </w:r>
      <w:r w:rsidR="003C0827">
        <w:rPr>
          <w:rFonts w:ascii="Times New Roman" w:hAnsi="Times New Roman"/>
          <w:iCs/>
          <w:color w:val="auto"/>
        </w:rPr>
        <w:t xml:space="preserve"> and for whom it is most cost-effective</w:t>
      </w:r>
      <w:r w:rsidR="00E75AEE" w:rsidRPr="00E75AEE">
        <w:rPr>
          <w:rFonts w:ascii="Times New Roman" w:hAnsi="Times New Roman"/>
          <w:iCs/>
          <w:color w:val="auto"/>
        </w:rPr>
        <w:t>.</w:t>
      </w:r>
    </w:p>
    <w:p w14:paraId="34F8369F" w14:textId="4926755D" w:rsidR="00066CA4" w:rsidRPr="00B91C38" w:rsidRDefault="00066CA4" w:rsidP="00B91C38">
      <w:pPr>
        <w:pStyle w:val="Default"/>
        <w:spacing w:after="240"/>
        <w:rPr>
          <w:rFonts w:ascii="Times New Roman" w:hAnsi="Times New Roman"/>
          <w:iCs/>
          <w:color w:val="auto"/>
        </w:rPr>
      </w:pPr>
      <w:r>
        <w:rPr>
          <w:rFonts w:ascii="Times New Roman" w:hAnsi="Times New Roman"/>
          <w:iCs/>
          <w:color w:val="auto"/>
        </w:rPr>
        <w:t xml:space="preserve">Therefore, MSAC recommended that access to Ig </w:t>
      </w:r>
      <w:r w:rsidR="00DF115E">
        <w:rPr>
          <w:rFonts w:ascii="Times New Roman" w:hAnsi="Times New Roman"/>
          <w:iCs/>
          <w:color w:val="auto"/>
        </w:rPr>
        <w:t xml:space="preserve">for the </w:t>
      </w:r>
      <w:r>
        <w:rPr>
          <w:rFonts w:ascii="Times New Roman" w:hAnsi="Times New Roman"/>
          <w:iCs/>
          <w:color w:val="auto"/>
        </w:rPr>
        <w:t>treatment</w:t>
      </w:r>
      <w:r w:rsidR="00DF115E">
        <w:rPr>
          <w:rFonts w:ascii="Times New Roman" w:hAnsi="Times New Roman"/>
          <w:iCs/>
          <w:color w:val="auto"/>
        </w:rPr>
        <w:t xml:space="preserve"> of CIDP</w:t>
      </w:r>
      <w:r>
        <w:rPr>
          <w:rFonts w:ascii="Times New Roman" w:hAnsi="Times New Roman"/>
          <w:iCs/>
          <w:color w:val="auto"/>
        </w:rPr>
        <w:t xml:space="preserve"> should continue, but </w:t>
      </w:r>
      <w:r w:rsidR="007911A7">
        <w:rPr>
          <w:rFonts w:ascii="Times New Roman" w:hAnsi="Times New Roman"/>
          <w:iCs/>
          <w:color w:val="auto"/>
        </w:rPr>
        <w:t>with</w:t>
      </w:r>
      <w:r>
        <w:rPr>
          <w:rFonts w:ascii="Times New Roman" w:hAnsi="Times New Roman"/>
          <w:iCs/>
          <w:color w:val="auto"/>
        </w:rPr>
        <w:t xml:space="preserve"> </w:t>
      </w:r>
      <w:r w:rsidRPr="00066CA4">
        <w:rPr>
          <w:rFonts w:ascii="Times New Roman" w:hAnsi="Times New Roman"/>
          <w:iCs/>
          <w:color w:val="auto"/>
        </w:rPr>
        <w:t xml:space="preserve">additional </w:t>
      </w:r>
      <w:r>
        <w:rPr>
          <w:rFonts w:ascii="Times New Roman" w:hAnsi="Times New Roman"/>
          <w:iCs/>
          <w:color w:val="auto"/>
        </w:rPr>
        <w:t>measure</w:t>
      </w:r>
      <w:r w:rsidR="007243C1">
        <w:rPr>
          <w:rFonts w:ascii="Times New Roman" w:hAnsi="Times New Roman"/>
          <w:iCs/>
          <w:color w:val="auto"/>
        </w:rPr>
        <w:t>s</w:t>
      </w:r>
      <w:r>
        <w:rPr>
          <w:rFonts w:ascii="Times New Roman" w:hAnsi="Times New Roman"/>
          <w:iCs/>
          <w:color w:val="auto"/>
        </w:rPr>
        <w:t xml:space="preserve"> to manage the </w:t>
      </w:r>
      <w:r w:rsidRPr="00066CA4">
        <w:rPr>
          <w:rFonts w:ascii="Times New Roman" w:hAnsi="Times New Roman"/>
          <w:iCs/>
          <w:color w:val="auto"/>
        </w:rPr>
        <w:t xml:space="preserve">demand </w:t>
      </w:r>
      <w:r>
        <w:rPr>
          <w:rFonts w:ascii="Times New Roman" w:hAnsi="Times New Roman"/>
          <w:iCs/>
          <w:color w:val="auto"/>
        </w:rPr>
        <w:t>and appropriate use of Ig.</w:t>
      </w:r>
      <w:r w:rsidR="007243C1">
        <w:rPr>
          <w:rFonts w:ascii="Times New Roman" w:hAnsi="Times New Roman"/>
          <w:iCs/>
          <w:color w:val="auto"/>
        </w:rPr>
        <w:t xml:space="preserve"> </w:t>
      </w:r>
      <w:r>
        <w:rPr>
          <w:rFonts w:ascii="Times New Roman" w:hAnsi="Times New Roman"/>
          <w:iCs/>
          <w:color w:val="auto"/>
        </w:rPr>
        <w:t xml:space="preserve"> </w:t>
      </w:r>
    </w:p>
    <w:p w14:paraId="160D8603" w14:textId="77777777" w:rsidR="00D070E7" w:rsidRDefault="00E75AEE" w:rsidP="007911A7">
      <w:pPr>
        <w:pStyle w:val="Default"/>
        <w:spacing w:after="240"/>
        <w:rPr>
          <w:rFonts w:ascii="Times New Roman" w:hAnsi="Times New Roman"/>
          <w:iCs/>
          <w:color w:val="auto"/>
        </w:rPr>
      </w:pPr>
      <w:r>
        <w:rPr>
          <w:rFonts w:ascii="Times New Roman" w:hAnsi="Times New Roman"/>
          <w:iCs/>
          <w:color w:val="auto"/>
        </w:rPr>
        <w:t>MSAC recalled concerns from its first consideration of this submission regarding the overdiagnosis of CIDP,</w:t>
      </w:r>
      <w:r w:rsidRPr="00B91C38">
        <w:rPr>
          <w:rFonts w:ascii="Times New Roman" w:hAnsi="Times New Roman"/>
          <w:iCs/>
          <w:color w:val="auto"/>
        </w:rPr>
        <w:t xml:space="preserve"> </w:t>
      </w:r>
      <w:r>
        <w:rPr>
          <w:rFonts w:ascii="Times New Roman" w:hAnsi="Times New Roman"/>
          <w:iCs/>
          <w:color w:val="auto"/>
        </w:rPr>
        <w:t xml:space="preserve">that </w:t>
      </w:r>
      <w:r w:rsidRPr="00B91C38">
        <w:rPr>
          <w:rFonts w:ascii="Times New Roman" w:hAnsi="Times New Roman"/>
          <w:iCs/>
          <w:color w:val="auto"/>
        </w:rPr>
        <w:t>even with the inclusion of probable and possible cases of CIDP in the estimated prevalence rate of 3</w:t>
      </w:r>
      <w:r>
        <w:rPr>
          <w:rFonts w:ascii="Times New Roman" w:hAnsi="Times New Roman"/>
          <w:iCs/>
          <w:color w:val="auto"/>
        </w:rPr>
        <w:t xml:space="preserve"> per </w:t>
      </w:r>
      <w:r w:rsidRPr="00B91C38">
        <w:rPr>
          <w:rFonts w:ascii="Times New Roman" w:hAnsi="Times New Roman"/>
          <w:iCs/>
          <w:color w:val="auto"/>
        </w:rPr>
        <w:t>100,000</w:t>
      </w:r>
      <w:r>
        <w:rPr>
          <w:rFonts w:ascii="Times New Roman" w:hAnsi="Times New Roman"/>
          <w:iCs/>
          <w:color w:val="auto"/>
        </w:rPr>
        <w:t xml:space="preserve"> (range: 1/100,000 to 7/100,000)</w:t>
      </w:r>
      <w:r w:rsidRPr="00B91C38">
        <w:rPr>
          <w:rFonts w:ascii="Times New Roman" w:hAnsi="Times New Roman"/>
          <w:iCs/>
          <w:color w:val="auto"/>
        </w:rPr>
        <w:t xml:space="preserve"> (Broers 2019)</w:t>
      </w:r>
      <w:r w:rsidRPr="004E3ABF">
        <w:rPr>
          <w:rFonts w:ascii="Times New Roman" w:hAnsi="Times New Roman"/>
          <w:iCs/>
          <w:color w:val="auto"/>
          <w:vertAlign w:val="superscript"/>
        </w:rPr>
        <w:footnoteReference w:id="2"/>
      </w:r>
      <w:r w:rsidRPr="004E3ABF">
        <w:rPr>
          <w:rFonts w:ascii="Times New Roman" w:hAnsi="Times New Roman"/>
          <w:iCs/>
          <w:color w:val="auto"/>
          <w:vertAlign w:val="superscript"/>
        </w:rPr>
        <w:t>,</w:t>
      </w:r>
      <w:r w:rsidRPr="00B91C38">
        <w:rPr>
          <w:rFonts w:ascii="Times New Roman" w:hAnsi="Times New Roman"/>
          <w:iCs/>
          <w:color w:val="auto"/>
        </w:rPr>
        <w:t xml:space="preserve"> </w:t>
      </w:r>
      <w:r w:rsidRPr="00453948">
        <w:rPr>
          <w:rFonts w:ascii="Times New Roman" w:hAnsi="Times New Roman"/>
          <w:iCs/>
          <w:color w:val="auto"/>
        </w:rPr>
        <w:t xml:space="preserve">nearly four times more patients in Australia (NBA data) received Ig for CIDP than expected. </w:t>
      </w:r>
      <w:r w:rsidR="00D070E7" w:rsidRPr="00453948">
        <w:rPr>
          <w:rFonts w:ascii="Times New Roman" w:hAnsi="Times New Roman"/>
          <w:iCs/>
          <w:color w:val="auto"/>
        </w:rPr>
        <w:t>MSAC acknowledged that there is recent literature to suggest that misdiagnosis</w:t>
      </w:r>
      <w:r w:rsidR="00D070E7" w:rsidRPr="00453948">
        <w:t xml:space="preserve"> </w:t>
      </w:r>
      <w:r w:rsidR="00D070E7" w:rsidRPr="00453948">
        <w:rPr>
          <w:rFonts w:ascii="Times New Roman" w:hAnsi="Times New Roman"/>
          <w:iCs/>
          <w:color w:val="auto"/>
        </w:rPr>
        <w:t>of CIDP is common.</w:t>
      </w:r>
      <w:r w:rsidR="00D070E7" w:rsidRPr="00453948">
        <w:t xml:space="preserve"> </w:t>
      </w:r>
      <w:r w:rsidR="00D070E7" w:rsidRPr="00453948">
        <w:rPr>
          <w:rFonts w:ascii="Times New Roman" w:hAnsi="Times New Roman"/>
          <w:iCs/>
          <w:color w:val="auto"/>
        </w:rPr>
        <w:t>A recent Dutch study</w:t>
      </w:r>
      <w:r w:rsidR="00D070E7" w:rsidRPr="00453948">
        <w:rPr>
          <w:rStyle w:val="FootnoteReference"/>
          <w:rFonts w:ascii="Times New Roman" w:hAnsi="Times New Roman" w:cs="Times New Roman"/>
          <w:iCs/>
        </w:rPr>
        <w:footnoteReference w:id="3"/>
      </w:r>
      <w:r w:rsidR="00D070E7" w:rsidRPr="00453948">
        <w:rPr>
          <w:rFonts w:ascii="Times New Roman" w:hAnsi="Times New Roman"/>
          <w:iCs/>
          <w:color w:val="auto"/>
        </w:rPr>
        <w:t xml:space="preserve"> noted that amongst other reasons, common diagnostic pitfalls included misinterpretation of nerve conduction studies, poor adherence to electrodiagnostic criteria, and failure to exclude other causes of polyneuropathy.</w:t>
      </w:r>
      <w:r w:rsidR="00D070E7">
        <w:rPr>
          <w:rFonts w:ascii="Times New Roman" w:hAnsi="Times New Roman"/>
          <w:iCs/>
          <w:color w:val="auto"/>
        </w:rPr>
        <w:t xml:space="preserve"> </w:t>
      </w:r>
    </w:p>
    <w:p w14:paraId="7B20FAC2" w14:textId="75C89598" w:rsidR="00E75AEE" w:rsidRPr="00F405A0" w:rsidRDefault="007911A7" w:rsidP="007911A7">
      <w:pPr>
        <w:pStyle w:val="Default"/>
        <w:spacing w:after="240"/>
        <w:rPr>
          <w:rFonts w:ascii="Times New Roman" w:hAnsi="Times New Roman"/>
          <w:iCs/>
          <w:color w:val="auto"/>
        </w:rPr>
      </w:pPr>
      <w:r w:rsidRPr="00F405A0">
        <w:rPr>
          <w:rFonts w:ascii="Times New Roman" w:hAnsi="Times New Roman"/>
          <w:iCs/>
          <w:color w:val="auto"/>
        </w:rPr>
        <w:t xml:space="preserve">The eligibility criteria allowing access to Ig for treatment of CIDP are described in </w:t>
      </w:r>
      <w:r w:rsidRPr="00F405A0">
        <w:rPr>
          <w:rFonts w:ascii="Times New Roman" w:hAnsi="Times New Roman"/>
          <w:i/>
          <w:color w:val="auto"/>
        </w:rPr>
        <w:t>version 3 of the Criteria for the clinical use of immunoglobulin in Australia</w:t>
      </w:r>
      <w:r w:rsidRPr="00F405A0">
        <w:rPr>
          <w:rFonts w:ascii="Times New Roman" w:hAnsi="Times New Roman"/>
          <w:iCs/>
          <w:color w:val="auto"/>
        </w:rPr>
        <w:t xml:space="preserve"> (Criteria V3).</w:t>
      </w:r>
      <w:r w:rsidR="00444117" w:rsidRPr="00444117">
        <w:rPr>
          <w:rFonts w:ascii="Times New Roman" w:hAnsi="Times New Roman"/>
          <w:iCs/>
          <w:color w:val="auto"/>
        </w:rPr>
        <w:t xml:space="preserve"> </w:t>
      </w:r>
      <w:r w:rsidR="00444117" w:rsidRPr="00B91C38">
        <w:rPr>
          <w:rFonts w:ascii="Times New Roman" w:hAnsi="Times New Roman"/>
          <w:iCs/>
          <w:color w:val="auto"/>
        </w:rPr>
        <w:t>MSAC considered current thresholds to access Ig therapy under the Criteria for the clinical use of immunoglobulin in Australia (version 3) (the Criteria) for this indication are insufficiently defined.</w:t>
      </w:r>
      <w:r>
        <w:rPr>
          <w:rFonts w:ascii="Times New Roman" w:hAnsi="Times New Roman"/>
          <w:iCs/>
          <w:color w:val="auto"/>
        </w:rPr>
        <w:t xml:space="preserve"> </w:t>
      </w:r>
      <w:r w:rsidR="00E75AEE" w:rsidRPr="00F405A0">
        <w:rPr>
          <w:rFonts w:ascii="Times New Roman" w:hAnsi="Times New Roman"/>
          <w:iCs/>
          <w:color w:val="auto"/>
        </w:rPr>
        <w:t>MSAC considered issues relating to the Criteria V3 regarding initiation, continuation and cessation criteria may be a contributing factor in the high number of patients currently treated with Ig for CIDP in Australia.</w:t>
      </w:r>
    </w:p>
    <w:p w14:paraId="3B40CD01" w14:textId="77777777" w:rsidR="00E75AEE" w:rsidRPr="00F405A0" w:rsidRDefault="00E75AEE" w:rsidP="00E75AEE">
      <w:pPr>
        <w:pStyle w:val="Default"/>
        <w:rPr>
          <w:rFonts w:ascii="Times New Roman" w:hAnsi="Times New Roman"/>
          <w:iCs/>
          <w:color w:val="auto"/>
        </w:rPr>
      </w:pPr>
      <w:r w:rsidRPr="00F405A0">
        <w:rPr>
          <w:rFonts w:ascii="Times New Roman" w:hAnsi="Times New Roman"/>
          <w:iCs/>
          <w:color w:val="auto"/>
        </w:rPr>
        <w:t xml:space="preserve">For patients with CIDP, initial access to Ig is permitted in patients for whom walking is compromised or there is significant disability, and is defined in the Criteria V3 as: </w:t>
      </w:r>
    </w:p>
    <w:p w14:paraId="400561D3" w14:textId="3FC018F8" w:rsidR="00E75AEE" w:rsidRPr="00F405A0" w:rsidRDefault="00E75AEE" w:rsidP="007911A7">
      <w:pPr>
        <w:pStyle w:val="Default"/>
        <w:numPr>
          <w:ilvl w:val="0"/>
          <w:numId w:val="49"/>
        </w:numPr>
        <w:rPr>
          <w:rFonts w:ascii="Times New Roman" w:hAnsi="Times New Roman"/>
          <w:iCs/>
          <w:color w:val="auto"/>
        </w:rPr>
      </w:pPr>
      <w:r w:rsidRPr="00F405A0">
        <w:rPr>
          <w:rFonts w:ascii="Times New Roman" w:hAnsi="Times New Roman"/>
          <w:iCs/>
          <w:color w:val="auto"/>
        </w:rPr>
        <w:t>in adults or children over 10 years, based on the Overall Neuropathy Limitations Scale (ONLS) of at least two points and the Medical Research Council (MRC) sum score,</w:t>
      </w:r>
    </w:p>
    <w:p w14:paraId="2986B9EA" w14:textId="77777777" w:rsidR="00E75AEE" w:rsidRDefault="00E75AEE" w:rsidP="007911A7">
      <w:pPr>
        <w:pStyle w:val="Default"/>
        <w:numPr>
          <w:ilvl w:val="0"/>
          <w:numId w:val="49"/>
        </w:numPr>
        <w:spacing w:after="240"/>
        <w:rPr>
          <w:rFonts w:ascii="Times New Roman" w:hAnsi="Times New Roman"/>
          <w:iCs/>
          <w:color w:val="auto"/>
        </w:rPr>
      </w:pPr>
      <w:r w:rsidRPr="00F405A0">
        <w:rPr>
          <w:rFonts w:ascii="Times New Roman" w:hAnsi="Times New Roman"/>
          <w:iCs/>
          <w:color w:val="auto"/>
        </w:rPr>
        <w:t>in children aged less than 10 years measured by the six-minute walk test (6MWT) and/or Modified Rankin Score (MRS) of at least two points.</w:t>
      </w:r>
    </w:p>
    <w:p w14:paraId="59B35081" w14:textId="6F57A92D" w:rsidR="006962C9" w:rsidRDefault="00E75AEE" w:rsidP="00EE1B4A">
      <w:pPr>
        <w:pStyle w:val="Default"/>
        <w:rPr>
          <w:rFonts w:ascii="Times New Roman" w:hAnsi="Times New Roman"/>
          <w:iCs/>
          <w:color w:val="auto"/>
        </w:rPr>
      </w:pPr>
      <w:r w:rsidRPr="00AE4ACD">
        <w:rPr>
          <w:rFonts w:ascii="Times New Roman" w:hAnsi="Times New Roman"/>
          <w:iCs/>
          <w:color w:val="auto"/>
        </w:rPr>
        <w:lastRenderedPageBreak/>
        <w:t xml:space="preserve">MSAC </w:t>
      </w:r>
      <w:r w:rsidR="00066CA4">
        <w:rPr>
          <w:rFonts w:ascii="Times New Roman" w:hAnsi="Times New Roman"/>
          <w:iCs/>
          <w:color w:val="auto"/>
        </w:rPr>
        <w:t>recalled its previous advice</w:t>
      </w:r>
      <w:r w:rsidRPr="00AE4ACD">
        <w:rPr>
          <w:rFonts w:ascii="Times New Roman" w:hAnsi="Times New Roman"/>
          <w:iCs/>
          <w:color w:val="auto"/>
        </w:rPr>
        <w:t xml:space="preserve"> that the Criteria V3 do not include a threshold </w:t>
      </w:r>
      <w:r>
        <w:rPr>
          <w:rFonts w:ascii="Times New Roman" w:hAnsi="Times New Roman"/>
          <w:iCs/>
          <w:color w:val="auto"/>
        </w:rPr>
        <w:t xml:space="preserve">(for initiation or continued access) </w:t>
      </w:r>
      <w:r w:rsidRPr="00AE4ACD">
        <w:rPr>
          <w:rFonts w:ascii="Times New Roman" w:hAnsi="Times New Roman"/>
          <w:iCs/>
          <w:color w:val="auto"/>
        </w:rPr>
        <w:t xml:space="preserve">for the MRC sum score, or the 6MWT, in the respective populations, and that this imprecision may compound poor sensitivity and specificity of diagnostic criteria, and contribute to the higher than expected use of Ig in this condition. </w:t>
      </w:r>
      <w:r w:rsidR="00DF115E">
        <w:rPr>
          <w:rFonts w:ascii="Times New Roman" w:hAnsi="Times New Roman"/>
          <w:iCs/>
          <w:color w:val="auto"/>
        </w:rPr>
        <w:t xml:space="preserve">With respect to diagnostic tests, MSAC </w:t>
      </w:r>
      <w:r w:rsidR="007911A7">
        <w:rPr>
          <w:rFonts w:ascii="Times New Roman" w:hAnsi="Times New Roman"/>
          <w:iCs/>
          <w:color w:val="auto"/>
        </w:rPr>
        <w:t>considered</w:t>
      </w:r>
      <w:r w:rsidR="00DF115E">
        <w:rPr>
          <w:rFonts w:ascii="Times New Roman" w:hAnsi="Times New Roman"/>
          <w:iCs/>
          <w:color w:val="auto"/>
        </w:rPr>
        <w:t xml:space="preserve"> it is unclear what tests or results are </w:t>
      </w:r>
      <w:r w:rsidR="0037262F">
        <w:rPr>
          <w:rFonts w:ascii="Times New Roman" w:hAnsi="Times New Roman"/>
          <w:iCs/>
          <w:color w:val="auto"/>
        </w:rPr>
        <w:t>collected/recorded in</w:t>
      </w:r>
      <w:r w:rsidR="00DF115E">
        <w:rPr>
          <w:rFonts w:ascii="Times New Roman" w:hAnsi="Times New Roman"/>
          <w:iCs/>
          <w:color w:val="auto"/>
        </w:rPr>
        <w:t xml:space="preserve"> BloodSTAR to justify a diagnosis of CIDP</w:t>
      </w:r>
      <w:r w:rsidR="00D33B5D">
        <w:rPr>
          <w:rFonts w:ascii="Times New Roman" w:hAnsi="Times New Roman"/>
          <w:iCs/>
          <w:color w:val="auto"/>
        </w:rPr>
        <w:t xml:space="preserve">. MSAC </w:t>
      </w:r>
      <w:r w:rsidR="005B6BD2">
        <w:rPr>
          <w:rFonts w:ascii="Times New Roman" w:hAnsi="Times New Roman"/>
          <w:iCs/>
          <w:color w:val="auto"/>
        </w:rPr>
        <w:t>considered the accountability and transparen</w:t>
      </w:r>
      <w:r w:rsidR="00D4431E">
        <w:rPr>
          <w:rFonts w:ascii="Times New Roman" w:hAnsi="Times New Roman"/>
          <w:iCs/>
          <w:color w:val="auto"/>
        </w:rPr>
        <w:t>cy</w:t>
      </w:r>
      <w:r w:rsidR="005B6BD2">
        <w:rPr>
          <w:rFonts w:ascii="Times New Roman" w:hAnsi="Times New Roman"/>
          <w:iCs/>
          <w:color w:val="auto"/>
        </w:rPr>
        <w:t xml:space="preserve"> of the BloodSTAR system </w:t>
      </w:r>
      <w:r w:rsidR="007911A7">
        <w:rPr>
          <w:rFonts w:ascii="Times New Roman" w:hAnsi="Times New Roman"/>
          <w:iCs/>
          <w:color w:val="auto"/>
        </w:rPr>
        <w:t>sh</w:t>
      </w:r>
      <w:r w:rsidR="005B6BD2">
        <w:rPr>
          <w:rFonts w:ascii="Times New Roman" w:hAnsi="Times New Roman"/>
          <w:iCs/>
          <w:color w:val="auto"/>
        </w:rPr>
        <w:t>ould be</w:t>
      </w:r>
      <w:r w:rsidR="0037262F">
        <w:rPr>
          <w:rFonts w:ascii="Times New Roman" w:hAnsi="Times New Roman"/>
          <w:iCs/>
          <w:color w:val="auto"/>
        </w:rPr>
        <w:t xml:space="preserve"> clarified and</w:t>
      </w:r>
      <w:r w:rsidR="005B6BD2">
        <w:rPr>
          <w:rFonts w:ascii="Times New Roman" w:hAnsi="Times New Roman"/>
          <w:iCs/>
          <w:color w:val="auto"/>
        </w:rPr>
        <w:t xml:space="preserve"> improved</w:t>
      </w:r>
      <w:r w:rsidR="00E01F95">
        <w:rPr>
          <w:rFonts w:ascii="Times New Roman" w:hAnsi="Times New Roman"/>
          <w:iCs/>
          <w:color w:val="auto"/>
        </w:rPr>
        <w:t xml:space="preserve"> </w:t>
      </w:r>
      <w:r w:rsidR="00D17207">
        <w:rPr>
          <w:rFonts w:ascii="Times New Roman" w:hAnsi="Times New Roman"/>
          <w:iCs/>
          <w:color w:val="auto"/>
        </w:rPr>
        <w:t>to</w:t>
      </w:r>
      <w:r w:rsidR="00E01F95">
        <w:rPr>
          <w:rFonts w:ascii="Times New Roman" w:hAnsi="Times New Roman"/>
          <w:iCs/>
          <w:color w:val="auto"/>
        </w:rPr>
        <w:t xml:space="preserve"> be more consistent with requirements for </w:t>
      </w:r>
      <w:r w:rsidR="00D17207">
        <w:rPr>
          <w:rFonts w:ascii="Times New Roman" w:hAnsi="Times New Roman"/>
          <w:iCs/>
          <w:color w:val="auto"/>
        </w:rPr>
        <w:t>access to</w:t>
      </w:r>
      <w:r w:rsidR="00E01F95">
        <w:rPr>
          <w:rFonts w:ascii="Times New Roman" w:hAnsi="Times New Roman"/>
          <w:iCs/>
          <w:color w:val="auto"/>
        </w:rPr>
        <w:t xml:space="preserve"> other </w:t>
      </w:r>
      <w:r w:rsidR="00D17207">
        <w:rPr>
          <w:rFonts w:ascii="Times New Roman" w:hAnsi="Times New Roman"/>
          <w:iCs/>
          <w:color w:val="auto"/>
        </w:rPr>
        <w:t xml:space="preserve">government </w:t>
      </w:r>
      <w:r w:rsidR="00A57407">
        <w:rPr>
          <w:rFonts w:ascii="Times New Roman" w:hAnsi="Times New Roman"/>
          <w:iCs/>
          <w:color w:val="auto"/>
        </w:rPr>
        <w:t>funded treatment</w:t>
      </w:r>
      <w:r w:rsidR="00D17207">
        <w:rPr>
          <w:rFonts w:ascii="Times New Roman" w:hAnsi="Times New Roman"/>
          <w:iCs/>
          <w:color w:val="auto"/>
        </w:rPr>
        <w:t>s with high costs per patient and high total opportunity cost to the health system</w:t>
      </w:r>
      <w:r w:rsidR="003A3055">
        <w:rPr>
          <w:rFonts w:ascii="Times New Roman" w:hAnsi="Times New Roman"/>
          <w:iCs/>
          <w:color w:val="auto"/>
        </w:rPr>
        <w:t>,</w:t>
      </w:r>
      <w:r w:rsidR="00D17207">
        <w:rPr>
          <w:rFonts w:ascii="Times New Roman" w:hAnsi="Times New Roman"/>
          <w:iCs/>
          <w:color w:val="auto"/>
        </w:rPr>
        <w:t xml:space="preserve"> </w:t>
      </w:r>
      <w:r w:rsidR="003A3055">
        <w:rPr>
          <w:rFonts w:ascii="Times New Roman" w:hAnsi="Times New Roman"/>
          <w:iCs/>
          <w:color w:val="auto"/>
        </w:rPr>
        <w:t>to ensure</w:t>
      </w:r>
      <w:r w:rsidR="00D17207">
        <w:rPr>
          <w:rFonts w:ascii="Times New Roman" w:hAnsi="Times New Roman"/>
          <w:iCs/>
          <w:color w:val="auto"/>
        </w:rPr>
        <w:t xml:space="preserve"> </w:t>
      </w:r>
      <w:r w:rsidR="002A6B9A">
        <w:rPr>
          <w:rFonts w:ascii="Times New Roman" w:hAnsi="Times New Roman"/>
          <w:iCs/>
          <w:color w:val="auto"/>
        </w:rPr>
        <w:t xml:space="preserve">initial and continued </w:t>
      </w:r>
      <w:r w:rsidR="003D1C24">
        <w:rPr>
          <w:rFonts w:ascii="Times New Roman" w:hAnsi="Times New Roman"/>
          <w:iCs/>
          <w:color w:val="auto"/>
        </w:rPr>
        <w:t>treatment</w:t>
      </w:r>
      <w:r w:rsidR="00E01F95" w:rsidRPr="00E01F95">
        <w:rPr>
          <w:rFonts w:ascii="Times New Roman" w:hAnsi="Times New Roman"/>
          <w:iCs/>
          <w:color w:val="auto"/>
        </w:rPr>
        <w:t xml:space="preserve"> </w:t>
      </w:r>
      <w:r w:rsidR="00D17207">
        <w:rPr>
          <w:rFonts w:ascii="Times New Roman" w:hAnsi="Times New Roman"/>
          <w:iCs/>
          <w:color w:val="auto"/>
        </w:rPr>
        <w:t xml:space="preserve">is limited </w:t>
      </w:r>
      <w:r w:rsidR="00E01F95" w:rsidRPr="00E01F95">
        <w:rPr>
          <w:rFonts w:ascii="Times New Roman" w:hAnsi="Times New Roman"/>
          <w:iCs/>
          <w:color w:val="auto"/>
        </w:rPr>
        <w:t>to specific patient groups</w:t>
      </w:r>
      <w:r w:rsidR="002A6B9A">
        <w:rPr>
          <w:rFonts w:ascii="Times New Roman" w:hAnsi="Times New Roman"/>
          <w:iCs/>
          <w:color w:val="auto"/>
        </w:rPr>
        <w:t xml:space="preserve"> </w:t>
      </w:r>
      <w:r w:rsidR="003A3055">
        <w:rPr>
          <w:rFonts w:ascii="Times New Roman" w:hAnsi="Times New Roman"/>
          <w:iCs/>
          <w:color w:val="auto"/>
        </w:rPr>
        <w:t xml:space="preserve">and the use of higher than usual doses are managed appropriately </w:t>
      </w:r>
      <w:r w:rsidR="002A6B9A">
        <w:rPr>
          <w:rFonts w:ascii="Times New Roman" w:hAnsi="Times New Roman"/>
          <w:iCs/>
          <w:color w:val="auto"/>
        </w:rPr>
        <w:t xml:space="preserve">to optimise </w:t>
      </w:r>
      <w:r w:rsidR="00D17207">
        <w:rPr>
          <w:rFonts w:ascii="Times New Roman" w:hAnsi="Times New Roman"/>
          <w:iCs/>
          <w:color w:val="auto"/>
        </w:rPr>
        <w:t>cost-effective use</w:t>
      </w:r>
      <w:r w:rsidR="003A3055">
        <w:rPr>
          <w:rFonts w:ascii="Times New Roman" w:hAnsi="Times New Roman"/>
          <w:iCs/>
          <w:color w:val="auto"/>
        </w:rPr>
        <w:t>.</w:t>
      </w:r>
    </w:p>
    <w:p w14:paraId="793320BC" w14:textId="753907C8" w:rsidR="00D83BB2" w:rsidRDefault="006962C9" w:rsidP="007911A7">
      <w:pPr>
        <w:pStyle w:val="Default"/>
        <w:spacing w:after="240"/>
        <w:rPr>
          <w:rFonts w:ascii="Times New Roman" w:hAnsi="Times New Roman"/>
          <w:iCs/>
          <w:color w:val="auto"/>
        </w:rPr>
      </w:pPr>
      <w:r>
        <w:rPr>
          <w:rFonts w:ascii="Times New Roman" w:hAnsi="Times New Roman"/>
          <w:iCs/>
          <w:color w:val="auto"/>
        </w:rPr>
        <w:t xml:space="preserve">Therefore, </w:t>
      </w:r>
      <w:r w:rsidR="00D83BB2">
        <w:rPr>
          <w:rFonts w:ascii="Times New Roman" w:hAnsi="Times New Roman"/>
          <w:iCs/>
          <w:color w:val="auto"/>
        </w:rPr>
        <w:t xml:space="preserve">MSAC recommended that a stakeholder </w:t>
      </w:r>
      <w:r w:rsidR="00D070E7">
        <w:rPr>
          <w:rFonts w:ascii="Times New Roman" w:hAnsi="Times New Roman"/>
          <w:iCs/>
          <w:color w:val="auto"/>
        </w:rPr>
        <w:t>meeting</w:t>
      </w:r>
      <w:r w:rsidR="00D83BB2">
        <w:rPr>
          <w:rFonts w:ascii="Times New Roman" w:hAnsi="Times New Roman"/>
          <w:iCs/>
          <w:color w:val="auto"/>
        </w:rPr>
        <w:t xml:space="preserve"> be held to discuss issues relating to CIDP diagnosis</w:t>
      </w:r>
      <w:r w:rsidR="00D070E7">
        <w:rPr>
          <w:rFonts w:ascii="Times New Roman" w:hAnsi="Times New Roman"/>
          <w:iCs/>
          <w:color w:val="auto"/>
        </w:rPr>
        <w:t>,</w:t>
      </w:r>
      <w:r w:rsidR="00D83BB2">
        <w:rPr>
          <w:rFonts w:ascii="Times New Roman" w:hAnsi="Times New Roman"/>
          <w:iCs/>
          <w:color w:val="auto"/>
        </w:rPr>
        <w:t xml:space="preserve"> thresholds for initial or continued access to Ig therapy and </w:t>
      </w:r>
      <w:r w:rsidR="003507F9">
        <w:rPr>
          <w:rFonts w:ascii="Times New Roman" w:hAnsi="Times New Roman"/>
          <w:iCs/>
          <w:color w:val="auto"/>
        </w:rPr>
        <w:t xml:space="preserve">dose regimen to </w:t>
      </w:r>
      <w:r w:rsidR="00D83BB2">
        <w:rPr>
          <w:rFonts w:ascii="Times New Roman" w:hAnsi="Times New Roman"/>
          <w:iCs/>
          <w:color w:val="auto"/>
        </w:rPr>
        <w:t>clarify</w:t>
      </w:r>
      <w:r w:rsidR="003507F9">
        <w:rPr>
          <w:rFonts w:ascii="Times New Roman" w:hAnsi="Times New Roman"/>
          <w:iCs/>
          <w:color w:val="auto"/>
        </w:rPr>
        <w:t xml:space="preserve"> and enhance</w:t>
      </w:r>
      <w:r w:rsidR="00D83BB2">
        <w:rPr>
          <w:rFonts w:ascii="Times New Roman" w:hAnsi="Times New Roman"/>
          <w:iCs/>
          <w:color w:val="auto"/>
        </w:rPr>
        <w:t xml:space="preserve"> its advice to the Jurisdictional Blood Committee (JBC)</w:t>
      </w:r>
      <w:r w:rsidR="00655599">
        <w:rPr>
          <w:rFonts w:ascii="Times New Roman" w:hAnsi="Times New Roman"/>
          <w:iCs/>
          <w:color w:val="auto"/>
        </w:rPr>
        <w:t xml:space="preserve"> through the National Blood Authority (NBA) as applicant</w:t>
      </w:r>
      <w:r w:rsidR="00D83BB2">
        <w:rPr>
          <w:rFonts w:ascii="Times New Roman" w:hAnsi="Times New Roman"/>
          <w:iCs/>
          <w:color w:val="auto"/>
        </w:rPr>
        <w:t>.</w:t>
      </w:r>
    </w:p>
    <w:p w14:paraId="1B21073C" w14:textId="7F99F982" w:rsidR="005B6BD2" w:rsidRDefault="007231DD" w:rsidP="00E75AEE">
      <w:pPr>
        <w:pStyle w:val="Default"/>
        <w:spacing w:after="240"/>
        <w:rPr>
          <w:rFonts w:ascii="Times New Roman" w:hAnsi="Times New Roman"/>
          <w:iCs/>
          <w:color w:val="auto"/>
        </w:rPr>
      </w:pPr>
      <w:r>
        <w:rPr>
          <w:rFonts w:ascii="Times New Roman" w:hAnsi="Times New Roman"/>
          <w:iCs/>
          <w:color w:val="auto"/>
        </w:rPr>
        <w:t xml:space="preserve">In </w:t>
      </w:r>
      <w:r w:rsidR="00D070E7">
        <w:rPr>
          <w:rFonts w:ascii="Times New Roman" w:hAnsi="Times New Roman"/>
          <w:iCs/>
          <w:color w:val="auto"/>
        </w:rPr>
        <w:t>addition to its recommendation to hold a stakeholder meeting</w:t>
      </w:r>
      <w:r>
        <w:rPr>
          <w:rFonts w:ascii="Times New Roman" w:hAnsi="Times New Roman"/>
          <w:iCs/>
          <w:color w:val="auto"/>
        </w:rPr>
        <w:t xml:space="preserve">, </w:t>
      </w:r>
      <w:r w:rsidR="005B6BD2">
        <w:rPr>
          <w:rFonts w:ascii="Times New Roman" w:hAnsi="Times New Roman"/>
          <w:iCs/>
          <w:color w:val="auto"/>
        </w:rPr>
        <w:t xml:space="preserve">MSAC </w:t>
      </w:r>
      <w:r>
        <w:rPr>
          <w:rFonts w:ascii="Times New Roman" w:hAnsi="Times New Roman"/>
          <w:iCs/>
          <w:color w:val="auto"/>
        </w:rPr>
        <w:t xml:space="preserve">identified </w:t>
      </w:r>
      <w:r w:rsidR="005B6BD2">
        <w:rPr>
          <w:rFonts w:ascii="Times New Roman" w:hAnsi="Times New Roman"/>
          <w:iCs/>
          <w:color w:val="auto"/>
        </w:rPr>
        <w:t xml:space="preserve">areas of </w:t>
      </w:r>
      <w:r>
        <w:rPr>
          <w:rFonts w:ascii="Times New Roman" w:hAnsi="Times New Roman"/>
          <w:iCs/>
          <w:color w:val="auto"/>
        </w:rPr>
        <w:t xml:space="preserve">potential </w:t>
      </w:r>
      <w:r w:rsidR="005B6BD2">
        <w:rPr>
          <w:rFonts w:ascii="Times New Roman" w:hAnsi="Times New Roman"/>
          <w:iCs/>
          <w:color w:val="auto"/>
        </w:rPr>
        <w:t>research</w:t>
      </w:r>
      <w:r w:rsidR="00D4431E">
        <w:rPr>
          <w:rFonts w:ascii="Times New Roman" w:hAnsi="Times New Roman"/>
          <w:iCs/>
          <w:color w:val="auto"/>
        </w:rPr>
        <w:t xml:space="preserve"> or enhancements to the BloodSTAR system</w:t>
      </w:r>
      <w:r>
        <w:rPr>
          <w:rFonts w:ascii="Times New Roman" w:hAnsi="Times New Roman"/>
          <w:iCs/>
          <w:color w:val="auto"/>
        </w:rPr>
        <w:t xml:space="preserve"> which could be used to inform future HTA analyses of Ig</w:t>
      </w:r>
      <w:r w:rsidR="005B6BD2">
        <w:rPr>
          <w:rFonts w:ascii="Times New Roman" w:hAnsi="Times New Roman"/>
          <w:iCs/>
          <w:color w:val="auto"/>
        </w:rPr>
        <w:t>:</w:t>
      </w:r>
      <w:r w:rsidRPr="007231DD">
        <w:t xml:space="preserve"> </w:t>
      </w:r>
    </w:p>
    <w:p w14:paraId="28A3CF28" w14:textId="184E53B4" w:rsidR="005B6BD2" w:rsidRPr="003C0827" w:rsidRDefault="005B6BD2">
      <w:pPr>
        <w:pStyle w:val="Default"/>
        <w:spacing w:after="240"/>
        <w:rPr>
          <w:rFonts w:ascii="Times New Roman" w:hAnsi="Times New Roman"/>
          <w:iCs/>
          <w:color w:val="auto"/>
          <w:u w:val="single"/>
        </w:rPr>
      </w:pPr>
      <w:r w:rsidRPr="003C0827">
        <w:rPr>
          <w:rFonts w:ascii="Times New Roman" w:hAnsi="Times New Roman"/>
          <w:iCs/>
          <w:color w:val="auto"/>
          <w:u w:val="single"/>
        </w:rPr>
        <w:t>SCIg versus IVIg</w:t>
      </w:r>
      <w:r w:rsidR="00444117">
        <w:rPr>
          <w:rFonts w:ascii="Times New Roman" w:hAnsi="Times New Roman"/>
          <w:iCs/>
          <w:color w:val="auto"/>
          <w:u w:val="single"/>
        </w:rPr>
        <w:t xml:space="preserve"> comparison</w:t>
      </w:r>
    </w:p>
    <w:p w14:paraId="6FF8B4F2" w14:textId="6B03A5B2" w:rsidR="00444117" w:rsidRDefault="00444117" w:rsidP="00444117">
      <w:pPr>
        <w:pStyle w:val="Default"/>
        <w:rPr>
          <w:rFonts w:ascii="Times New Roman" w:hAnsi="Times New Roman"/>
          <w:iCs/>
          <w:color w:val="auto"/>
        </w:rPr>
      </w:pPr>
      <w:r>
        <w:rPr>
          <w:rFonts w:ascii="Times New Roman" w:hAnsi="Times New Roman"/>
          <w:iCs/>
          <w:color w:val="auto"/>
        </w:rPr>
        <w:t xml:space="preserve">MSAC </w:t>
      </w:r>
      <w:r w:rsidR="000C4DAC">
        <w:rPr>
          <w:rFonts w:ascii="Times New Roman" w:hAnsi="Times New Roman"/>
          <w:iCs/>
          <w:color w:val="auto"/>
        </w:rPr>
        <w:t xml:space="preserve">advised that </w:t>
      </w:r>
      <w:r>
        <w:rPr>
          <w:rFonts w:ascii="Times New Roman" w:hAnsi="Times New Roman"/>
          <w:iCs/>
          <w:color w:val="auto"/>
        </w:rPr>
        <w:t>an economic analysis considering dose ratios for IVIg to SCIg</w:t>
      </w:r>
      <w:r w:rsidR="000C4DAC">
        <w:rPr>
          <w:rFonts w:ascii="Times New Roman" w:hAnsi="Times New Roman"/>
          <w:iCs/>
          <w:color w:val="auto"/>
        </w:rPr>
        <w:t xml:space="preserve"> and resource costs</w:t>
      </w:r>
      <w:r>
        <w:rPr>
          <w:rFonts w:ascii="Times New Roman" w:hAnsi="Times New Roman"/>
          <w:iCs/>
          <w:color w:val="auto"/>
        </w:rPr>
        <w:t xml:space="preserve"> in Australia </w:t>
      </w:r>
      <w:r w:rsidR="00276004">
        <w:rPr>
          <w:rFonts w:ascii="Times New Roman" w:hAnsi="Times New Roman"/>
          <w:iCs/>
          <w:color w:val="auto"/>
        </w:rPr>
        <w:t xml:space="preserve">is </w:t>
      </w:r>
      <w:r w:rsidRPr="006E3C99">
        <w:rPr>
          <w:rFonts w:ascii="Times New Roman" w:hAnsi="Times New Roman"/>
          <w:iCs/>
          <w:color w:val="auto"/>
        </w:rPr>
        <w:t xml:space="preserve">an </w:t>
      </w:r>
      <w:r w:rsidR="00A54D89">
        <w:rPr>
          <w:rFonts w:ascii="Times New Roman" w:hAnsi="Times New Roman"/>
          <w:iCs/>
          <w:color w:val="auto"/>
        </w:rPr>
        <w:t xml:space="preserve">important </w:t>
      </w:r>
      <w:r w:rsidRPr="006E3C99">
        <w:rPr>
          <w:rFonts w:ascii="Times New Roman" w:hAnsi="Times New Roman"/>
          <w:iCs/>
          <w:color w:val="auto"/>
        </w:rPr>
        <w:t xml:space="preserve">area for </w:t>
      </w:r>
      <w:r>
        <w:rPr>
          <w:rFonts w:ascii="Times New Roman" w:hAnsi="Times New Roman"/>
          <w:iCs/>
          <w:color w:val="auto"/>
        </w:rPr>
        <w:t xml:space="preserve">potential </w:t>
      </w:r>
      <w:r w:rsidRPr="006E3C99">
        <w:rPr>
          <w:rFonts w:ascii="Times New Roman" w:hAnsi="Times New Roman"/>
          <w:iCs/>
          <w:color w:val="auto"/>
        </w:rPr>
        <w:t>further research.</w:t>
      </w:r>
      <w:r>
        <w:rPr>
          <w:rFonts w:ascii="Times New Roman" w:hAnsi="Times New Roman"/>
          <w:iCs/>
          <w:color w:val="auto"/>
        </w:rPr>
        <w:t xml:space="preserve"> </w:t>
      </w:r>
      <w:r w:rsidR="005B6BD2">
        <w:rPr>
          <w:rFonts w:ascii="Times New Roman" w:hAnsi="Times New Roman"/>
          <w:iCs/>
          <w:color w:val="auto"/>
        </w:rPr>
        <w:t xml:space="preserve">MSAC noted that </w:t>
      </w:r>
      <w:r>
        <w:rPr>
          <w:rFonts w:ascii="Times New Roman" w:hAnsi="Times New Roman"/>
          <w:iCs/>
          <w:color w:val="auto"/>
        </w:rPr>
        <w:t xml:space="preserve">while </w:t>
      </w:r>
      <w:r w:rsidR="005B6BD2">
        <w:rPr>
          <w:rFonts w:ascii="Times New Roman" w:hAnsi="Times New Roman"/>
          <w:iCs/>
          <w:color w:val="auto"/>
        </w:rPr>
        <w:t xml:space="preserve">SCIg may be less expensive than IVIg as maintenance therapy given the relative </w:t>
      </w:r>
      <w:r w:rsidR="00816171">
        <w:rPr>
          <w:rFonts w:ascii="Times New Roman" w:hAnsi="Times New Roman"/>
          <w:iCs/>
          <w:color w:val="auto"/>
        </w:rPr>
        <w:t>infusion</w:t>
      </w:r>
      <w:r w:rsidR="005B6BD2">
        <w:rPr>
          <w:rFonts w:ascii="Times New Roman" w:hAnsi="Times New Roman"/>
          <w:iCs/>
          <w:color w:val="auto"/>
        </w:rPr>
        <w:t xml:space="preserve"> costs, the mean dose equivalence </w:t>
      </w:r>
      <w:r>
        <w:rPr>
          <w:rFonts w:ascii="Times New Roman" w:hAnsi="Times New Roman"/>
          <w:iCs/>
          <w:color w:val="auto"/>
        </w:rPr>
        <w:t xml:space="preserve">of SCIg to IVIg </w:t>
      </w:r>
      <w:r w:rsidR="005B6BD2">
        <w:rPr>
          <w:rFonts w:ascii="Times New Roman" w:hAnsi="Times New Roman"/>
          <w:iCs/>
          <w:color w:val="auto"/>
        </w:rPr>
        <w:t>is not well defined</w:t>
      </w:r>
      <w:r>
        <w:rPr>
          <w:rFonts w:ascii="Times New Roman" w:hAnsi="Times New Roman"/>
          <w:iCs/>
          <w:color w:val="auto"/>
        </w:rPr>
        <w:t xml:space="preserve"> and varies from a ratio of </w:t>
      </w:r>
      <w:r w:rsidR="00E93998">
        <w:rPr>
          <w:rFonts w:ascii="Times New Roman" w:hAnsi="Times New Roman"/>
          <w:iCs/>
          <w:color w:val="auto"/>
        </w:rPr>
        <w:t>1.024</w:t>
      </w:r>
      <w:r>
        <w:rPr>
          <w:rFonts w:ascii="Times New Roman" w:hAnsi="Times New Roman"/>
          <w:iCs/>
          <w:color w:val="auto"/>
        </w:rPr>
        <w:t xml:space="preserve"> to 1.37 based on US and European studies</w:t>
      </w:r>
      <w:r w:rsidR="005B6BD2">
        <w:rPr>
          <w:rFonts w:ascii="Times New Roman" w:hAnsi="Times New Roman"/>
          <w:iCs/>
          <w:color w:val="auto"/>
        </w:rPr>
        <w:t xml:space="preserve">. </w:t>
      </w:r>
      <w:r>
        <w:rPr>
          <w:rFonts w:ascii="Times New Roman" w:hAnsi="Times New Roman"/>
          <w:iCs/>
          <w:color w:val="auto"/>
        </w:rPr>
        <w:t>T</w:t>
      </w:r>
      <w:r w:rsidR="006E3C99" w:rsidRPr="006E3C99">
        <w:rPr>
          <w:rFonts w:ascii="Times New Roman" w:hAnsi="Times New Roman"/>
          <w:iCs/>
          <w:color w:val="auto"/>
        </w:rPr>
        <w:t>he DCAR noted that</w:t>
      </w:r>
      <w:r>
        <w:rPr>
          <w:rFonts w:ascii="Times New Roman" w:hAnsi="Times New Roman"/>
          <w:iCs/>
          <w:color w:val="auto"/>
        </w:rPr>
        <w:t xml:space="preserve"> based on BloodSTAR data,</w:t>
      </w:r>
      <w:r w:rsidR="006E3C99" w:rsidRPr="006E3C99">
        <w:rPr>
          <w:rFonts w:ascii="Times New Roman" w:hAnsi="Times New Roman"/>
          <w:iCs/>
          <w:color w:val="auto"/>
        </w:rPr>
        <w:t xml:space="preserve"> the impact of dosing route (IV or SC) on total Ig use is uncertain but it appears more likely that SC administration would be associated with increased Ig use rather than decreased use.</w:t>
      </w:r>
      <w:r>
        <w:rPr>
          <w:rFonts w:ascii="Times New Roman" w:hAnsi="Times New Roman"/>
          <w:iCs/>
          <w:color w:val="auto"/>
        </w:rPr>
        <w:t xml:space="preserve"> </w:t>
      </w:r>
    </w:p>
    <w:p w14:paraId="7D12071A" w14:textId="14666574" w:rsidR="00444117" w:rsidRPr="007231DD" w:rsidRDefault="00444117" w:rsidP="00444117">
      <w:pPr>
        <w:pStyle w:val="Default"/>
        <w:rPr>
          <w:rFonts w:ascii="Times New Roman" w:hAnsi="Times New Roman"/>
          <w:iCs/>
          <w:color w:val="auto"/>
          <w:u w:val="single"/>
        </w:rPr>
      </w:pPr>
      <w:r w:rsidRPr="007231DD">
        <w:rPr>
          <w:rFonts w:ascii="Times New Roman" w:hAnsi="Times New Roman"/>
          <w:iCs/>
          <w:color w:val="auto"/>
          <w:u w:val="single"/>
        </w:rPr>
        <w:t>Preference study</w:t>
      </w:r>
    </w:p>
    <w:p w14:paraId="663D8199" w14:textId="0DD0413B" w:rsidR="007E6E81" w:rsidRDefault="00444117" w:rsidP="00444117">
      <w:pPr>
        <w:pStyle w:val="Default"/>
        <w:spacing w:after="240"/>
        <w:rPr>
          <w:rFonts w:ascii="Times New Roman" w:hAnsi="Times New Roman" w:cs="Times New Roman"/>
          <w:iCs/>
        </w:rPr>
      </w:pPr>
      <w:r>
        <w:rPr>
          <w:rFonts w:ascii="Times New Roman" w:hAnsi="Times New Roman" w:cs="Times New Roman"/>
          <w:iCs/>
        </w:rPr>
        <w:t xml:space="preserve">MSAC noted that </w:t>
      </w:r>
      <w:r w:rsidRPr="000F2308">
        <w:rPr>
          <w:rFonts w:ascii="Times New Roman" w:hAnsi="Times New Roman" w:cs="Times New Roman"/>
          <w:iCs/>
        </w:rPr>
        <w:t xml:space="preserve">Ig use is highly dependent on patient and/or clinician preference and an improved understanding of these preferences and behavioural responses may inform possible criteria changes that would better respond to what is required. MSAC advised that a preference study (patients and clinicians) </w:t>
      </w:r>
      <w:r>
        <w:rPr>
          <w:rFonts w:ascii="Times New Roman" w:hAnsi="Times New Roman" w:cs="Times New Roman"/>
          <w:iCs/>
        </w:rPr>
        <w:t xml:space="preserve">could </w:t>
      </w:r>
      <w:r w:rsidR="00C04A09">
        <w:rPr>
          <w:rFonts w:ascii="Times New Roman" w:hAnsi="Times New Roman" w:cs="Times New Roman"/>
          <w:iCs/>
        </w:rPr>
        <w:t xml:space="preserve">be </w:t>
      </w:r>
      <w:r>
        <w:rPr>
          <w:rFonts w:ascii="Times New Roman" w:hAnsi="Times New Roman" w:cs="Times New Roman"/>
          <w:iCs/>
        </w:rPr>
        <w:t xml:space="preserve">conducted </w:t>
      </w:r>
      <w:r w:rsidR="003A1477">
        <w:rPr>
          <w:rFonts w:ascii="Times New Roman" w:hAnsi="Times New Roman" w:cs="Times New Roman"/>
          <w:iCs/>
        </w:rPr>
        <w:t xml:space="preserve">with </w:t>
      </w:r>
      <w:r w:rsidR="0061732A">
        <w:rPr>
          <w:rFonts w:ascii="Times New Roman" w:hAnsi="Times New Roman" w:cs="Times New Roman"/>
          <w:iCs/>
        </w:rPr>
        <w:t>assistance</w:t>
      </w:r>
      <w:r w:rsidR="003A1477">
        <w:rPr>
          <w:rFonts w:ascii="Times New Roman" w:hAnsi="Times New Roman" w:cs="Times New Roman"/>
          <w:iCs/>
        </w:rPr>
        <w:t xml:space="preserve"> from</w:t>
      </w:r>
      <w:r>
        <w:rPr>
          <w:rFonts w:ascii="Times New Roman" w:hAnsi="Times New Roman" w:cs="Times New Roman"/>
          <w:iCs/>
        </w:rPr>
        <w:t xml:space="preserve"> </w:t>
      </w:r>
      <w:r w:rsidRPr="000F2308">
        <w:rPr>
          <w:rFonts w:ascii="Times New Roman" w:hAnsi="Times New Roman" w:cs="Times New Roman"/>
          <w:iCs/>
        </w:rPr>
        <w:t xml:space="preserve">the </w:t>
      </w:r>
      <w:r w:rsidR="003A1477">
        <w:rPr>
          <w:rFonts w:ascii="Times New Roman" w:hAnsi="Times New Roman" w:cs="Times New Roman"/>
          <w:iCs/>
        </w:rPr>
        <w:t xml:space="preserve">Behavioural Insights </w:t>
      </w:r>
      <w:r w:rsidR="0061732A">
        <w:rPr>
          <w:rFonts w:ascii="Times New Roman" w:hAnsi="Times New Roman" w:cs="Times New Roman"/>
          <w:iCs/>
        </w:rPr>
        <w:t xml:space="preserve">and Evaluation </w:t>
      </w:r>
      <w:r w:rsidR="003A1477">
        <w:rPr>
          <w:rFonts w:ascii="Times New Roman" w:hAnsi="Times New Roman" w:cs="Times New Roman"/>
          <w:iCs/>
        </w:rPr>
        <w:t>are</w:t>
      </w:r>
      <w:r w:rsidR="0061732A">
        <w:rPr>
          <w:rFonts w:ascii="Times New Roman" w:hAnsi="Times New Roman" w:cs="Times New Roman"/>
          <w:iCs/>
        </w:rPr>
        <w:t>a</w:t>
      </w:r>
      <w:r w:rsidR="003A1477">
        <w:rPr>
          <w:rFonts w:ascii="Times New Roman" w:hAnsi="Times New Roman" w:cs="Times New Roman"/>
          <w:iCs/>
        </w:rPr>
        <w:t xml:space="preserve"> of the Department</w:t>
      </w:r>
      <w:r w:rsidR="00EB6835">
        <w:rPr>
          <w:rFonts w:ascii="Times New Roman" w:hAnsi="Times New Roman" w:cs="Times New Roman"/>
          <w:iCs/>
        </w:rPr>
        <w:t xml:space="preserve">. </w:t>
      </w:r>
    </w:p>
    <w:p w14:paraId="3EF86E2C" w14:textId="1CC290E8" w:rsidR="00444117" w:rsidRPr="007231DD" w:rsidRDefault="00444117" w:rsidP="00444117">
      <w:pPr>
        <w:pStyle w:val="Default"/>
        <w:spacing w:after="240"/>
        <w:rPr>
          <w:rFonts w:ascii="Times New Roman" w:hAnsi="Times New Roman" w:cs="Times New Roman"/>
          <w:iCs/>
          <w:u w:val="single"/>
        </w:rPr>
      </w:pPr>
      <w:r w:rsidRPr="007231DD">
        <w:rPr>
          <w:rFonts w:ascii="Times New Roman" w:hAnsi="Times New Roman" w:cs="Times New Roman"/>
          <w:iCs/>
          <w:u w:val="single"/>
        </w:rPr>
        <w:t>Enhancement of the BloodSTAR data system</w:t>
      </w:r>
    </w:p>
    <w:p w14:paraId="36ADB425" w14:textId="3018AEF6" w:rsidR="00D83BB2" w:rsidRPr="00DC0E70" w:rsidRDefault="00444117" w:rsidP="00C55C32">
      <w:pPr>
        <w:spacing w:before="0"/>
        <w:jc w:val="left"/>
        <w:rPr>
          <w:rFonts w:eastAsiaTheme="minorHAnsi"/>
          <w:szCs w:val="24"/>
        </w:rPr>
      </w:pPr>
      <w:r>
        <w:rPr>
          <w:iCs/>
        </w:rPr>
        <w:t xml:space="preserve">MSAC </w:t>
      </w:r>
      <w:r w:rsidR="003C0827">
        <w:rPr>
          <w:iCs/>
        </w:rPr>
        <w:t>advised</w:t>
      </w:r>
      <w:r>
        <w:rPr>
          <w:iCs/>
        </w:rPr>
        <w:t xml:space="preserve"> that optimisation of data collection and reporting through BloodSTAR </w:t>
      </w:r>
      <w:r w:rsidR="00C134F8">
        <w:rPr>
          <w:iCs/>
        </w:rPr>
        <w:t xml:space="preserve">could be used to </w:t>
      </w:r>
      <w:r w:rsidRPr="005B1719">
        <w:rPr>
          <w:iCs/>
        </w:rPr>
        <w:t xml:space="preserve">collect patient characteristics in order </w:t>
      </w:r>
      <w:r w:rsidR="00C04A09">
        <w:rPr>
          <w:iCs/>
        </w:rPr>
        <w:t xml:space="preserve">to </w:t>
      </w:r>
      <w:r w:rsidRPr="005B1719">
        <w:rPr>
          <w:iCs/>
        </w:rPr>
        <w:t>allow analysis to assist identif</w:t>
      </w:r>
      <w:r w:rsidR="00A54D89">
        <w:rPr>
          <w:iCs/>
        </w:rPr>
        <w:t>ication of</w:t>
      </w:r>
      <w:r w:rsidRPr="005B1719">
        <w:rPr>
          <w:iCs/>
        </w:rPr>
        <w:t xml:space="preserve"> subgroups where Ig may be more cost effective, capture outcome measures and explore dosing regimens. </w:t>
      </w:r>
      <w:r w:rsidR="00C134F8">
        <w:rPr>
          <w:iCs/>
        </w:rPr>
        <w:t>D</w:t>
      </w:r>
      <w:r w:rsidR="007231DD">
        <w:rPr>
          <w:iCs/>
        </w:rPr>
        <w:t>ata linkage of</w:t>
      </w:r>
      <w:r w:rsidRPr="005B1719">
        <w:rPr>
          <w:iCs/>
        </w:rPr>
        <w:t xml:space="preserve"> </w:t>
      </w:r>
      <w:r>
        <w:rPr>
          <w:iCs/>
        </w:rPr>
        <w:t xml:space="preserve">BloodSTAR </w:t>
      </w:r>
      <w:r w:rsidR="007231DD">
        <w:rPr>
          <w:iCs/>
        </w:rPr>
        <w:t>t</w:t>
      </w:r>
      <w:r>
        <w:rPr>
          <w:iCs/>
        </w:rPr>
        <w:t xml:space="preserve">o a relevant registry or </w:t>
      </w:r>
      <w:r w:rsidR="007231DD">
        <w:rPr>
          <w:iCs/>
        </w:rPr>
        <w:t xml:space="preserve">other health </w:t>
      </w:r>
      <w:r>
        <w:rPr>
          <w:iCs/>
        </w:rPr>
        <w:t>dataset</w:t>
      </w:r>
      <w:r w:rsidR="007231DD">
        <w:rPr>
          <w:iCs/>
        </w:rPr>
        <w:t>s</w:t>
      </w:r>
      <w:r w:rsidR="008A6286">
        <w:rPr>
          <w:iCs/>
        </w:rPr>
        <w:t xml:space="preserve"> (MBS and PBS)</w:t>
      </w:r>
      <w:r w:rsidR="007231DD">
        <w:rPr>
          <w:iCs/>
        </w:rPr>
        <w:t xml:space="preserve"> </w:t>
      </w:r>
      <w:r w:rsidR="008A6286">
        <w:rPr>
          <w:iCs/>
        </w:rPr>
        <w:t xml:space="preserve">would </w:t>
      </w:r>
      <w:r w:rsidR="00C134F8">
        <w:rPr>
          <w:iCs/>
        </w:rPr>
        <w:t xml:space="preserve">also </w:t>
      </w:r>
      <w:r w:rsidR="008A6286">
        <w:rPr>
          <w:iCs/>
        </w:rPr>
        <w:t>increase research options</w:t>
      </w:r>
      <w:r w:rsidR="00DC0E70" w:rsidRPr="00DC0E70">
        <w:rPr>
          <w:iCs/>
        </w:rPr>
        <w:t xml:space="preserve"> </w:t>
      </w:r>
      <w:r w:rsidR="00DC0E70">
        <w:rPr>
          <w:iCs/>
        </w:rPr>
        <w:t xml:space="preserve">in line with Government initiatives to </w:t>
      </w:r>
      <w:r w:rsidR="00DC0E70">
        <w:rPr>
          <w:iCs/>
        </w:rPr>
        <w:lastRenderedPageBreak/>
        <w:t xml:space="preserve">maximise the use of </w:t>
      </w:r>
      <w:r w:rsidR="00276004">
        <w:rPr>
          <w:iCs/>
        </w:rPr>
        <w:t xml:space="preserve">integrated </w:t>
      </w:r>
      <w:r w:rsidR="00DC0E70">
        <w:rPr>
          <w:iCs/>
        </w:rPr>
        <w:t xml:space="preserve">datasets </w:t>
      </w:r>
      <w:r w:rsidR="00276004">
        <w:rPr>
          <w:iCs/>
        </w:rPr>
        <w:t>and</w:t>
      </w:r>
      <w:r w:rsidR="00DC0E70">
        <w:rPr>
          <w:iCs/>
        </w:rPr>
        <w:t xml:space="preserve"> access the value inherent in public data</w:t>
      </w:r>
      <w:r w:rsidR="00AD612E">
        <w:rPr>
          <w:rStyle w:val="FootnoteReference"/>
          <w:iCs/>
        </w:rPr>
        <w:footnoteReference w:id="4"/>
      </w:r>
      <w:r>
        <w:rPr>
          <w:iCs/>
        </w:rPr>
        <w:t xml:space="preserve">. </w:t>
      </w:r>
      <w:r w:rsidR="00D83BB2">
        <w:rPr>
          <w:iCs/>
        </w:rPr>
        <w:t xml:space="preserve">MSAC considered that further analysis </w:t>
      </w:r>
      <w:r w:rsidR="00D83BB2" w:rsidRPr="003B01EE">
        <w:rPr>
          <w:iCs/>
        </w:rPr>
        <w:t xml:space="preserve">(if data </w:t>
      </w:r>
      <w:r w:rsidR="005779AD" w:rsidRPr="003B01EE">
        <w:rPr>
          <w:iCs/>
        </w:rPr>
        <w:t xml:space="preserve">are </w:t>
      </w:r>
      <w:r w:rsidR="00D83BB2" w:rsidRPr="003B01EE">
        <w:rPr>
          <w:iCs/>
        </w:rPr>
        <w:t>available</w:t>
      </w:r>
      <w:r w:rsidR="00D83BB2">
        <w:rPr>
          <w:iCs/>
        </w:rPr>
        <w:t xml:space="preserve">) or enhancement of the BloodSTAR data system to enable </w:t>
      </w:r>
      <w:r w:rsidR="00C134F8">
        <w:rPr>
          <w:iCs/>
        </w:rPr>
        <w:t xml:space="preserve">future </w:t>
      </w:r>
      <w:r w:rsidR="00D83BB2">
        <w:rPr>
          <w:iCs/>
        </w:rPr>
        <w:t xml:space="preserve">analysis of the association between the magnitude of the clinical scores </w:t>
      </w:r>
      <w:r w:rsidR="00A54D89">
        <w:rPr>
          <w:iCs/>
        </w:rPr>
        <w:t xml:space="preserve">specified in the Criteria </w:t>
      </w:r>
      <w:r w:rsidR="008461E8">
        <w:rPr>
          <w:iCs/>
        </w:rPr>
        <w:t>for initial and continu</w:t>
      </w:r>
      <w:r w:rsidR="00574E36">
        <w:rPr>
          <w:iCs/>
        </w:rPr>
        <w:t>ing</w:t>
      </w:r>
      <w:r w:rsidR="008461E8">
        <w:rPr>
          <w:iCs/>
        </w:rPr>
        <w:t xml:space="preserve"> access </w:t>
      </w:r>
      <w:r w:rsidR="00A54D89">
        <w:rPr>
          <w:iCs/>
        </w:rPr>
        <w:t>(</w:t>
      </w:r>
      <w:r w:rsidR="008461E8">
        <w:rPr>
          <w:iCs/>
        </w:rPr>
        <w:t xml:space="preserve">i.e. </w:t>
      </w:r>
      <w:r w:rsidR="00A54D89">
        <w:rPr>
          <w:iCs/>
        </w:rPr>
        <w:t xml:space="preserve">ONLS/MRC, 6MWT/MRS) </w:t>
      </w:r>
      <w:r w:rsidR="00D83BB2">
        <w:rPr>
          <w:iCs/>
        </w:rPr>
        <w:t>and</w:t>
      </w:r>
      <w:r w:rsidR="008A6286">
        <w:rPr>
          <w:iCs/>
        </w:rPr>
        <w:t xml:space="preserve"> subsequent patient</w:t>
      </w:r>
      <w:r w:rsidR="00D83BB2">
        <w:rPr>
          <w:iCs/>
        </w:rPr>
        <w:t xml:space="preserve"> response</w:t>
      </w:r>
      <w:r w:rsidR="008A6286">
        <w:rPr>
          <w:iCs/>
        </w:rPr>
        <w:t xml:space="preserve"> to</w:t>
      </w:r>
      <w:r w:rsidR="00D83BB2">
        <w:rPr>
          <w:iCs/>
        </w:rPr>
        <w:t xml:space="preserve"> Ig</w:t>
      </w:r>
      <w:r w:rsidR="00276004">
        <w:rPr>
          <w:iCs/>
        </w:rPr>
        <w:t xml:space="preserve">. </w:t>
      </w:r>
      <w:r w:rsidR="00534832">
        <w:rPr>
          <w:iCs/>
        </w:rPr>
        <w:t xml:space="preserve">This would </w:t>
      </w:r>
      <w:r w:rsidR="00D83BB2">
        <w:rPr>
          <w:iCs/>
        </w:rPr>
        <w:t>be useful</w:t>
      </w:r>
      <w:r w:rsidR="00C134F8">
        <w:rPr>
          <w:iCs/>
        </w:rPr>
        <w:t xml:space="preserve"> and</w:t>
      </w:r>
      <w:r w:rsidR="00D83BB2">
        <w:rPr>
          <w:iCs/>
        </w:rPr>
        <w:t xml:space="preserve"> lead to the development of an optimum dose regimen for </w:t>
      </w:r>
      <w:r w:rsidR="00534832">
        <w:rPr>
          <w:iCs/>
        </w:rPr>
        <w:t xml:space="preserve">patients with </w:t>
      </w:r>
      <w:r w:rsidR="00D83BB2">
        <w:rPr>
          <w:iCs/>
        </w:rPr>
        <w:t>CIDP (</w:t>
      </w:r>
      <w:r w:rsidR="00C134F8">
        <w:rPr>
          <w:iCs/>
        </w:rPr>
        <w:t xml:space="preserve">i.e. </w:t>
      </w:r>
      <w:r w:rsidR="00D83BB2">
        <w:rPr>
          <w:iCs/>
        </w:rPr>
        <w:t>dose</w:t>
      </w:r>
      <w:r w:rsidR="008A6286">
        <w:rPr>
          <w:iCs/>
        </w:rPr>
        <w:t xml:space="preserve"> amount and</w:t>
      </w:r>
      <w:r w:rsidR="00D83BB2">
        <w:rPr>
          <w:iCs/>
        </w:rPr>
        <w:t xml:space="preserve"> frequency, interval between reviews, use of supplementary doses)</w:t>
      </w:r>
      <w:r w:rsidR="00C134F8">
        <w:rPr>
          <w:iCs/>
        </w:rPr>
        <w:t>.</w:t>
      </w:r>
    </w:p>
    <w:p w14:paraId="53FA4BDF" w14:textId="7837D844" w:rsidR="00B52FCF" w:rsidRPr="00A36DE2" w:rsidRDefault="00065623" w:rsidP="000D5C36">
      <w:pPr>
        <w:pStyle w:val="Heading1"/>
        <w:spacing w:before="120" w:after="120"/>
        <w:rPr>
          <w:rFonts w:ascii="Arial" w:hAnsi="Arial" w:cs="Arial"/>
        </w:rPr>
      </w:pPr>
      <w:r w:rsidRPr="00A36DE2">
        <w:rPr>
          <w:rFonts w:ascii="Arial" w:hAnsi="Arial" w:cs="Arial"/>
        </w:rPr>
        <w:t>Background</w:t>
      </w:r>
    </w:p>
    <w:p w14:paraId="7D561407" w14:textId="50146CA3" w:rsidR="004A34F2" w:rsidRPr="00E901D4" w:rsidRDefault="004A34F2" w:rsidP="00A36DE2">
      <w:pPr>
        <w:tabs>
          <w:tab w:val="left" w:pos="720"/>
          <w:tab w:val="left" w:pos="1140"/>
        </w:tabs>
        <w:rPr>
          <w:szCs w:val="24"/>
        </w:rPr>
      </w:pPr>
      <w:r w:rsidRPr="00E901D4">
        <w:rPr>
          <w:rFonts w:eastAsiaTheme="minorHAnsi"/>
          <w:lang w:val="en-US" w:eastAsia="en-US"/>
        </w:rPr>
        <w:t xml:space="preserve">All Australian Governments, through the Jurisdictional Blood Committee (JBC), have agreed </w:t>
      </w:r>
      <w:r w:rsidRPr="00E901D4">
        <w:rPr>
          <w:szCs w:val="24"/>
        </w:rPr>
        <w:t>to conduct robust Health Technology Assessments (HTAs) of immunoglobulin use (Ig Reviews) funded under the National Blood Agreement</w:t>
      </w:r>
      <w:r w:rsidR="000A17A0">
        <w:rPr>
          <w:szCs w:val="24"/>
        </w:rPr>
        <w:t>,</w:t>
      </w:r>
      <w:r w:rsidRPr="00E901D4">
        <w:rPr>
          <w:szCs w:val="24"/>
        </w:rPr>
        <w:t xml:space="preserve"> to ensure government-funded immunoglobulin use is based on </w:t>
      </w:r>
      <w:r w:rsidR="002E21C0">
        <w:rPr>
          <w:szCs w:val="24"/>
        </w:rPr>
        <w:t>best</w:t>
      </w:r>
      <w:r w:rsidR="002E21C0" w:rsidRPr="00E901D4">
        <w:rPr>
          <w:szCs w:val="24"/>
        </w:rPr>
        <w:t xml:space="preserve"> </w:t>
      </w:r>
      <w:r w:rsidRPr="00E901D4">
        <w:rPr>
          <w:szCs w:val="24"/>
        </w:rPr>
        <w:t>evidence of clinical</w:t>
      </w:r>
      <w:r>
        <w:rPr>
          <w:szCs w:val="24"/>
        </w:rPr>
        <w:t xml:space="preserve"> effectiveness</w:t>
      </w:r>
      <w:r w:rsidRPr="00E901D4">
        <w:rPr>
          <w:szCs w:val="24"/>
        </w:rPr>
        <w:t xml:space="preserve"> and cost-effectiveness. The National Blood Agreement provides for MSAC to undertake evidence-based evaluation of blood products funded under the national blood supply arrange</w:t>
      </w:r>
      <w:r w:rsidR="00432D2A">
        <w:rPr>
          <w:szCs w:val="24"/>
        </w:rPr>
        <w:t>ments at the request of the JBC</w:t>
      </w:r>
      <w:r w:rsidR="003B7B0C">
        <w:rPr>
          <w:szCs w:val="24"/>
        </w:rPr>
        <w:t>.</w:t>
      </w:r>
    </w:p>
    <w:p w14:paraId="67D290C8" w14:textId="4E44EBC9" w:rsidR="004A34F2" w:rsidRPr="00E901D4" w:rsidRDefault="004A34F2" w:rsidP="00A36DE2">
      <w:pPr>
        <w:tabs>
          <w:tab w:val="left" w:pos="720"/>
          <w:tab w:val="left" w:pos="1140"/>
        </w:tabs>
        <w:rPr>
          <w:szCs w:val="24"/>
        </w:rPr>
      </w:pPr>
      <w:r w:rsidRPr="00E901D4">
        <w:rPr>
          <w:szCs w:val="24"/>
        </w:rPr>
        <w:t xml:space="preserve">The Ig Reviews </w:t>
      </w:r>
      <w:r w:rsidRPr="00780B26">
        <w:rPr>
          <w:szCs w:val="24"/>
        </w:rPr>
        <w:t>are supported</w:t>
      </w:r>
      <w:r w:rsidRPr="00E901D4">
        <w:rPr>
          <w:szCs w:val="24"/>
        </w:rPr>
        <w:t xml:space="preserve"> by a bespoke Reference Group, which oversees and provides advice on evaluation of all Ig HTA review applications. The PICO Confirmations for the Ig Reviews have been considered by the Reference Group instead of the PICO Advisory Sub-committee (PASC). </w:t>
      </w:r>
    </w:p>
    <w:p w14:paraId="14093DB2" w14:textId="21F742F7" w:rsidR="004A34F2" w:rsidRDefault="006853A3" w:rsidP="009A5DF3">
      <w:pPr>
        <w:tabs>
          <w:tab w:val="left" w:pos="720"/>
          <w:tab w:val="left" w:pos="1140"/>
        </w:tabs>
        <w:spacing w:before="120" w:after="120"/>
        <w:rPr>
          <w:szCs w:val="24"/>
        </w:rPr>
      </w:pPr>
      <w:r>
        <w:rPr>
          <w:szCs w:val="24"/>
        </w:rPr>
        <w:t>MSAC have considered and provided advice on five of the six</w:t>
      </w:r>
      <w:r w:rsidR="004A34F2">
        <w:rPr>
          <w:szCs w:val="24"/>
        </w:rPr>
        <w:t xml:space="preserve"> Ig Reviews so far:</w:t>
      </w:r>
    </w:p>
    <w:p w14:paraId="65118BE6" w14:textId="082ACE7B" w:rsidR="004A34F2" w:rsidRDefault="003E450E" w:rsidP="009A5DF3">
      <w:pPr>
        <w:pStyle w:val="ListParagraph"/>
        <w:numPr>
          <w:ilvl w:val="0"/>
          <w:numId w:val="4"/>
        </w:numPr>
        <w:tabs>
          <w:tab w:val="left" w:pos="720"/>
          <w:tab w:val="left" w:pos="1140"/>
        </w:tabs>
        <w:spacing w:before="0" w:after="120"/>
        <w:ind w:left="714" w:hanging="357"/>
        <w:rPr>
          <w:szCs w:val="24"/>
        </w:rPr>
      </w:pPr>
      <w:hyperlink r:id="rId12" w:history="1">
        <w:r w:rsidR="004A34F2" w:rsidRPr="00FD59CA">
          <w:rPr>
            <w:rStyle w:val="Hyperlink"/>
            <w:szCs w:val="24"/>
          </w:rPr>
          <w:t>Application 1565</w:t>
        </w:r>
      </w:hyperlink>
      <w:r w:rsidR="004A34F2" w:rsidRPr="006D41A3">
        <w:rPr>
          <w:szCs w:val="24"/>
        </w:rPr>
        <w:t xml:space="preserve"> – </w:t>
      </w:r>
      <w:r w:rsidR="00675B1C">
        <w:rPr>
          <w:szCs w:val="24"/>
        </w:rPr>
        <w:t>Review of Ig</w:t>
      </w:r>
      <w:r w:rsidR="00675B1C" w:rsidRPr="006D41A3">
        <w:rPr>
          <w:szCs w:val="24"/>
        </w:rPr>
        <w:t xml:space="preserve"> </w:t>
      </w:r>
      <w:r w:rsidR="004A34F2" w:rsidRPr="006D41A3">
        <w:rPr>
          <w:szCs w:val="24"/>
        </w:rPr>
        <w:t xml:space="preserve">for acquired hypogammaglobulinaemia secondary to haematological malignancies, or post-haemopoietic stem cell transplantation (HSCT) </w:t>
      </w:r>
    </w:p>
    <w:p w14:paraId="6D30D9AF" w14:textId="096C3B80" w:rsidR="004A34F2" w:rsidRDefault="003E450E" w:rsidP="000D5C36">
      <w:pPr>
        <w:pStyle w:val="ListParagraph"/>
        <w:numPr>
          <w:ilvl w:val="0"/>
          <w:numId w:val="4"/>
        </w:numPr>
        <w:tabs>
          <w:tab w:val="left" w:pos="720"/>
          <w:tab w:val="left" w:pos="1140"/>
        </w:tabs>
        <w:spacing w:before="120" w:after="120"/>
        <w:rPr>
          <w:szCs w:val="24"/>
        </w:rPr>
      </w:pPr>
      <w:hyperlink r:id="rId13" w:history="1">
        <w:r w:rsidR="004A34F2" w:rsidRPr="00086DA4">
          <w:rPr>
            <w:rStyle w:val="Hyperlink"/>
            <w:szCs w:val="24"/>
          </w:rPr>
          <w:t>Application 1566</w:t>
        </w:r>
      </w:hyperlink>
      <w:r w:rsidR="004A34F2" w:rsidRPr="006D41A3">
        <w:rPr>
          <w:szCs w:val="24"/>
        </w:rPr>
        <w:t xml:space="preserve"> – </w:t>
      </w:r>
      <w:r w:rsidR="00675B1C">
        <w:rPr>
          <w:szCs w:val="24"/>
        </w:rPr>
        <w:t xml:space="preserve">Review of Ig </w:t>
      </w:r>
      <w:r w:rsidR="004A34F2">
        <w:rPr>
          <w:szCs w:val="24"/>
        </w:rPr>
        <w:t>for myasthenia gravis</w:t>
      </w:r>
    </w:p>
    <w:p w14:paraId="797907C3" w14:textId="76278A90" w:rsidR="004A34F2" w:rsidRDefault="003E450E" w:rsidP="000D5C36">
      <w:pPr>
        <w:pStyle w:val="ListParagraph"/>
        <w:numPr>
          <w:ilvl w:val="0"/>
          <w:numId w:val="4"/>
        </w:numPr>
        <w:tabs>
          <w:tab w:val="left" w:pos="720"/>
          <w:tab w:val="left" w:pos="1140"/>
        </w:tabs>
        <w:spacing w:before="120" w:after="120"/>
        <w:rPr>
          <w:szCs w:val="24"/>
        </w:rPr>
      </w:pPr>
      <w:hyperlink r:id="rId14" w:history="1">
        <w:r w:rsidR="004A34F2" w:rsidRPr="00086DA4">
          <w:rPr>
            <w:rStyle w:val="Hyperlink"/>
            <w:szCs w:val="24"/>
          </w:rPr>
          <w:t>Application 1590</w:t>
        </w:r>
      </w:hyperlink>
      <w:r w:rsidR="004A34F2" w:rsidRPr="00FB5E3E">
        <w:rPr>
          <w:szCs w:val="24"/>
        </w:rPr>
        <w:t xml:space="preserve"> – </w:t>
      </w:r>
      <w:r w:rsidR="00675B1C">
        <w:rPr>
          <w:szCs w:val="24"/>
        </w:rPr>
        <w:t>Review of Ig</w:t>
      </w:r>
      <w:r w:rsidR="00675B1C" w:rsidRPr="00FB5E3E">
        <w:rPr>
          <w:szCs w:val="24"/>
        </w:rPr>
        <w:t xml:space="preserve"> </w:t>
      </w:r>
      <w:r w:rsidR="004A34F2" w:rsidRPr="00FB5E3E">
        <w:rPr>
          <w:szCs w:val="24"/>
        </w:rPr>
        <w:t xml:space="preserve">for multifocal motor neuropathy </w:t>
      </w:r>
    </w:p>
    <w:p w14:paraId="217256D9" w14:textId="203C555D" w:rsidR="007438CC" w:rsidRDefault="003E450E" w:rsidP="000D5C36">
      <w:pPr>
        <w:pStyle w:val="ListParagraph"/>
        <w:numPr>
          <w:ilvl w:val="0"/>
          <w:numId w:val="4"/>
        </w:numPr>
        <w:tabs>
          <w:tab w:val="left" w:pos="720"/>
          <w:tab w:val="left" w:pos="1140"/>
        </w:tabs>
        <w:spacing w:before="120" w:after="120"/>
        <w:rPr>
          <w:szCs w:val="24"/>
        </w:rPr>
      </w:pPr>
      <w:hyperlink r:id="rId15" w:history="1">
        <w:r w:rsidR="00702BD7" w:rsidRPr="00086DA4">
          <w:rPr>
            <w:rStyle w:val="Hyperlink"/>
            <w:szCs w:val="24"/>
          </w:rPr>
          <w:t>Application 1591</w:t>
        </w:r>
      </w:hyperlink>
      <w:r w:rsidR="00702BD7" w:rsidRPr="007438CC">
        <w:rPr>
          <w:szCs w:val="24"/>
        </w:rPr>
        <w:t xml:space="preserve"> – </w:t>
      </w:r>
      <w:r w:rsidR="00675B1C">
        <w:rPr>
          <w:szCs w:val="24"/>
        </w:rPr>
        <w:t>Review of Ig</w:t>
      </w:r>
      <w:r w:rsidR="00675B1C" w:rsidRPr="007438CC">
        <w:rPr>
          <w:szCs w:val="24"/>
        </w:rPr>
        <w:t xml:space="preserve"> </w:t>
      </w:r>
      <w:r w:rsidR="00702BD7" w:rsidRPr="007438CC">
        <w:rPr>
          <w:szCs w:val="24"/>
        </w:rPr>
        <w:t xml:space="preserve">for </w:t>
      </w:r>
      <w:r w:rsidR="007438CC" w:rsidRPr="007438CC">
        <w:rPr>
          <w:szCs w:val="24"/>
        </w:rPr>
        <w:t>secondary hypogammaglobulinaemia unrelated to haematological malignancies, or post-haemopoietic stem cell transpl</w:t>
      </w:r>
      <w:r w:rsidR="007438CC">
        <w:rPr>
          <w:szCs w:val="24"/>
        </w:rPr>
        <w:t>ant</w:t>
      </w:r>
    </w:p>
    <w:p w14:paraId="3AC9AAEB" w14:textId="59F28677" w:rsidR="007438CC" w:rsidRDefault="003E450E" w:rsidP="000D5C36">
      <w:pPr>
        <w:pStyle w:val="ListParagraph"/>
        <w:numPr>
          <w:ilvl w:val="0"/>
          <w:numId w:val="4"/>
        </w:numPr>
        <w:tabs>
          <w:tab w:val="left" w:pos="720"/>
          <w:tab w:val="left" w:pos="1140"/>
        </w:tabs>
        <w:spacing w:before="120" w:after="120"/>
        <w:rPr>
          <w:szCs w:val="24"/>
        </w:rPr>
      </w:pPr>
      <w:hyperlink r:id="rId16" w:history="1">
        <w:r w:rsidR="00702BD7" w:rsidRPr="00086DA4">
          <w:rPr>
            <w:rStyle w:val="Hyperlink"/>
            <w:szCs w:val="24"/>
          </w:rPr>
          <w:t>Application 1592</w:t>
        </w:r>
      </w:hyperlink>
      <w:r w:rsidR="00702BD7" w:rsidRPr="007438CC">
        <w:rPr>
          <w:szCs w:val="24"/>
        </w:rPr>
        <w:t xml:space="preserve"> – </w:t>
      </w:r>
      <w:r w:rsidR="00675B1C">
        <w:rPr>
          <w:szCs w:val="24"/>
        </w:rPr>
        <w:t>Review of Ig</w:t>
      </w:r>
      <w:r w:rsidR="00702BD7" w:rsidRPr="007438CC">
        <w:rPr>
          <w:szCs w:val="24"/>
        </w:rPr>
        <w:t xml:space="preserve"> for </w:t>
      </w:r>
      <w:r w:rsidR="007438CC" w:rsidRPr="007438CC">
        <w:rPr>
          <w:szCs w:val="24"/>
        </w:rPr>
        <w:t xml:space="preserve">primary immunodeficiency diseases with antibody deficiency </w:t>
      </w:r>
    </w:p>
    <w:p w14:paraId="2DA243D5" w14:textId="729B5E5D" w:rsidR="00987D1D" w:rsidRDefault="003E450E" w:rsidP="00A36DE2">
      <w:pPr>
        <w:tabs>
          <w:tab w:val="left" w:pos="720"/>
          <w:tab w:val="left" w:pos="1140"/>
        </w:tabs>
        <w:spacing w:after="120"/>
        <w:rPr>
          <w:szCs w:val="24"/>
        </w:rPr>
      </w:pPr>
      <w:hyperlink r:id="rId17" w:history="1">
        <w:r w:rsidR="006853A3" w:rsidRPr="00086DA4">
          <w:rPr>
            <w:rStyle w:val="Hyperlink"/>
            <w:szCs w:val="24"/>
          </w:rPr>
          <w:t>Application 1564</w:t>
        </w:r>
      </w:hyperlink>
      <w:r w:rsidR="006853A3">
        <w:rPr>
          <w:szCs w:val="24"/>
        </w:rPr>
        <w:t xml:space="preserve"> – Review of Ig for CIDP was </w:t>
      </w:r>
      <w:r w:rsidR="006853A3" w:rsidRPr="006853A3">
        <w:rPr>
          <w:szCs w:val="24"/>
        </w:rPr>
        <w:t xml:space="preserve">considered and deferred by MSAC in </w:t>
      </w:r>
      <w:r w:rsidR="00C86C09">
        <w:rPr>
          <w:szCs w:val="24"/>
        </w:rPr>
        <w:t xml:space="preserve">April </w:t>
      </w:r>
      <w:r w:rsidR="006853A3" w:rsidRPr="006853A3">
        <w:rPr>
          <w:szCs w:val="24"/>
        </w:rPr>
        <w:t>2020, pending this resubmission</w:t>
      </w:r>
      <w:r w:rsidR="006853A3">
        <w:rPr>
          <w:szCs w:val="24"/>
        </w:rPr>
        <w:t xml:space="preserve">. </w:t>
      </w:r>
      <w:r w:rsidR="00702BD7" w:rsidRPr="007438CC">
        <w:rPr>
          <w:szCs w:val="24"/>
        </w:rPr>
        <w:t xml:space="preserve">The </w:t>
      </w:r>
      <w:r w:rsidR="00862DFB" w:rsidRPr="007438CC">
        <w:rPr>
          <w:szCs w:val="24"/>
        </w:rPr>
        <w:t>resubmitted/revised</w:t>
      </w:r>
      <w:r w:rsidR="00702BD7" w:rsidRPr="007438CC">
        <w:rPr>
          <w:szCs w:val="24"/>
        </w:rPr>
        <w:t xml:space="preserve"> A</w:t>
      </w:r>
      <w:r w:rsidR="004A34F2" w:rsidRPr="007438CC">
        <w:rPr>
          <w:szCs w:val="24"/>
        </w:rPr>
        <w:t>pplication 15</w:t>
      </w:r>
      <w:r w:rsidR="00702BD7" w:rsidRPr="007438CC">
        <w:rPr>
          <w:szCs w:val="24"/>
        </w:rPr>
        <w:t>64</w:t>
      </w:r>
      <w:r w:rsidR="004A34F2" w:rsidRPr="007438CC">
        <w:rPr>
          <w:szCs w:val="24"/>
        </w:rPr>
        <w:t xml:space="preserve"> </w:t>
      </w:r>
      <w:r w:rsidR="00702BD7" w:rsidRPr="007438CC">
        <w:rPr>
          <w:szCs w:val="24"/>
        </w:rPr>
        <w:t>is the final report</w:t>
      </w:r>
      <w:r w:rsidR="004A34F2" w:rsidRPr="007438CC">
        <w:rPr>
          <w:szCs w:val="24"/>
        </w:rPr>
        <w:t xml:space="preserve"> from the </w:t>
      </w:r>
      <w:r w:rsidR="00C86C09">
        <w:rPr>
          <w:szCs w:val="24"/>
        </w:rPr>
        <w:t xml:space="preserve">pilot </w:t>
      </w:r>
      <w:r w:rsidR="004A34F2" w:rsidRPr="007438CC">
        <w:rPr>
          <w:szCs w:val="24"/>
        </w:rPr>
        <w:t>Ig Reviews to proceed to ESC.</w:t>
      </w:r>
    </w:p>
    <w:p w14:paraId="43A7D5CD" w14:textId="01110591" w:rsidR="00A95558" w:rsidRDefault="00A95558" w:rsidP="00A95558">
      <w:pPr>
        <w:tabs>
          <w:tab w:val="left" w:pos="720"/>
          <w:tab w:val="left" w:pos="1140"/>
        </w:tabs>
        <w:spacing w:before="120" w:after="120"/>
        <w:rPr>
          <w:szCs w:val="24"/>
        </w:rPr>
      </w:pPr>
      <w:r>
        <w:rPr>
          <w:szCs w:val="24"/>
        </w:rPr>
        <w:t>At its April 2020 meeting MSAC requested that the revised DCAR specifically address the following:</w:t>
      </w:r>
    </w:p>
    <w:p w14:paraId="18C1F0D7" w14:textId="77777777" w:rsidR="00A95558" w:rsidRPr="00C76E02" w:rsidRDefault="00A95558" w:rsidP="00A95558">
      <w:pPr>
        <w:rPr>
          <w:u w:val="single"/>
        </w:rPr>
      </w:pPr>
      <w:r w:rsidRPr="00C76E02">
        <w:rPr>
          <w:u w:val="single"/>
        </w:rPr>
        <w:t xml:space="preserve">Comparator(s) for new economic analysis </w:t>
      </w:r>
    </w:p>
    <w:p w14:paraId="63413A00" w14:textId="3DFCEFFB" w:rsidR="00A95558" w:rsidRPr="006D55BC" w:rsidRDefault="00A95558" w:rsidP="00A95558">
      <w:pPr>
        <w:pStyle w:val="ListParagraph"/>
        <w:numPr>
          <w:ilvl w:val="0"/>
          <w:numId w:val="19"/>
        </w:numPr>
      </w:pPr>
      <w:r w:rsidRPr="006D55BC">
        <w:t>Main comparison - Ig versus</w:t>
      </w:r>
      <w:r w:rsidR="005764BC">
        <w:t xml:space="preserve"> corticosteroids</w:t>
      </w:r>
      <w:r w:rsidRPr="006D55BC">
        <w:t xml:space="preserve">  </w:t>
      </w:r>
    </w:p>
    <w:p w14:paraId="585B004B" w14:textId="6E39041C" w:rsidR="00A95558" w:rsidRPr="006D55BC" w:rsidRDefault="00A95558" w:rsidP="00A95558">
      <w:pPr>
        <w:pStyle w:val="ListParagraph"/>
        <w:numPr>
          <w:ilvl w:val="0"/>
          <w:numId w:val="19"/>
        </w:numPr>
      </w:pPr>
      <w:r w:rsidRPr="006D55BC">
        <w:t xml:space="preserve">Secondary comparison </w:t>
      </w:r>
      <w:r w:rsidR="009A5DF3">
        <w:t>-</w:t>
      </w:r>
      <w:r w:rsidRPr="006D55BC">
        <w:t xml:space="preserve"> Ig versus PE </w:t>
      </w:r>
    </w:p>
    <w:p w14:paraId="36272579" w14:textId="2B8F3724" w:rsidR="00A95558" w:rsidRPr="006D55BC" w:rsidRDefault="00A95558" w:rsidP="00A95558">
      <w:pPr>
        <w:pStyle w:val="ListParagraph"/>
        <w:numPr>
          <w:ilvl w:val="0"/>
          <w:numId w:val="19"/>
        </w:numPr>
      </w:pPr>
      <w:r w:rsidRPr="006D55BC">
        <w:lastRenderedPageBreak/>
        <w:t>Tertiary comparison Ig versus Placebo in</w:t>
      </w:r>
      <w:r w:rsidR="005764BC">
        <w:t xml:space="preserve"> corticosteroid</w:t>
      </w:r>
      <w:r w:rsidRPr="006D55BC">
        <w:t xml:space="preserve"> resistant population (possibly a scenario analysis</w:t>
      </w:r>
      <w:r>
        <w:t xml:space="preserve"> of the main comparison</w:t>
      </w:r>
      <w:r w:rsidRPr="006D55BC">
        <w:t>)</w:t>
      </w:r>
    </w:p>
    <w:p w14:paraId="16D55FD6" w14:textId="77777777" w:rsidR="00A95558" w:rsidRPr="00C76E02" w:rsidRDefault="00A95558" w:rsidP="00A95558">
      <w:pPr>
        <w:rPr>
          <w:u w:val="single"/>
        </w:rPr>
      </w:pPr>
      <w:r w:rsidRPr="00C76E02">
        <w:rPr>
          <w:u w:val="single"/>
        </w:rPr>
        <w:t>Safety</w:t>
      </w:r>
    </w:p>
    <w:p w14:paraId="12CA5628" w14:textId="30433A71" w:rsidR="00A95558" w:rsidRPr="006D55BC" w:rsidRDefault="00A95558" w:rsidP="00A95558">
      <w:pPr>
        <w:pStyle w:val="ListParagraph"/>
        <w:numPr>
          <w:ilvl w:val="0"/>
          <w:numId w:val="22"/>
        </w:numPr>
      </w:pPr>
      <w:r w:rsidRPr="006D55BC">
        <w:t>Review evidence for safety of</w:t>
      </w:r>
      <w:r w:rsidR="005764BC">
        <w:t xml:space="preserve"> corticosteroid</w:t>
      </w:r>
      <w:r w:rsidRPr="006D55BC">
        <w:t xml:space="preserve"> use over the modelled lifetime of the disease and the appropriate utility decrements</w:t>
      </w:r>
      <w:r>
        <w:t>.</w:t>
      </w:r>
    </w:p>
    <w:p w14:paraId="775805F5" w14:textId="77777777" w:rsidR="00A95558" w:rsidRPr="006D55BC" w:rsidRDefault="00A95558" w:rsidP="00A95558">
      <w:pPr>
        <w:pStyle w:val="ListParagraph"/>
        <w:numPr>
          <w:ilvl w:val="0"/>
          <w:numId w:val="22"/>
        </w:numPr>
      </w:pPr>
      <w:r w:rsidRPr="006D55BC">
        <w:t>The DCAR reported insufficient evidence to make an assessment of the comparative safety between Ig and PE and this could be problematic for an economic comparison. Also review safety concerns result</w:t>
      </w:r>
      <w:r>
        <w:t>ing from vascular access for PE.</w:t>
      </w:r>
    </w:p>
    <w:p w14:paraId="06E98882" w14:textId="77777777" w:rsidR="00A95558" w:rsidRPr="00C76E02" w:rsidRDefault="00A95558" w:rsidP="00A95558">
      <w:pPr>
        <w:rPr>
          <w:u w:val="single"/>
        </w:rPr>
      </w:pPr>
      <w:r w:rsidRPr="00C76E02">
        <w:rPr>
          <w:u w:val="single"/>
        </w:rPr>
        <w:t xml:space="preserve">Efficacy </w:t>
      </w:r>
    </w:p>
    <w:p w14:paraId="4826AA7C" w14:textId="1E25DD24" w:rsidR="00A95558" w:rsidRPr="006D55BC" w:rsidRDefault="00A95558" w:rsidP="00A95558">
      <w:pPr>
        <w:pStyle w:val="ListParagraph"/>
        <w:numPr>
          <w:ilvl w:val="0"/>
          <w:numId w:val="23"/>
        </w:numPr>
      </w:pPr>
      <w:r w:rsidRPr="006D55BC">
        <w:t>For Ig versus</w:t>
      </w:r>
      <w:r w:rsidR="005764BC">
        <w:t xml:space="preserve"> corticosteroids</w:t>
      </w:r>
      <w:r w:rsidRPr="006D55BC">
        <w:t>, the claim is non-inferiority based on Nobile-Orazio et al (2012b) and Hughes (2002)</w:t>
      </w:r>
      <w:r>
        <w:t xml:space="preserve"> to be used in the base case</w:t>
      </w:r>
      <w:r w:rsidRPr="006D55BC">
        <w:t xml:space="preserve"> but include a sensitivity analysis to model superior efficacy as per Reference Group clinical opinion.</w:t>
      </w:r>
    </w:p>
    <w:p w14:paraId="0E6726EC" w14:textId="77777777" w:rsidR="00A95558" w:rsidRPr="006D55BC" w:rsidRDefault="00A95558" w:rsidP="00A95558">
      <w:pPr>
        <w:pStyle w:val="ListParagraph"/>
        <w:numPr>
          <w:ilvl w:val="0"/>
          <w:numId w:val="23"/>
        </w:numPr>
      </w:pPr>
      <w:r w:rsidRPr="006D55BC">
        <w:t>For Ig versus PE a claim on non-inferiority based on Dyck (1994)</w:t>
      </w:r>
    </w:p>
    <w:p w14:paraId="264CF757" w14:textId="2484269D" w:rsidR="00A95558" w:rsidRPr="006D55BC" w:rsidRDefault="00A95558" w:rsidP="00A95558">
      <w:pPr>
        <w:pStyle w:val="ListParagraph"/>
        <w:numPr>
          <w:ilvl w:val="0"/>
          <w:numId w:val="23"/>
        </w:numPr>
      </w:pPr>
      <w:r w:rsidRPr="006D55BC">
        <w:t>For Ig versus</w:t>
      </w:r>
      <w:r w:rsidR="005764BC">
        <w:t xml:space="preserve"> corticosteroid</w:t>
      </w:r>
      <w:r w:rsidRPr="006D55BC">
        <w:t xml:space="preserve"> resistant - a claim of superiority over placebo – based on trial evidence in</w:t>
      </w:r>
      <w:r w:rsidR="005764BC">
        <w:t xml:space="preserve"> corticosteroid</w:t>
      </w:r>
      <w:r w:rsidRPr="006D55BC">
        <w:t xml:space="preserve"> resistant trial populations</w:t>
      </w:r>
      <w:r>
        <w:t xml:space="preserve">. </w:t>
      </w:r>
    </w:p>
    <w:p w14:paraId="71B982A5" w14:textId="77777777" w:rsidR="00A95558" w:rsidRPr="00C76E02" w:rsidRDefault="00A95558" w:rsidP="00A95558">
      <w:pPr>
        <w:rPr>
          <w:u w:val="single"/>
        </w:rPr>
      </w:pPr>
      <w:r w:rsidRPr="00C76E02">
        <w:rPr>
          <w:u w:val="single"/>
        </w:rPr>
        <w:t xml:space="preserve">Structure of the economic model </w:t>
      </w:r>
    </w:p>
    <w:p w14:paraId="74D5DD10" w14:textId="77777777" w:rsidR="00A95558" w:rsidRPr="006D55BC" w:rsidRDefault="00A95558" w:rsidP="00A95558">
      <w:pPr>
        <w:pStyle w:val="ListParagraph"/>
        <w:numPr>
          <w:ilvl w:val="0"/>
          <w:numId w:val="24"/>
        </w:numPr>
      </w:pPr>
      <w:r w:rsidRPr="006D55BC">
        <w:t>Consider health states where patients cease/stop Ig or the comparator due to remission in addition to treatment failure.</w:t>
      </w:r>
    </w:p>
    <w:p w14:paraId="4B8EA905" w14:textId="77777777" w:rsidR="00A95558" w:rsidRPr="006D55BC" w:rsidRDefault="00A95558" w:rsidP="00A95558">
      <w:pPr>
        <w:pStyle w:val="ListParagraph"/>
        <w:numPr>
          <w:ilvl w:val="0"/>
          <w:numId w:val="24"/>
        </w:numPr>
      </w:pPr>
      <w:r w:rsidRPr="006D55BC">
        <w:t>Base case should start with trial-based inputs for efficacy</w:t>
      </w:r>
      <w:r>
        <w:t>,</w:t>
      </w:r>
      <w:r w:rsidRPr="006D55BC">
        <w:t xml:space="preserve"> safety, cessation rates and doses over trial time horizon.</w:t>
      </w:r>
    </w:p>
    <w:p w14:paraId="4D800760" w14:textId="063F989D" w:rsidR="00A95558" w:rsidRPr="00B02E35" w:rsidRDefault="00A95558" w:rsidP="00C04A09">
      <w:pPr>
        <w:pStyle w:val="ListParagraph"/>
        <w:numPr>
          <w:ilvl w:val="0"/>
          <w:numId w:val="24"/>
        </w:numPr>
        <w:ind w:left="714" w:hanging="357"/>
      </w:pPr>
      <w:r w:rsidRPr="006D55BC">
        <w:t>Add inputs on dose and time on treatment reflective of clinical practice in Australia. This may come from BloodSTAR data and</w:t>
      </w:r>
      <w:r>
        <w:t>/</w:t>
      </w:r>
      <w:r w:rsidRPr="006D55BC">
        <w:t xml:space="preserve"> or clinician input.</w:t>
      </w:r>
    </w:p>
    <w:p w14:paraId="4CB4FE7F" w14:textId="3DC608D6" w:rsidR="00F7484F" w:rsidRPr="00A36DE2" w:rsidRDefault="00065623" w:rsidP="00A36DE2">
      <w:pPr>
        <w:pStyle w:val="Heading1"/>
        <w:rPr>
          <w:rFonts w:ascii="Arial" w:hAnsi="Arial" w:cs="Arial"/>
        </w:rPr>
      </w:pPr>
      <w:r w:rsidRPr="00A36DE2">
        <w:rPr>
          <w:rFonts w:ascii="Arial" w:hAnsi="Arial" w:cs="Arial"/>
        </w:rPr>
        <w:t>Prerequisites to implementation of any funding advice</w:t>
      </w:r>
    </w:p>
    <w:p w14:paraId="4369EFD2" w14:textId="65118842" w:rsidR="00987D1D" w:rsidRPr="00432D2A" w:rsidRDefault="004A34F2" w:rsidP="000D5C36">
      <w:pPr>
        <w:tabs>
          <w:tab w:val="left" w:pos="720"/>
          <w:tab w:val="left" w:pos="1140"/>
        </w:tabs>
        <w:spacing w:before="120" w:after="120"/>
        <w:rPr>
          <w:szCs w:val="24"/>
        </w:rPr>
      </w:pPr>
      <w:r w:rsidRPr="008610D0">
        <w:rPr>
          <w:szCs w:val="24"/>
        </w:rPr>
        <w:t>All therapeutic products marketed in Australia require listing on the Australian Register of Therapeutic Goods (ARTG).</w:t>
      </w:r>
      <w:r>
        <w:rPr>
          <w:szCs w:val="24"/>
        </w:rPr>
        <w:t xml:space="preserve"> </w:t>
      </w:r>
      <w:r w:rsidRPr="001E1012">
        <w:rPr>
          <w:szCs w:val="24"/>
        </w:rPr>
        <w:t>Ig for this indication is already funded by the NBA. The purpose of this application is to consider the clinical effectiveness and cost-effectiveness of these products as currently funded under the Criteria V3</w:t>
      </w:r>
      <w:r>
        <w:rPr>
          <w:szCs w:val="24"/>
        </w:rPr>
        <w:t>.</w:t>
      </w:r>
    </w:p>
    <w:p w14:paraId="5205AC5D" w14:textId="2C7854D1" w:rsidR="00B411FE" w:rsidRPr="00A36DE2" w:rsidRDefault="00065623" w:rsidP="00A36DE2">
      <w:pPr>
        <w:pStyle w:val="Heading1"/>
        <w:rPr>
          <w:rFonts w:ascii="Arial" w:hAnsi="Arial" w:cs="Arial"/>
        </w:rPr>
      </w:pPr>
      <w:r w:rsidRPr="00A36DE2">
        <w:rPr>
          <w:rFonts w:ascii="Arial" w:hAnsi="Arial" w:cs="Arial"/>
        </w:rPr>
        <w:t>Proposal for public funding</w:t>
      </w:r>
    </w:p>
    <w:p w14:paraId="11B9FBC1" w14:textId="07A90D06" w:rsidR="008A4B44" w:rsidRPr="008A4B44" w:rsidRDefault="008A4B44" w:rsidP="00A36DE2">
      <w:pPr>
        <w:widowControl w:val="0"/>
        <w:rPr>
          <w:szCs w:val="24"/>
        </w:rPr>
      </w:pPr>
      <w:r w:rsidRPr="008A4B44">
        <w:rPr>
          <w:szCs w:val="24"/>
        </w:rPr>
        <w:t xml:space="preserve">Ig therapy for </w:t>
      </w:r>
      <w:r w:rsidR="00702BD7">
        <w:rPr>
          <w:szCs w:val="24"/>
        </w:rPr>
        <w:t>CIDP</w:t>
      </w:r>
      <w:r w:rsidRPr="008A4B44">
        <w:rPr>
          <w:szCs w:val="24"/>
        </w:rPr>
        <w:t xml:space="preserve"> is currently funded by the NBA under the national blood supply arrangements, but the cost-effectiveness of this use has not been evaluated in Australia. </w:t>
      </w:r>
      <w:r w:rsidR="004F45F9" w:rsidRPr="00E3331A">
        <w:t>NBA procurement of Ig is via competitive tendering and negotiation with suppliers.</w:t>
      </w:r>
    </w:p>
    <w:p w14:paraId="280887CF" w14:textId="73231827" w:rsidR="008A4B44" w:rsidRPr="008A4B44" w:rsidRDefault="008A4B44" w:rsidP="00A36DE2">
      <w:pPr>
        <w:widowControl w:val="0"/>
        <w:rPr>
          <w:szCs w:val="24"/>
        </w:rPr>
      </w:pPr>
      <w:r w:rsidRPr="008A4B44">
        <w:rPr>
          <w:szCs w:val="24"/>
        </w:rPr>
        <w:t xml:space="preserve">Version 3 of the Criteria categorises Ig use in this population </w:t>
      </w:r>
      <w:bookmarkStart w:id="3" w:name="_Hlk78542797"/>
      <w:r w:rsidRPr="008A4B44">
        <w:rPr>
          <w:szCs w:val="24"/>
        </w:rPr>
        <w:t>as a “</w:t>
      </w:r>
      <w:r w:rsidRPr="00F00E75">
        <w:rPr>
          <w:szCs w:val="24"/>
        </w:rPr>
        <w:t xml:space="preserve">Condition for which Ig has an established therapeutic role”, with a ‘Level of evidence’ Category </w:t>
      </w:r>
      <w:r w:rsidR="00512E0F" w:rsidRPr="00F00E75">
        <w:rPr>
          <w:szCs w:val="24"/>
        </w:rPr>
        <w:t>1</w:t>
      </w:r>
      <w:r w:rsidRPr="00F00E75">
        <w:rPr>
          <w:szCs w:val="24"/>
        </w:rPr>
        <w:t xml:space="preserve"> (</w:t>
      </w:r>
      <w:r w:rsidR="00512E0F" w:rsidRPr="00F00E75">
        <w:rPr>
          <w:szCs w:val="24"/>
        </w:rPr>
        <w:t xml:space="preserve">clear </w:t>
      </w:r>
      <w:r w:rsidRPr="00F00E75">
        <w:rPr>
          <w:szCs w:val="24"/>
        </w:rPr>
        <w:t xml:space="preserve">evidence of </w:t>
      </w:r>
      <w:r w:rsidR="00512E0F" w:rsidRPr="00F00E75">
        <w:rPr>
          <w:szCs w:val="24"/>
        </w:rPr>
        <w:t>benefit</w:t>
      </w:r>
      <w:r w:rsidRPr="00F00E75">
        <w:rPr>
          <w:szCs w:val="24"/>
        </w:rPr>
        <w:t>).</w:t>
      </w:r>
    </w:p>
    <w:p w14:paraId="2F067839" w14:textId="697800CA" w:rsidR="00987D1D" w:rsidRPr="000F0321" w:rsidRDefault="008A4B44" w:rsidP="00A36DE2">
      <w:pPr>
        <w:widowControl w:val="0"/>
        <w:rPr>
          <w:szCs w:val="24"/>
        </w:rPr>
      </w:pPr>
      <w:bookmarkStart w:id="4" w:name="_Hlk78543150"/>
      <w:bookmarkEnd w:id="3"/>
      <w:r w:rsidRPr="008A4B44">
        <w:rPr>
          <w:szCs w:val="24"/>
        </w:rPr>
        <w:t xml:space="preserve">Clinical criteria for eligible patients to access subsidised Ig are specified in Version 3 of the Criteria. Applications for Ig are made through the BloodSTAR online portal and assessed </w:t>
      </w:r>
      <w:r w:rsidRPr="008A4B44">
        <w:rPr>
          <w:szCs w:val="24"/>
        </w:rPr>
        <w:lastRenderedPageBreak/>
        <w:t>against the Criteria</w:t>
      </w:r>
      <w:r w:rsidR="00DD6E16">
        <w:rPr>
          <w:rStyle w:val="FootnoteReference"/>
          <w:szCs w:val="24"/>
        </w:rPr>
        <w:footnoteReference w:id="5"/>
      </w:r>
      <w:r w:rsidR="00DD6E16">
        <w:rPr>
          <w:szCs w:val="24"/>
        </w:rPr>
        <w:t>.</w:t>
      </w:r>
      <w:r w:rsidR="00B01671" w:rsidRPr="00B01671">
        <w:t xml:space="preserve"> </w:t>
      </w:r>
      <w:r w:rsidR="00B01671">
        <w:rPr>
          <w:szCs w:val="24"/>
        </w:rPr>
        <w:t>The Criteria outlines qualifying criteria for Ig therapy</w:t>
      </w:r>
      <w:r w:rsidR="0070458B">
        <w:rPr>
          <w:szCs w:val="24"/>
        </w:rPr>
        <w:t xml:space="preserve"> for CIDP</w:t>
      </w:r>
      <w:r w:rsidR="00B01671">
        <w:rPr>
          <w:szCs w:val="24"/>
        </w:rPr>
        <w:t xml:space="preserve"> </w:t>
      </w:r>
      <w:r w:rsidR="00B01671" w:rsidRPr="00CD7E7B">
        <w:rPr>
          <w:szCs w:val="24"/>
        </w:rPr>
        <w:t>with the requirement for the</w:t>
      </w:r>
      <w:r w:rsidR="00F00E75" w:rsidRPr="00CD7E7B">
        <w:rPr>
          <w:szCs w:val="24"/>
        </w:rPr>
        <w:t xml:space="preserve"> diagnosis </w:t>
      </w:r>
      <w:r w:rsidR="00CD7E7B" w:rsidRPr="00CD7E7B">
        <w:rPr>
          <w:szCs w:val="24"/>
        </w:rPr>
        <w:t>and the</w:t>
      </w:r>
      <w:r w:rsidR="00F00E75" w:rsidRPr="00CD7E7B">
        <w:rPr>
          <w:szCs w:val="24"/>
        </w:rPr>
        <w:t xml:space="preserve"> </w:t>
      </w:r>
      <w:r w:rsidR="00B01671" w:rsidRPr="00CD7E7B">
        <w:rPr>
          <w:szCs w:val="24"/>
        </w:rPr>
        <w:t xml:space="preserve">initial review </w:t>
      </w:r>
      <w:r w:rsidR="00CD7E7B" w:rsidRPr="00CD7E7B">
        <w:rPr>
          <w:szCs w:val="24"/>
        </w:rPr>
        <w:t xml:space="preserve">at four months </w:t>
      </w:r>
      <w:r w:rsidR="00B01671" w:rsidRPr="00CD7E7B">
        <w:rPr>
          <w:szCs w:val="24"/>
        </w:rPr>
        <w:t xml:space="preserve">by a </w:t>
      </w:r>
      <w:r w:rsidR="00CD7E7B" w:rsidRPr="00CD7E7B">
        <w:rPr>
          <w:szCs w:val="24"/>
        </w:rPr>
        <w:t>neurologist</w:t>
      </w:r>
      <w:r w:rsidR="00612225">
        <w:rPr>
          <w:szCs w:val="24"/>
        </w:rPr>
        <w:t xml:space="preserve"> </w:t>
      </w:r>
      <w:r w:rsidR="00612225" w:rsidRPr="00612225">
        <w:rPr>
          <w:szCs w:val="24"/>
        </w:rPr>
        <w:t>to determine whether the patient has responded</w:t>
      </w:r>
      <w:r w:rsidR="00612225">
        <w:rPr>
          <w:szCs w:val="24"/>
        </w:rPr>
        <w:t>.</w:t>
      </w:r>
      <w:r w:rsidR="00B01671" w:rsidRPr="00CD7E7B">
        <w:rPr>
          <w:szCs w:val="24"/>
        </w:rPr>
        <w:t xml:space="preserve"> </w:t>
      </w:r>
      <w:r w:rsidR="00612225">
        <w:rPr>
          <w:szCs w:val="24"/>
        </w:rPr>
        <w:t>O</w:t>
      </w:r>
      <w:r w:rsidR="00B01671" w:rsidRPr="00CD7E7B">
        <w:rPr>
          <w:szCs w:val="24"/>
        </w:rPr>
        <w:t>ngoing annual review to assess the clinical benefit or effectiveness</w:t>
      </w:r>
      <w:r w:rsidR="00F00E75" w:rsidRPr="00CD7E7B">
        <w:rPr>
          <w:szCs w:val="24"/>
        </w:rPr>
        <w:t xml:space="preserve"> (by a </w:t>
      </w:r>
      <w:r w:rsidR="00CD7E7B" w:rsidRPr="00CD7E7B">
        <w:rPr>
          <w:szCs w:val="24"/>
        </w:rPr>
        <w:t>neurologist or general physician</w:t>
      </w:r>
      <w:r w:rsidR="00F00E75" w:rsidRPr="00CD7E7B">
        <w:rPr>
          <w:szCs w:val="24"/>
        </w:rPr>
        <w:t>)</w:t>
      </w:r>
      <w:r w:rsidR="00B01671" w:rsidRPr="00CD7E7B">
        <w:rPr>
          <w:szCs w:val="24"/>
        </w:rPr>
        <w:t xml:space="preserve">. </w:t>
      </w:r>
      <w:r w:rsidR="0033407E">
        <w:rPr>
          <w:szCs w:val="24"/>
        </w:rPr>
        <w:t xml:space="preserve">A trial of </w:t>
      </w:r>
      <w:r w:rsidR="00866DBE">
        <w:rPr>
          <w:szCs w:val="24"/>
        </w:rPr>
        <w:t xml:space="preserve">weaning towards </w:t>
      </w:r>
      <w:r w:rsidR="0033407E">
        <w:rPr>
          <w:szCs w:val="24"/>
        </w:rPr>
        <w:t>cessation</w:t>
      </w:r>
      <w:r w:rsidR="00866DBE">
        <w:rPr>
          <w:szCs w:val="24"/>
        </w:rPr>
        <w:t xml:space="preserve"> of Ig therapy</w:t>
      </w:r>
      <w:r w:rsidR="0033407E">
        <w:rPr>
          <w:szCs w:val="24"/>
        </w:rPr>
        <w:t xml:space="preserve"> should be considered each 12 months in patients in remission or on maintenance therapy. </w:t>
      </w:r>
      <w:r w:rsidR="00B01671" w:rsidRPr="00CD7E7B">
        <w:rPr>
          <w:szCs w:val="24"/>
        </w:rPr>
        <w:t>The Criteria, including eligibility criteria are periodically</w:t>
      </w:r>
      <w:r w:rsidR="00B01671" w:rsidRPr="00B01671">
        <w:rPr>
          <w:szCs w:val="24"/>
        </w:rPr>
        <w:t xml:space="preserve"> updated and may be refined according to recommendations of the relevant NBA working group and subsequent approval by the JBC</w:t>
      </w:r>
      <w:bookmarkEnd w:id="4"/>
      <w:r w:rsidR="00B01671" w:rsidRPr="00B01671">
        <w:rPr>
          <w:szCs w:val="24"/>
        </w:rPr>
        <w:t>.</w:t>
      </w:r>
    </w:p>
    <w:p w14:paraId="62413E2B" w14:textId="29CAB905" w:rsidR="001538CF" w:rsidRPr="00A36DE2" w:rsidRDefault="00775963" w:rsidP="00A36DE2">
      <w:pPr>
        <w:pStyle w:val="Heading1"/>
        <w:rPr>
          <w:rFonts w:ascii="Arial" w:hAnsi="Arial" w:cs="Arial"/>
        </w:rPr>
      </w:pPr>
      <w:r w:rsidRPr="00A36DE2">
        <w:rPr>
          <w:rFonts w:ascii="Arial" w:hAnsi="Arial" w:cs="Arial"/>
        </w:rPr>
        <w:t xml:space="preserve">Summary of </w:t>
      </w:r>
      <w:r w:rsidR="00A36DE2">
        <w:rPr>
          <w:rFonts w:ascii="Arial" w:hAnsi="Arial" w:cs="Arial"/>
        </w:rPr>
        <w:t>p</w:t>
      </w:r>
      <w:r w:rsidRPr="00A36DE2">
        <w:rPr>
          <w:rFonts w:ascii="Arial" w:hAnsi="Arial" w:cs="Arial"/>
        </w:rPr>
        <w:t xml:space="preserve">ublic </w:t>
      </w:r>
      <w:r w:rsidR="00A36DE2">
        <w:rPr>
          <w:rFonts w:ascii="Arial" w:hAnsi="Arial" w:cs="Arial"/>
        </w:rPr>
        <w:t>c</w:t>
      </w:r>
      <w:r w:rsidRPr="00A36DE2">
        <w:rPr>
          <w:rFonts w:ascii="Arial" w:hAnsi="Arial" w:cs="Arial"/>
        </w:rPr>
        <w:t xml:space="preserve">onsultation </w:t>
      </w:r>
      <w:r w:rsidR="00A36DE2">
        <w:rPr>
          <w:rFonts w:ascii="Arial" w:hAnsi="Arial" w:cs="Arial"/>
        </w:rPr>
        <w:t>f</w:t>
      </w:r>
      <w:r w:rsidRPr="00A36DE2">
        <w:rPr>
          <w:rFonts w:ascii="Arial" w:hAnsi="Arial" w:cs="Arial"/>
        </w:rPr>
        <w:t>eedback/</w:t>
      </w:r>
      <w:r w:rsidR="00A36DE2">
        <w:rPr>
          <w:rFonts w:ascii="Arial" w:hAnsi="Arial" w:cs="Arial"/>
        </w:rPr>
        <w:t>c</w:t>
      </w:r>
      <w:r w:rsidRPr="00A36DE2">
        <w:rPr>
          <w:rFonts w:ascii="Arial" w:hAnsi="Arial" w:cs="Arial"/>
        </w:rPr>
        <w:t>onsumer Issues</w:t>
      </w:r>
    </w:p>
    <w:p w14:paraId="30D70DA0" w14:textId="25642A6F" w:rsidR="002D61C6" w:rsidRDefault="00036707" w:rsidP="00A36DE2">
      <w:pPr>
        <w:tabs>
          <w:tab w:val="left" w:pos="720"/>
          <w:tab w:val="left" w:pos="1140"/>
        </w:tabs>
        <w:rPr>
          <w:szCs w:val="24"/>
        </w:rPr>
      </w:pPr>
      <w:r>
        <w:rPr>
          <w:szCs w:val="24"/>
        </w:rPr>
        <w:t>A</w:t>
      </w:r>
      <w:r w:rsidR="0081182E">
        <w:rPr>
          <w:szCs w:val="24"/>
        </w:rPr>
        <w:t>t its first consideration of Application 1564</w:t>
      </w:r>
      <w:r>
        <w:rPr>
          <w:szCs w:val="24"/>
        </w:rPr>
        <w:t xml:space="preserve"> in February 2020</w:t>
      </w:r>
      <w:r w:rsidR="0081182E">
        <w:rPr>
          <w:szCs w:val="24"/>
        </w:rPr>
        <w:t xml:space="preserve">, ESC considered all the consultation </w:t>
      </w:r>
      <w:r w:rsidR="0081182E" w:rsidRPr="002D61C6">
        <w:rPr>
          <w:szCs w:val="24"/>
        </w:rPr>
        <w:t>feedback received relating to the</w:t>
      </w:r>
      <w:r w:rsidR="00260445" w:rsidRPr="002D61C6">
        <w:rPr>
          <w:szCs w:val="24"/>
        </w:rPr>
        <w:t xml:space="preserve"> Referral</w:t>
      </w:r>
      <w:r w:rsidR="0081182E" w:rsidRPr="002D61C6">
        <w:rPr>
          <w:szCs w:val="24"/>
        </w:rPr>
        <w:t>, PICO</w:t>
      </w:r>
      <w:r w:rsidR="00260445" w:rsidRPr="002D61C6">
        <w:rPr>
          <w:szCs w:val="24"/>
        </w:rPr>
        <w:t xml:space="preserve"> and </w:t>
      </w:r>
      <w:r w:rsidR="0081182E" w:rsidRPr="002D61C6">
        <w:rPr>
          <w:szCs w:val="24"/>
        </w:rPr>
        <w:t xml:space="preserve">original </w:t>
      </w:r>
      <w:r w:rsidR="00260445" w:rsidRPr="002D61C6">
        <w:rPr>
          <w:szCs w:val="24"/>
        </w:rPr>
        <w:t>Contracted Assessment</w:t>
      </w:r>
      <w:r w:rsidR="0081182E" w:rsidRPr="002D61C6">
        <w:rPr>
          <w:szCs w:val="24"/>
        </w:rPr>
        <w:t>.</w:t>
      </w:r>
      <w:r w:rsidR="00260445" w:rsidRPr="002D61C6">
        <w:rPr>
          <w:szCs w:val="24"/>
        </w:rPr>
        <w:t xml:space="preserve"> </w:t>
      </w:r>
      <w:r w:rsidR="002D61C6" w:rsidRPr="002D61C6">
        <w:rPr>
          <w:szCs w:val="24"/>
        </w:rPr>
        <w:t xml:space="preserve">In April-May 2021, public consultation was also undertaken on the updated Contracted Assessment. </w:t>
      </w:r>
    </w:p>
    <w:p w14:paraId="47FA5ABB" w14:textId="5612F893" w:rsidR="00260445" w:rsidRPr="00260445" w:rsidRDefault="0081182E" w:rsidP="00A36DE2">
      <w:pPr>
        <w:tabs>
          <w:tab w:val="left" w:pos="720"/>
          <w:tab w:val="left" w:pos="1140"/>
        </w:tabs>
        <w:rPr>
          <w:szCs w:val="24"/>
        </w:rPr>
      </w:pPr>
      <w:r w:rsidRPr="0081182E">
        <w:rPr>
          <w:szCs w:val="24"/>
        </w:rPr>
        <w:t>All consumer feedback was broadly supportive of Ig use for CIDP. Noted advantages associated with Ig use were high response rates to treatment and generally high tolerability to treatment. Noted disadvantages of Ig use included adverse events associated with treatment, requirement for in-hospital treatment, and access-to-treatment issues arising from increasing demand for Ig. It was noted that access to SCIg may negate the disadvantage of hospital attendance.</w:t>
      </w:r>
    </w:p>
    <w:p w14:paraId="647036DB" w14:textId="416E25AC" w:rsidR="00BF0DFE" w:rsidRPr="00A36DE2" w:rsidRDefault="00065623" w:rsidP="00A36DE2">
      <w:pPr>
        <w:pStyle w:val="Heading1"/>
        <w:rPr>
          <w:rFonts w:ascii="Arial" w:hAnsi="Arial" w:cs="Arial"/>
          <w:szCs w:val="24"/>
        </w:rPr>
      </w:pPr>
      <w:r w:rsidRPr="00A36DE2">
        <w:rPr>
          <w:rFonts w:ascii="Arial" w:hAnsi="Arial" w:cs="Arial"/>
        </w:rPr>
        <w:t>Proposed intervention’s place in clinical management</w:t>
      </w:r>
    </w:p>
    <w:p w14:paraId="05A1C2E6" w14:textId="77777777" w:rsidR="00A36DE2" w:rsidRPr="00660125" w:rsidRDefault="00A36DE2" w:rsidP="00A36DE2">
      <w:pPr>
        <w:tabs>
          <w:tab w:val="left" w:pos="720"/>
          <w:tab w:val="left" w:pos="1140"/>
        </w:tabs>
        <w:spacing w:before="120"/>
        <w:rPr>
          <w:i/>
          <w:szCs w:val="24"/>
        </w:rPr>
      </w:pPr>
      <w:r w:rsidRPr="001B21CB">
        <w:rPr>
          <w:i/>
          <w:szCs w:val="24"/>
        </w:rPr>
        <w:t>Description of proposed intervention</w:t>
      </w:r>
    </w:p>
    <w:p w14:paraId="29BE9A64" w14:textId="6DA6FBE8" w:rsidR="00A36DE2" w:rsidRPr="00660125" w:rsidRDefault="00A36DE2" w:rsidP="00A36DE2">
      <w:pPr>
        <w:tabs>
          <w:tab w:val="left" w:pos="720"/>
          <w:tab w:val="left" w:pos="1140"/>
        </w:tabs>
        <w:spacing w:after="120"/>
        <w:rPr>
          <w:szCs w:val="24"/>
        </w:rPr>
      </w:pPr>
      <w:r w:rsidRPr="00660125">
        <w:rPr>
          <w:szCs w:val="24"/>
        </w:rPr>
        <w:t>This application is for Ig therapy versus the comparators of:</w:t>
      </w:r>
      <w:r w:rsidR="005764BC">
        <w:rPr>
          <w:szCs w:val="24"/>
        </w:rPr>
        <w:t xml:space="preserve"> corticosteroids</w:t>
      </w:r>
      <w:r w:rsidRPr="00660125">
        <w:rPr>
          <w:szCs w:val="24"/>
        </w:rPr>
        <w:t xml:space="preserve"> (oral or intravenous); plasma exchange; immunosuppressant and/or immunomodulatory drugs and therapies not including Ig or</w:t>
      </w:r>
      <w:r w:rsidR="005764BC">
        <w:rPr>
          <w:szCs w:val="24"/>
        </w:rPr>
        <w:t xml:space="preserve"> corticosteroids</w:t>
      </w:r>
      <w:r w:rsidRPr="00660125">
        <w:rPr>
          <w:szCs w:val="24"/>
        </w:rPr>
        <w:t>; combination therapy; a</w:t>
      </w:r>
      <w:r>
        <w:rPr>
          <w:szCs w:val="24"/>
        </w:rPr>
        <w:t>nd no active treatment (no Ig).</w:t>
      </w:r>
    </w:p>
    <w:p w14:paraId="1035C7F2" w14:textId="77777777" w:rsidR="00A36DE2" w:rsidRPr="00885601" w:rsidRDefault="00A36DE2" w:rsidP="00A36DE2">
      <w:pPr>
        <w:rPr>
          <w:szCs w:val="24"/>
        </w:rPr>
      </w:pPr>
      <w:r w:rsidRPr="00660125">
        <w:rPr>
          <w:szCs w:val="24"/>
        </w:rPr>
        <w:t>Immunoglobulin is a plasma-derived product manufactured to treat a range of medical conditions. Access to government-funded Ig is through the national blood arrangements and is determined by the NBA’s</w:t>
      </w:r>
      <w:r>
        <w:rPr>
          <w:szCs w:val="24"/>
        </w:rPr>
        <w:t xml:space="preserve"> </w:t>
      </w:r>
      <w:hyperlink r:id="rId18" w:history="1">
        <w:r w:rsidRPr="00115C51">
          <w:rPr>
            <w:rStyle w:val="Hyperlink"/>
            <w:i/>
            <w:szCs w:val="24"/>
          </w:rPr>
          <w:t>Criteria for Clinical Use of Immunoglobulin in Australia</w:t>
        </w:r>
        <w:r w:rsidRPr="00115C51">
          <w:rPr>
            <w:rStyle w:val="Hyperlink"/>
            <w:szCs w:val="24"/>
          </w:rPr>
          <w:t xml:space="preserve"> (the Criteria)</w:t>
        </w:r>
      </w:hyperlink>
      <w:r w:rsidRPr="00885601">
        <w:rPr>
          <w:szCs w:val="24"/>
        </w:rPr>
        <w:t>.</w:t>
      </w:r>
      <w:r>
        <w:rPr>
          <w:szCs w:val="24"/>
        </w:rPr>
        <w:t xml:space="preserve"> </w:t>
      </w:r>
      <w:r w:rsidRPr="00660125">
        <w:rPr>
          <w:szCs w:val="24"/>
        </w:rPr>
        <w:t>Immunoglobulin is used as immunomodulation therapy in CIDP. Ig can be administered intravenously (IVIg) or injected subcutaneously into the tissue under the skin (SCIg).</w:t>
      </w:r>
    </w:p>
    <w:p w14:paraId="7A444BAD" w14:textId="77777777" w:rsidR="00A36DE2" w:rsidRPr="007553A0" w:rsidRDefault="00A36DE2" w:rsidP="00A36DE2">
      <w:pPr>
        <w:tabs>
          <w:tab w:val="left" w:pos="720"/>
          <w:tab w:val="left" w:pos="1140"/>
        </w:tabs>
        <w:spacing w:before="120"/>
        <w:rPr>
          <w:i/>
          <w:color w:val="222222"/>
          <w:szCs w:val="24"/>
        </w:rPr>
      </w:pPr>
      <w:r w:rsidRPr="001B21CB">
        <w:rPr>
          <w:i/>
          <w:color w:val="222222"/>
          <w:szCs w:val="24"/>
        </w:rPr>
        <w:t>Description of medical conditions(s)</w:t>
      </w:r>
    </w:p>
    <w:p w14:paraId="291837F7" w14:textId="77777777" w:rsidR="00A36DE2" w:rsidRPr="00D635CB" w:rsidRDefault="00A36DE2" w:rsidP="00A36DE2">
      <w:pPr>
        <w:tabs>
          <w:tab w:val="left" w:pos="720"/>
          <w:tab w:val="left" w:pos="1140"/>
        </w:tabs>
        <w:spacing w:before="120" w:after="120"/>
        <w:rPr>
          <w:szCs w:val="24"/>
        </w:rPr>
      </w:pPr>
      <w:r w:rsidRPr="00D635CB">
        <w:rPr>
          <w:szCs w:val="24"/>
        </w:rPr>
        <w:t>The application includes patients with CIDP who are eligible for Ig treatment in Australia according to the Version 3 Criteria. This includes patients with an established diagnosis of CIDP with significant disability and</w:t>
      </w:r>
      <w:r>
        <w:rPr>
          <w:szCs w:val="24"/>
        </w:rPr>
        <w:t>/or compromised walking.</w:t>
      </w:r>
    </w:p>
    <w:p w14:paraId="2127CBFC" w14:textId="77777777" w:rsidR="00A36DE2" w:rsidRDefault="00A36DE2" w:rsidP="00A36DE2">
      <w:pPr>
        <w:tabs>
          <w:tab w:val="left" w:pos="720"/>
          <w:tab w:val="left" w:pos="1140"/>
        </w:tabs>
        <w:spacing w:after="120"/>
        <w:rPr>
          <w:szCs w:val="24"/>
        </w:rPr>
      </w:pPr>
      <w:r w:rsidRPr="00D635CB">
        <w:rPr>
          <w:szCs w:val="24"/>
        </w:rPr>
        <w:t xml:space="preserve">CIDP is an acquired sensorimotor polyneuropathy characterised by a progressive or relapsing/remitting course developing over at least two months with evidence of demyelination </w:t>
      </w:r>
      <w:r w:rsidRPr="00D635CB">
        <w:rPr>
          <w:szCs w:val="24"/>
        </w:rPr>
        <w:lastRenderedPageBreak/>
        <w:t>on electrophysiological or pathological studies and response to immunomodulating therapies. CIDP is caused by the body’s immune system inappropriately reacting against and damaging myelin. Symptoms include tingling, numbness or altered feeling which often begins in the feet and hands; weakness of the arms and legs; fatigue; and aching pain in the muscles.</w:t>
      </w:r>
    </w:p>
    <w:p w14:paraId="5BC21BB2" w14:textId="34440D17" w:rsidR="00540996" w:rsidRDefault="00540996" w:rsidP="00A36DE2">
      <w:r w:rsidRPr="00540996">
        <w:t>The use of Ig for the management of CIDP is currently funded in Australia by the NBA and it is available as a first-line treatment for patients in whom walking is compromised or there is significant disability. Other current active interventions that are available as first-line treatments include</w:t>
      </w:r>
      <w:r w:rsidR="005764BC">
        <w:t xml:space="preserve"> corticosteroids</w:t>
      </w:r>
      <w:r w:rsidRPr="00540996">
        <w:t xml:space="preserve"> (oral and intravenous), plasma exchange, and immunomodulatory or immunosuppressant drugs (other than</w:t>
      </w:r>
      <w:r w:rsidR="005764BC">
        <w:t xml:space="preserve"> corticosteroids</w:t>
      </w:r>
      <w:r w:rsidRPr="00540996">
        <w:t xml:space="preserve">). </w:t>
      </w:r>
    </w:p>
    <w:p w14:paraId="67729AB1" w14:textId="77777777" w:rsidR="00CB1BAB" w:rsidRDefault="00592E9D" w:rsidP="00A36DE2">
      <w:r>
        <w:t>Figure 1 describe</w:t>
      </w:r>
      <w:r w:rsidR="00B57FBC">
        <w:t>s</w:t>
      </w:r>
      <w:r>
        <w:t xml:space="preserve"> the current management of patients with </w:t>
      </w:r>
      <w:r w:rsidR="0070458B">
        <w:t>CIDP</w:t>
      </w:r>
      <w:r>
        <w:t>, funded by the NBA (for initial access to Ig and continued access to Ig, respectively)</w:t>
      </w:r>
      <w:r w:rsidR="00B57FBC">
        <w:rPr>
          <w:rStyle w:val="FootnoteReference"/>
        </w:rPr>
        <w:footnoteReference w:id="6"/>
      </w:r>
      <w:r>
        <w:t xml:space="preserve">. </w:t>
      </w:r>
    </w:p>
    <w:p w14:paraId="01155548" w14:textId="787A3509" w:rsidR="00737335" w:rsidRPr="00C55C32" w:rsidRDefault="00CB1BAB" w:rsidP="00C55C32">
      <w:pPr>
        <w:rPr>
          <w:b/>
          <w:noProof/>
          <w:lang w:val="en-US" w:eastAsia="en-US"/>
        </w:rPr>
      </w:pPr>
      <w:r w:rsidRPr="00001F1E">
        <w:t>Figure 2 describes the current m</w:t>
      </w:r>
      <w:r>
        <w:t>anagement of patients with CIDP</w:t>
      </w:r>
      <w:r w:rsidRPr="00001F1E">
        <w:t xml:space="preserve"> where IVIg is not a treatment option</w:t>
      </w:r>
      <w:r>
        <w:rPr>
          <w:rStyle w:val="FootnoteReference"/>
        </w:rPr>
        <w:footnoteReference w:id="7"/>
      </w:r>
      <w:r>
        <w:t xml:space="preserve"> (e.g. </w:t>
      </w:r>
      <w:r w:rsidRPr="00001F1E">
        <w:t>due to contraindications or ineligibility according to the Criteria Version 3</w:t>
      </w:r>
      <w:r>
        <w:t>).</w:t>
      </w:r>
    </w:p>
    <w:p w14:paraId="619F1F3E" w14:textId="71BA423A" w:rsidR="00737335" w:rsidRDefault="00B57FBC" w:rsidP="000D5C36">
      <w:pPr>
        <w:spacing w:before="120" w:after="120"/>
        <w:rPr>
          <w:b/>
          <w:noProof/>
          <w:sz w:val="22"/>
          <w:szCs w:val="22"/>
          <w:lang w:val="en-US" w:eastAsia="en-US"/>
        </w:rPr>
      </w:pPr>
      <w:r w:rsidRPr="00B57FBC">
        <w:rPr>
          <w:rFonts w:ascii="Calibri" w:hAnsi="Calibri" w:cs="Tahoma"/>
          <w:sz w:val="22"/>
          <w:szCs w:val="22"/>
        </w:rPr>
        <w:object w:dxaOrig="9465" w:dyaOrig="13111" w14:anchorId="50128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nical pathway describing Criteria for Ig use and when to trial weaning." style="width:411.75pt;height:524.25pt" o:ole="">
            <v:imagedata r:id="rId19" o:title=""/>
          </v:shape>
          <o:OLEObject Type="Embed" ProgID="Visio.Drawing.15" ShapeID="_x0000_i1025" DrawAspect="Content" ObjectID="_1696754136" r:id="rId20"/>
        </w:object>
      </w:r>
    </w:p>
    <w:p w14:paraId="53DFC60E" w14:textId="13CDEF54" w:rsidR="00B57FBC" w:rsidRPr="0091316D" w:rsidRDefault="0091316D" w:rsidP="0091316D">
      <w:pPr>
        <w:pStyle w:val="Caption"/>
      </w:pPr>
      <w:bookmarkStart w:id="5" w:name="_Ref10019510"/>
      <w:bookmarkStart w:id="6" w:name="_Toc68192286"/>
      <w:r w:rsidRPr="0091316D">
        <w:rPr>
          <w:bCs w:val="0"/>
          <w:szCs w:val="22"/>
        </w:rPr>
        <w:t xml:space="preserve">Figure </w:t>
      </w:r>
      <w:r w:rsidRPr="0091316D">
        <w:rPr>
          <w:bCs w:val="0"/>
          <w:noProof/>
          <w:szCs w:val="22"/>
        </w:rPr>
        <w:t>1</w:t>
      </w:r>
      <w:r w:rsidRPr="0091316D">
        <w:rPr>
          <w:bCs w:val="0"/>
          <w:szCs w:val="22"/>
        </w:rPr>
        <w:tab/>
        <w:t>Current management algorithm for CIDP patients eligible for Ig therapy</w:t>
      </w:r>
      <w:bookmarkEnd w:id="5"/>
      <w:bookmarkEnd w:id="6"/>
    </w:p>
    <w:p w14:paraId="4ABDF3CE" w14:textId="15BEB920" w:rsidR="00B57FBC" w:rsidRPr="00B57FBC" w:rsidRDefault="00B57FBC" w:rsidP="000D5C36">
      <w:pPr>
        <w:spacing w:before="120" w:after="120"/>
        <w:ind w:left="57" w:right="57"/>
        <w:contextualSpacing/>
        <w:rPr>
          <w:rFonts w:ascii="Arial Narrow" w:eastAsia="Calibri" w:hAnsi="Arial Narrow"/>
          <w:sz w:val="18"/>
          <w:szCs w:val="18"/>
          <w:lang w:eastAsia="en-US"/>
        </w:rPr>
      </w:pPr>
      <w:r w:rsidRPr="00816297">
        <w:rPr>
          <w:rFonts w:ascii="Arial Narrow" w:eastAsia="Calibri" w:hAnsi="Arial Narrow"/>
          <w:sz w:val="18"/>
          <w:szCs w:val="18"/>
          <w:lang w:eastAsia="en-US"/>
        </w:rPr>
        <w:t xml:space="preserve">Source: </w:t>
      </w:r>
      <w:r w:rsidR="00816297" w:rsidRPr="00816297">
        <w:rPr>
          <w:rFonts w:ascii="Arial Narrow" w:eastAsia="Calibri" w:hAnsi="Arial Narrow"/>
          <w:sz w:val="18"/>
          <w:szCs w:val="18"/>
          <w:lang w:eastAsia="en-US"/>
        </w:rPr>
        <w:t>Contracted</w:t>
      </w:r>
      <w:r w:rsidR="00816297">
        <w:rPr>
          <w:rFonts w:ascii="Arial Narrow" w:eastAsia="Calibri" w:hAnsi="Arial Narrow"/>
          <w:sz w:val="18"/>
          <w:szCs w:val="18"/>
          <w:lang w:eastAsia="en-US"/>
        </w:rPr>
        <w:t xml:space="preserve"> Assessment Figure 16 and Ratified PICO.</w:t>
      </w:r>
      <w:r w:rsidRPr="00B57FBC">
        <w:rPr>
          <w:rFonts w:ascii="Arial Narrow" w:eastAsia="Calibri" w:hAnsi="Arial Narrow"/>
          <w:sz w:val="18"/>
          <w:szCs w:val="18"/>
          <w:lang w:eastAsia="en-US"/>
        </w:rPr>
        <w:t xml:space="preserve"> </w:t>
      </w:r>
    </w:p>
    <w:p w14:paraId="4A670F3E" w14:textId="77777777" w:rsidR="00264F80" w:rsidRDefault="00B57FBC" w:rsidP="00264F80">
      <w:pPr>
        <w:spacing w:after="200" w:line="276" w:lineRule="auto"/>
        <w:rPr>
          <w:rFonts w:ascii="Arial Narrow" w:eastAsia="Calibri" w:hAnsi="Arial Narrow"/>
          <w:sz w:val="18"/>
          <w:szCs w:val="18"/>
          <w:lang w:eastAsia="en-US"/>
        </w:rPr>
      </w:pPr>
      <w:r w:rsidRPr="00B57FBC">
        <w:rPr>
          <w:rFonts w:ascii="Arial Narrow" w:eastAsia="Calibri" w:hAnsi="Arial Narrow"/>
          <w:sz w:val="18"/>
          <w:szCs w:val="18"/>
          <w:lang w:eastAsia="en-US"/>
        </w:rPr>
        <w:t>Abbreviations: ONLS = Overall Neuropathy Limitations Scale, MRC = Medical Research Council, SMWT = Six-minute walking test, MRS = Modified Rankin Scale, Ig = Immunoglobulin, CIDP = Chronic inflammatory demyelinating polyneuropathy, SCIg = subcutaneous immunoglobulin.</w:t>
      </w:r>
      <w:r w:rsidR="00162DFD" w:rsidRPr="00162DFD">
        <w:t xml:space="preserve"> </w:t>
      </w:r>
      <w:r w:rsidR="00162DFD" w:rsidRPr="00162DFD">
        <w:rPr>
          <w:rFonts w:ascii="Arial Narrow" w:eastAsia="Calibri" w:hAnsi="Arial Narrow"/>
          <w:sz w:val="18"/>
          <w:szCs w:val="18"/>
          <w:lang w:eastAsia="en-US"/>
        </w:rPr>
        <w:t xml:space="preserve">(12) </w:t>
      </w:r>
      <w:r w:rsidR="00264F80" w:rsidRPr="00264F80">
        <w:rPr>
          <w:rFonts w:ascii="Arial Narrow" w:eastAsia="Calibri" w:hAnsi="Arial Narrow"/>
          <w:sz w:val="18"/>
          <w:szCs w:val="18"/>
          <w:lang w:eastAsia="en-US"/>
        </w:rPr>
        <w:t>Hughes, R. A., Bouche, P. et al (2006). 'European Federation of Neurological Societies/Peripheral Nerve Society guideline on management of chronic inflammatory demyelinating polyradiculoneuropathy: report of a joint task force of the European Federation of Neurological Societies and the Peripheral Nerve Society'. Eur J Neurol, 13 (4), 326-32.</w:t>
      </w:r>
    </w:p>
    <w:p w14:paraId="7BFC1E51" w14:textId="03518E6A" w:rsidR="00737335" w:rsidRDefault="00B57FBC" w:rsidP="00C55C32">
      <w:pPr>
        <w:spacing w:after="200" w:line="276" w:lineRule="auto"/>
        <w:rPr>
          <w:b/>
          <w:noProof/>
          <w:sz w:val="22"/>
          <w:szCs w:val="22"/>
          <w:lang w:val="en-US" w:eastAsia="en-US"/>
        </w:rPr>
      </w:pPr>
      <w:r w:rsidRPr="00B57FBC">
        <w:rPr>
          <w:rFonts w:ascii="Calibri" w:hAnsi="Calibri" w:cs="Tahoma"/>
          <w:sz w:val="22"/>
          <w:szCs w:val="22"/>
        </w:rPr>
        <w:object w:dxaOrig="8850" w:dyaOrig="9240" w14:anchorId="13337A54">
          <v:shape id="_x0000_i1026" type="#_x0000_t75" alt="CLinical pathway describing treatment for patients when Ig is not an option" style="width:437.25pt;height:462.75pt" o:ole="">
            <v:imagedata r:id="rId21" o:title=""/>
          </v:shape>
          <o:OLEObject Type="Embed" ProgID="Visio.Drawing.15" ShapeID="_x0000_i1026" DrawAspect="Content" ObjectID="_1696754137" r:id="rId22"/>
        </w:object>
      </w:r>
    </w:p>
    <w:p w14:paraId="0AA96574" w14:textId="26958D42" w:rsidR="0091316D" w:rsidRPr="0091316D" w:rsidRDefault="0091316D" w:rsidP="0091316D">
      <w:pPr>
        <w:pStyle w:val="Caption"/>
      </w:pPr>
      <w:bookmarkStart w:id="7" w:name="_Toc68192287"/>
      <w:r w:rsidRPr="0091316D">
        <w:rPr>
          <w:bCs w:val="0"/>
          <w:szCs w:val="22"/>
        </w:rPr>
        <w:t>Figure 2</w:t>
      </w:r>
      <w:r w:rsidRPr="0091316D">
        <w:rPr>
          <w:bCs w:val="0"/>
          <w:szCs w:val="22"/>
        </w:rPr>
        <w:tab/>
        <w:t xml:space="preserve"> Proposed algorithm for treatment of patients in the absence (or failure) of Ig.</w:t>
      </w:r>
    </w:p>
    <w:bookmarkEnd w:id="7"/>
    <w:p w14:paraId="451685C5" w14:textId="4D0D0A3B" w:rsidR="00B57FBC" w:rsidRPr="00B57FBC" w:rsidRDefault="00B57FBC" w:rsidP="000D5C36">
      <w:pPr>
        <w:spacing w:before="120" w:after="120"/>
        <w:ind w:left="57" w:right="57"/>
        <w:contextualSpacing/>
        <w:rPr>
          <w:rFonts w:ascii="Arial Narrow" w:eastAsia="Calibri" w:hAnsi="Arial Narrow"/>
          <w:sz w:val="18"/>
          <w:szCs w:val="18"/>
          <w:lang w:eastAsia="en-US"/>
        </w:rPr>
      </w:pPr>
      <w:r w:rsidRPr="00816297">
        <w:rPr>
          <w:rFonts w:ascii="Arial Narrow" w:eastAsia="Calibri" w:hAnsi="Arial Narrow"/>
          <w:sz w:val="18"/>
          <w:szCs w:val="18"/>
          <w:lang w:eastAsia="en-US"/>
        </w:rPr>
        <w:t>Source:</w:t>
      </w:r>
      <w:r w:rsidRPr="00816297">
        <w:rPr>
          <w:rFonts w:ascii="Arial Narrow" w:eastAsia="Calibri" w:hAnsi="Arial Narrow"/>
          <w:b/>
          <w:sz w:val="18"/>
          <w:szCs w:val="18"/>
          <w:lang w:eastAsia="en-US"/>
        </w:rPr>
        <w:t xml:space="preserve"> </w:t>
      </w:r>
      <w:r w:rsidR="00816297" w:rsidRPr="00816297">
        <w:rPr>
          <w:rFonts w:ascii="Arial Narrow" w:eastAsia="Calibri" w:hAnsi="Arial Narrow"/>
          <w:sz w:val="18"/>
          <w:szCs w:val="18"/>
          <w:lang w:eastAsia="en-US"/>
        </w:rPr>
        <w:t>Contracted</w:t>
      </w:r>
      <w:r w:rsidR="00816297">
        <w:rPr>
          <w:rFonts w:ascii="Arial Narrow" w:eastAsia="Calibri" w:hAnsi="Arial Narrow"/>
          <w:sz w:val="18"/>
          <w:szCs w:val="18"/>
          <w:lang w:eastAsia="en-US"/>
        </w:rPr>
        <w:t xml:space="preserve"> Assessment Figure 17</w:t>
      </w:r>
      <w:r w:rsidR="00816297" w:rsidRPr="00816297">
        <w:rPr>
          <w:rFonts w:ascii="Arial Narrow" w:eastAsia="Calibri" w:hAnsi="Arial Narrow"/>
          <w:sz w:val="18"/>
          <w:szCs w:val="18"/>
          <w:lang w:eastAsia="en-US"/>
        </w:rPr>
        <w:t xml:space="preserve"> and Ratified PICO</w:t>
      </w:r>
      <w:r w:rsidRPr="00B57FBC">
        <w:rPr>
          <w:rFonts w:ascii="Arial Narrow" w:eastAsia="Calibri" w:hAnsi="Arial Narrow"/>
          <w:sz w:val="18"/>
          <w:szCs w:val="18"/>
          <w:lang w:eastAsia="en-US"/>
        </w:rPr>
        <w:t xml:space="preserve">. </w:t>
      </w:r>
    </w:p>
    <w:p w14:paraId="0C16B641" w14:textId="77777777" w:rsidR="00B57FBC" w:rsidRPr="00B57FBC" w:rsidRDefault="00B57FBC" w:rsidP="000D5C36">
      <w:pPr>
        <w:spacing w:before="120" w:after="120"/>
        <w:ind w:left="57" w:right="57"/>
        <w:contextualSpacing/>
        <w:rPr>
          <w:rFonts w:ascii="Arial Narrow" w:eastAsia="Calibri" w:hAnsi="Arial Narrow"/>
          <w:sz w:val="18"/>
          <w:szCs w:val="18"/>
          <w:lang w:eastAsia="en-US"/>
        </w:rPr>
      </w:pPr>
      <w:r w:rsidRPr="00B57FBC">
        <w:rPr>
          <w:rFonts w:ascii="Arial Narrow" w:eastAsia="Calibri" w:hAnsi="Arial Narrow"/>
          <w:sz w:val="18"/>
          <w:szCs w:val="18"/>
          <w:lang w:eastAsia="en-US"/>
        </w:rPr>
        <w:t>Abbreviations: Ig</w:t>
      </w:r>
      <w:r w:rsidRPr="00B57FBC">
        <w:rPr>
          <w:rFonts w:ascii="Arial Narrow" w:eastAsia="Calibri" w:hAnsi="Arial Narrow"/>
          <w:b/>
          <w:sz w:val="18"/>
          <w:szCs w:val="18"/>
          <w:lang w:eastAsia="en-US"/>
        </w:rPr>
        <w:t xml:space="preserve"> </w:t>
      </w:r>
      <w:r w:rsidRPr="00B57FBC">
        <w:rPr>
          <w:rFonts w:ascii="Arial Narrow" w:eastAsia="Calibri" w:hAnsi="Arial Narrow"/>
          <w:sz w:val="18"/>
          <w:szCs w:val="18"/>
          <w:lang w:eastAsia="en-US"/>
        </w:rPr>
        <w:t>= Immunoglobulin</w:t>
      </w:r>
    </w:p>
    <w:p w14:paraId="1DA48FC9" w14:textId="31B16716" w:rsidR="00C91AB6" w:rsidRPr="00A36DE2" w:rsidRDefault="00B57FBC" w:rsidP="00A36DE2">
      <w:pPr>
        <w:spacing w:before="120" w:after="120"/>
        <w:ind w:left="57" w:right="57"/>
        <w:contextualSpacing/>
        <w:rPr>
          <w:b/>
        </w:rPr>
      </w:pPr>
      <w:r w:rsidRPr="00B57FBC">
        <w:rPr>
          <w:rFonts w:ascii="Arial Narrow" w:eastAsia="Calibri" w:hAnsi="Arial Narrow"/>
          <w:sz w:val="18"/>
          <w:szCs w:val="18"/>
          <w:lang w:eastAsia="en-US"/>
        </w:rPr>
        <w:t>Note: this algorithm may also be applicable for any patient not/no longer eligible for Ig under Version 3 of ‘the Criteria’ (i.e. reach ‘use alternate therapies’ stage on Figure 1), or for patients</w:t>
      </w:r>
      <w:r w:rsidR="00001F1E">
        <w:rPr>
          <w:rFonts w:ascii="Arial Narrow" w:eastAsia="Calibri" w:hAnsi="Arial Narrow"/>
          <w:sz w:val="18"/>
          <w:szCs w:val="18"/>
          <w:lang w:eastAsia="en-US"/>
        </w:rPr>
        <w:t xml:space="preserve"> in whom Ig is contraindicated</w:t>
      </w:r>
    </w:p>
    <w:p w14:paraId="19EC7DC0" w14:textId="3C6D66F2" w:rsidR="00D55F83" w:rsidRPr="00A36DE2" w:rsidRDefault="00065623" w:rsidP="00A36DE2">
      <w:pPr>
        <w:pStyle w:val="Heading1"/>
        <w:rPr>
          <w:rFonts w:ascii="Arial" w:hAnsi="Arial" w:cs="Arial"/>
        </w:rPr>
      </w:pPr>
      <w:r w:rsidRPr="00A36DE2">
        <w:rPr>
          <w:rFonts w:ascii="Arial" w:hAnsi="Arial" w:cs="Arial"/>
        </w:rPr>
        <w:t xml:space="preserve">Comparator </w:t>
      </w:r>
    </w:p>
    <w:p w14:paraId="2CD09179" w14:textId="4E8C7DFA" w:rsidR="00036707" w:rsidRPr="00E3331A" w:rsidRDefault="0063069B" w:rsidP="00036707">
      <w:r>
        <w:t>T</w:t>
      </w:r>
      <w:r w:rsidR="00036707">
        <w:t>he c</w:t>
      </w:r>
      <w:r w:rsidR="00036707" w:rsidRPr="00E3331A">
        <w:t xml:space="preserve">omparators to Ig </w:t>
      </w:r>
      <w:r>
        <w:t xml:space="preserve">as </w:t>
      </w:r>
      <w:r w:rsidR="00CF1DFB">
        <w:t xml:space="preserve">originally </w:t>
      </w:r>
      <w:r>
        <w:t>defined in the PICO Confirmation</w:t>
      </w:r>
      <w:r w:rsidR="00036707">
        <w:t xml:space="preserve"> </w:t>
      </w:r>
      <w:r>
        <w:t>and ratified by the Immunoglobulin Review Reference Group we</w:t>
      </w:r>
      <w:r w:rsidR="00036707" w:rsidRPr="00E3331A">
        <w:t>re:</w:t>
      </w:r>
    </w:p>
    <w:p w14:paraId="58699191" w14:textId="77777777" w:rsidR="00036707" w:rsidRPr="00E3331A" w:rsidRDefault="00036707" w:rsidP="00036707">
      <w:pPr>
        <w:pStyle w:val="ListParagraph"/>
        <w:numPr>
          <w:ilvl w:val="0"/>
          <w:numId w:val="17"/>
        </w:numPr>
      </w:pPr>
      <w:r>
        <w:t>steroids (oral and intravenous</w:t>
      </w:r>
      <w:r w:rsidRPr="00E3331A">
        <w:t>)</w:t>
      </w:r>
    </w:p>
    <w:p w14:paraId="650253DF" w14:textId="404BAAD4" w:rsidR="00036707" w:rsidRPr="00E3331A" w:rsidRDefault="00036707" w:rsidP="00036707">
      <w:pPr>
        <w:pStyle w:val="ListParagraph"/>
        <w:numPr>
          <w:ilvl w:val="0"/>
          <w:numId w:val="17"/>
        </w:numPr>
      </w:pPr>
      <w:r>
        <w:t>p</w:t>
      </w:r>
      <w:r w:rsidRPr="00E3331A">
        <w:t>lasma exchange</w:t>
      </w:r>
      <w:r w:rsidR="00F355E9">
        <w:t xml:space="preserve"> (PE)</w:t>
      </w:r>
    </w:p>
    <w:p w14:paraId="255876F1" w14:textId="31B70B91" w:rsidR="00036707" w:rsidRPr="00E3331A" w:rsidRDefault="00036707" w:rsidP="00036707">
      <w:pPr>
        <w:pStyle w:val="ListParagraph"/>
        <w:numPr>
          <w:ilvl w:val="0"/>
          <w:numId w:val="17"/>
        </w:numPr>
      </w:pPr>
      <w:r>
        <w:t>i</w:t>
      </w:r>
      <w:r w:rsidRPr="00E3331A">
        <w:t>mmunosuppressant and/or immunomodulatory drugs and therapies</w:t>
      </w:r>
      <w:r>
        <w:t xml:space="preserve">, </w:t>
      </w:r>
      <w:r w:rsidRPr="00E3331A">
        <w:t>not including</w:t>
      </w:r>
      <w:r w:rsidR="005764BC">
        <w:t xml:space="preserve"> corticosteroids</w:t>
      </w:r>
      <w:r>
        <w:t xml:space="preserve"> or Ig</w:t>
      </w:r>
    </w:p>
    <w:p w14:paraId="4DD7C8BA" w14:textId="77777777" w:rsidR="00036707" w:rsidRPr="00E3331A" w:rsidRDefault="00036707" w:rsidP="00036707">
      <w:pPr>
        <w:pStyle w:val="ListParagraph"/>
        <w:numPr>
          <w:ilvl w:val="0"/>
          <w:numId w:val="17"/>
        </w:numPr>
      </w:pPr>
      <w:r>
        <w:t>a</w:t>
      </w:r>
      <w:r w:rsidRPr="00E3331A">
        <w:t xml:space="preserve"> combination of two or more of the above therapies</w:t>
      </w:r>
    </w:p>
    <w:p w14:paraId="29F604DE" w14:textId="7BA78BDA" w:rsidR="00036707" w:rsidRPr="0063069B" w:rsidRDefault="00036707" w:rsidP="0063069B">
      <w:pPr>
        <w:pStyle w:val="ListParagraph"/>
        <w:numPr>
          <w:ilvl w:val="0"/>
          <w:numId w:val="17"/>
        </w:numPr>
      </w:pPr>
      <w:r>
        <w:lastRenderedPageBreak/>
        <w:t>n</w:t>
      </w:r>
      <w:r w:rsidRPr="00E3331A">
        <w:t xml:space="preserve">o active treatment, </w:t>
      </w:r>
      <w:r>
        <w:t>n</w:t>
      </w:r>
      <w:r w:rsidRPr="00E3331A">
        <w:t>o Ig</w:t>
      </w:r>
      <w:r>
        <w:t>.</w:t>
      </w:r>
    </w:p>
    <w:p w14:paraId="70E31EBC" w14:textId="36F91471" w:rsidR="0063069B" w:rsidRDefault="00036707" w:rsidP="000D5C36">
      <w:pPr>
        <w:spacing w:before="120" w:after="120"/>
      </w:pPr>
      <w:r>
        <w:t xml:space="preserve">At </w:t>
      </w:r>
      <w:r w:rsidR="0063069B">
        <w:t>its</w:t>
      </w:r>
      <w:r>
        <w:t xml:space="preserve"> April 2020</w:t>
      </w:r>
      <w:r w:rsidR="0063069B">
        <w:t xml:space="preserve"> meeting,</w:t>
      </w:r>
      <w:r w:rsidR="00540996">
        <w:t xml:space="preserve"> MSAC request</w:t>
      </w:r>
      <w:r w:rsidR="0063069B">
        <w:t>ed</w:t>
      </w:r>
      <w:r w:rsidR="00DC5BDA" w:rsidRPr="00862DFB">
        <w:t xml:space="preserve"> </w:t>
      </w:r>
      <w:r w:rsidR="00671F06">
        <w:t xml:space="preserve">the revised DCAR include economic modelling of the following </w:t>
      </w:r>
      <w:r w:rsidR="00DC5BDA" w:rsidRPr="00862DFB">
        <w:t>compar</w:t>
      </w:r>
      <w:r w:rsidR="00671F06">
        <w:t>isons:</w:t>
      </w:r>
    </w:p>
    <w:p w14:paraId="328A2C7A" w14:textId="564375D8" w:rsidR="0063069B" w:rsidRPr="006D55BC" w:rsidRDefault="0063069B" w:rsidP="0063069B">
      <w:pPr>
        <w:pStyle w:val="ListParagraph"/>
        <w:numPr>
          <w:ilvl w:val="0"/>
          <w:numId w:val="18"/>
        </w:numPr>
      </w:pPr>
      <w:r w:rsidRPr="006D55BC">
        <w:t>Main comparison - Ig versus</w:t>
      </w:r>
      <w:r w:rsidR="005764BC">
        <w:t xml:space="preserve"> corticosteroids</w:t>
      </w:r>
      <w:r w:rsidRPr="006D55BC">
        <w:t xml:space="preserve">  </w:t>
      </w:r>
    </w:p>
    <w:p w14:paraId="79D90D86" w14:textId="222BC531" w:rsidR="0063069B" w:rsidRPr="006D55BC" w:rsidRDefault="0063069B" w:rsidP="0063069B">
      <w:pPr>
        <w:pStyle w:val="ListParagraph"/>
        <w:numPr>
          <w:ilvl w:val="0"/>
          <w:numId w:val="18"/>
        </w:numPr>
      </w:pPr>
      <w:r w:rsidRPr="006D55BC">
        <w:t xml:space="preserve">Secondary comparison </w:t>
      </w:r>
      <w:r w:rsidR="00251354">
        <w:t>-</w:t>
      </w:r>
      <w:r w:rsidRPr="006D55BC">
        <w:t xml:space="preserve"> Ig versus PE </w:t>
      </w:r>
    </w:p>
    <w:p w14:paraId="16E8B948" w14:textId="750CB3D6" w:rsidR="0063069B" w:rsidRPr="006D55BC" w:rsidRDefault="00F355E9" w:rsidP="0063069B">
      <w:pPr>
        <w:pStyle w:val="ListParagraph"/>
        <w:numPr>
          <w:ilvl w:val="0"/>
          <w:numId w:val="18"/>
        </w:numPr>
      </w:pPr>
      <w:r>
        <w:t xml:space="preserve">Tertiary comparison </w:t>
      </w:r>
      <w:r w:rsidR="00251354">
        <w:t xml:space="preserve">- </w:t>
      </w:r>
      <w:r>
        <w:t>Ig versus p</w:t>
      </w:r>
      <w:r w:rsidR="0063069B" w:rsidRPr="006D55BC">
        <w:t>lacebo in</w:t>
      </w:r>
      <w:r w:rsidR="005764BC">
        <w:t xml:space="preserve"> corticosteroid</w:t>
      </w:r>
      <w:r w:rsidR="0063069B" w:rsidRPr="006D55BC">
        <w:t xml:space="preserve"> resistant population </w:t>
      </w:r>
    </w:p>
    <w:p w14:paraId="129DD6F8" w14:textId="332B42F1" w:rsidR="005922DB" w:rsidRPr="00A36DE2" w:rsidRDefault="00065623" w:rsidP="00A36DE2">
      <w:pPr>
        <w:pStyle w:val="Heading1"/>
        <w:rPr>
          <w:rFonts w:ascii="Arial" w:hAnsi="Arial" w:cs="Arial"/>
        </w:rPr>
      </w:pPr>
      <w:r w:rsidRPr="00A36DE2">
        <w:rPr>
          <w:rFonts w:ascii="Arial" w:hAnsi="Arial" w:cs="Arial"/>
        </w:rPr>
        <w:t>Comparative safety</w:t>
      </w:r>
    </w:p>
    <w:p w14:paraId="01CDD56A" w14:textId="7C7E2CF4" w:rsidR="00830513" w:rsidRDefault="009330D6" w:rsidP="00A36DE2">
      <w:pPr>
        <w:tabs>
          <w:tab w:val="left" w:pos="720"/>
          <w:tab w:val="left" w:pos="1140"/>
        </w:tabs>
        <w:rPr>
          <w:bCs/>
          <w:snapToGrid w:val="0"/>
        </w:rPr>
      </w:pPr>
      <w:r>
        <w:rPr>
          <w:bCs/>
          <w:snapToGrid w:val="0"/>
        </w:rPr>
        <w:t>As concluded in the original DCAR, t</w:t>
      </w:r>
      <w:r w:rsidRPr="00862DFB">
        <w:rPr>
          <w:bCs/>
          <w:snapToGrid w:val="0"/>
        </w:rPr>
        <w:t xml:space="preserve">he </w:t>
      </w:r>
      <w:r w:rsidR="00A167E1">
        <w:rPr>
          <w:bCs/>
          <w:snapToGrid w:val="0"/>
        </w:rPr>
        <w:t xml:space="preserve">updated </w:t>
      </w:r>
      <w:r w:rsidR="00830513" w:rsidRPr="00862DFB">
        <w:rPr>
          <w:bCs/>
          <w:snapToGrid w:val="0"/>
        </w:rPr>
        <w:t xml:space="preserve">DCAR </w:t>
      </w:r>
      <w:r w:rsidR="00830513" w:rsidRPr="009330D6">
        <w:rPr>
          <w:bCs/>
          <w:snapToGrid w:val="0"/>
        </w:rPr>
        <w:t>suggests that</w:t>
      </w:r>
      <w:r w:rsidR="00830513" w:rsidRPr="002036DE">
        <w:rPr>
          <w:bCs/>
          <w:snapToGrid w:val="0"/>
        </w:rPr>
        <w:t xml:space="preserve"> </w:t>
      </w:r>
      <w:r w:rsidR="00830513" w:rsidRPr="00460A84">
        <w:rPr>
          <w:bCs/>
          <w:snapToGrid w:val="0"/>
        </w:rPr>
        <w:t xml:space="preserve">relative to </w:t>
      </w:r>
      <w:r w:rsidR="00862DFB" w:rsidRPr="00460A84">
        <w:rPr>
          <w:bCs/>
          <w:snapToGrid w:val="0"/>
        </w:rPr>
        <w:t>th</w:t>
      </w:r>
      <w:r w:rsidR="00121180" w:rsidRPr="00460A84">
        <w:rPr>
          <w:bCs/>
          <w:snapToGrid w:val="0"/>
        </w:rPr>
        <w:t>e comparator interventions of</w:t>
      </w:r>
      <w:r w:rsidR="005764BC">
        <w:rPr>
          <w:bCs/>
          <w:snapToGrid w:val="0"/>
        </w:rPr>
        <w:t xml:space="preserve"> corticosteroids</w:t>
      </w:r>
      <w:r w:rsidR="00862DFB" w:rsidRPr="00460A84">
        <w:rPr>
          <w:bCs/>
          <w:snapToGrid w:val="0"/>
        </w:rPr>
        <w:t xml:space="preserve"> (oral and IV) and PE</w:t>
      </w:r>
      <w:r w:rsidR="00830513" w:rsidRPr="00460A84">
        <w:rPr>
          <w:bCs/>
          <w:snapToGrid w:val="0"/>
        </w:rPr>
        <w:t>, Ig has</w:t>
      </w:r>
      <w:r w:rsidR="00862DFB" w:rsidRPr="00460A84">
        <w:rPr>
          <w:bCs/>
          <w:snapToGrid w:val="0"/>
        </w:rPr>
        <w:t xml:space="preserve"> </w:t>
      </w:r>
      <w:r w:rsidRPr="00460A84">
        <w:rPr>
          <w:bCs/>
          <w:snapToGrid w:val="0"/>
        </w:rPr>
        <w:t xml:space="preserve">uncertain </w:t>
      </w:r>
      <w:r w:rsidR="00862DFB" w:rsidRPr="00460A84">
        <w:rPr>
          <w:bCs/>
          <w:snapToGrid w:val="0"/>
        </w:rPr>
        <w:t>safety</w:t>
      </w:r>
      <w:r w:rsidR="00830513" w:rsidRPr="009330D6">
        <w:rPr>
          <w:bCs/>
          <w:snapToGrid w:val="0"/>
        </w:rPr>
        <w:t>.</w:t>
      </w:r>
      <w:r w:rsidR="00862DFB">
        <w:rPr>
          <w:bCs/>
          <w:snapToGrid w:val="0"/>
        </w:rPr>
        <w:t xml:space="preserve"> </w:t>
      </w:r>
    </w:p>
    <w:p w14:paraId="4852198D" w14:textId="0F8F9337" w:rsidR="00556665" w:rsidRDefault="00556665" w:rsidP="00A36DE2">
      <w:pPr>
        <w:tabs>
          <w:tab w:val="left" w:pos="720"/>
          <w:tab w:val="left" w:pos="1140"/>
        </w:tabs>
        <w:rPr>
          <w:bCs/>
          <w:snapToGrid w:val="0"/>
        </w:rPr>
      </w:pPr>
      <w:r>
        <w:rPr>
          <w:bCs/>
          <w:snapToGrid w:val="0"/>
        </w:rPr>
        <w:t xml:space="preserve">The original 1564 DCAR found the </w:t>
      </w:r>
      <w:r w:rsidRPr="00556665">
        <w:rPr>
          <w:bCs/>
          <w:snapToGrid w:val="0"/>
        </w:rPr>
        <w:t>overall rate of serious AEs with any treatment (IVIg,</w:t>
      </w:r>
      <w:r w:rsidR="005764BC">
        <w:rPr>
          <w:bCs/>
          <w:snapToGrid w:val="0"/>
        </w:rPr>
        <w:t xml:space="preserve"> corticosteroids</w:t>
      </w:r>
      <w:r w:rsidRPr="00556665">
        <w:rPr>
          <w:bCs/>
          <w:snapToGrid w:val="0"/>
        </w:rPr>
        <w:t xml:space="preserve">, PE, and immunosuppressant drugs) over the short to intermediate term </w:t>
      </w:r>
      <w:r w:rsidR="00F355E9">
        <w:rPr>
          <w:bCs/>
          <w:snapToGrid w:val="0"/>
        </w:rPr>
        <w:t xml:space="preserve">was </w:t>
      </w:r>
      <w:r w:rsidRPr="00556665">
        <w:rPr>
          <w:bCs/>
          <w:snapToGrid w:val="0"/>
        </w:rPr>
        <w:t>low. However, non-inferiority or superiority could not be determined due to the paucity of studies reporting safety outcomes and limitations in trial design.</w:t>
      </w:r>
    </w:p>
    <w:p w14:paraId="3B18F82D" w14:textId="120F6127" w:rsidR="00D0279F" w:rsidRDefault="00D0279F" w:rsidP="00A36DE2">
      <w:pPr>
        <w:tabs>
          <w:tab w:val="left" w:pos="720"/>
          <w:tab w:val="left" w:pos="1140"/>
        </w:tabs>
        <w:rPr>
          <w:bCs/>
          <w:snapToGrid w:val="0"/>
        </w:rPr>
      </w:pPr>
      <w:r w:rsidRPr="001167B4">
        <w:rPr>
          <w:bCs/>
          <w:snapToGrid w:val="0"/>
        </w:rPr>
        <w:t xml:space="preserve">Evidence from two RCTs </w:t>
      </w:r>
      <w:r>
        <w:rPr>
          <w:bCs/>
          <w:snapToGrid w:val="0"/>
        </w:rPr>
        <w:t>(Hartung et al. 2019</w:t>
      </w:r>
      <w:r>
        <w:rPr>
          <w:rStyle w:val="FootnoteReference"/>
          <w:bCs/>
          <w:snapToGrid w:val="0"/>
        </w:rPr>
        <w:footnoteReference w:id="8"/>
      </w:r>
      <w:r>
        <w:rPr>
          <w:bCs/>
          <w:snapToGrid w:val="0"/>
        </w:rPr>
        <w:t xml:space="preserve"> PATH study; and, Kuitwaard et al. 2020b</w:t>
      </w:r>
      <w:r>
        <w:rPr>
          <w:rStyle w:val="FootnoteReference"/>
          <w:bCs/>
          <w:snapToGrid w:val="0"/>
        </w:rPr>
        <w:footnoteReference w:id="9"/>
      </w:r>
      <w:r>
        <w:rPr>
          <w:bCs/>
          <w:snapToGrid w:val="0"/>
        </w:rPr>
        <w:t xml:space="preserve"> DOSE study) </w:t>
      </w:r>
      <w:r w:rsidRPr="001167B4">
        <w:rPr>
          <w:bCs/>
          <w:snapToGrid w:val="0"/>
        </w:rPr>
        <w:t>was included to update the review on the safety and effectiveness of Ig for CIDP. Both trials were conducted in patients with CIDP who had been stabilised on IVIg and were assessing Ig as maintenance therapy.</w:t>
      </w:r>
      <w:r>
        <w:rPr>
          <w:bCs/>
          <w:snapToGrid w:val="0"/>
        </w:rPr>
        <w:t xml:space="preserve"> The PATH study (assessed as low risk of bias) compared two doses of SCIg with each other and placebo, and found higher treatment related AE rates in</w:t>
      </w:r>
      <w:r w:rsidR="00CB1BAB">
        <w:rPr>
          <w:bCs/>
          <w:snapToGrid w:val="0"/>
        </w:rPr>
        <w:t xml:space="preserve"> patients treated with low </w:t>
      </w:r>
      <w:r w:rsidR="005764BC">
        <w:rPr>
          <w:bCs/>
          <w:snapToGrid w:val="0"/>
        </w:rPr>
        <w:t xml:space="preserve">or </w:t>
      </w:r>
      <w:r w:rsidR="00CB1BAB">
        <w:rPr>
          <w:bCs/>
          <w:snapToGrid w:val="0"/>
        </w:rPr>
        <w:t>high dose SCIg (30</w:t>
      </w:r>
      <w:r>
        <w:rPr>
          <w:bCs/>
          <w:snapToGrid w:val="0"/>
        </w:rPr>
        <w:t>% and 35% of patients</w:t>
      </w:r>
      <w:r w:rsidR="00CB1BAB">
        <w:rPr>
          <w:bCs/>
          <w:snapToGrid w:val="0"/>
        </w:rPr>
        <w:t>,</w:t>
      </w:r>
      <w:r>
        <w:rPr>
          <w:bCs/>
          <w:snapToGrid w:val="0"/>
        </w:rPr>
        <w:t xml:space="preserve"> respectively) </w:t>
      </w:r>
      <w:r w:rsidR="00F355E9">
        <w:rPr>
          <w:bCs/>
          <w:snapToGrid w:val="0"/>
        </w:rPr>
        <w:t>compared with</w:t>
      </w:r>
      <w:r>
        <w:rPr>
          <w:bCs/>
          <w:snapToGrid w:val="0"/>
        </w:rPr>
        <w:t xml:space="preserve"> placebo (18% of patients). The DOSE study (assessed as moderate risk of bias) compared two IVIg dosing regimens in patients on individualised doses and schedules and found the frequency of AEs to be similar between regimens. Th</w:t>
      </w:r>
      <w:r w:rsidR="00E20EB0">
        <w:rPr>
          <w:bCs/>
          <w:snapToGrid w:val="0"/>
        </w:rPr>
        <w:t>is</w:t>
      </w:r>
      <w:r>
        <w:rPr>
          <w:bCs/>
          <w:snapToGrid w:val="0"/>
        </w:rPr>
        <w:t xml:space="preserve"> study reported no serious AEs.</w:t>
      </w:r>
    </w:p>
    <w:p w14:paraId="4CE25701" w14:textId="18625D0F" w:rsidR="00D0279F" w:rsidRPr="003B4D35" w:rsidRDefault="00355C4D" w:rsidP="00A36DE2">
      <w:pPr>
        <w:tabs>
          <w:tab w:val="left" w:pos="720"/>
          <w:tab w:val="left" w:pos="1140"/>
        </w:tabs>
        <w:rPr>
          <w:bCs/>
          <w:snapToGrid w:val="0"/>
        </w:rPr>
      </w:pPr>
      <w:r w:rsidRPr="000118D8">
        <w:t>For the extended assessment of harms, an additional literature search was conducted in a broader population base than CIDP alone.</w:t>
      </w:r>
      <w:r>
        <w:t xml:space="preserve"> </w:t>
      </w:r>
      <w:r w:rsidR="00D0279F">
        <w:rPr>
          <w:bCs/>
          <w:snapToGrid w:val="0"/>
        </w:rPr>
        <w:t xml:space="preserve">Evidence from nine articles were included in the extended assessment of harms </w:t>
      </w:r>
      <w:r w:rsidR="00F355E9">
        <w:rPr>
          <w:bCs/>
          <w:snapToGrid w:val="0"/>
        </w:rPr>
        <w:t xml:space="preserve">discussed </w:t>
      </w:r>
      <w:r w:rsidR="00D0279F">
        <w:rPr>
          <w:bCs/>
          <w:snapToGrid w:val="0"/>
        </w:rPr>
        <w:t>below.</w:t>
      </w:r>
      <w:r w:rsidR="00D0279F" w:rsidRPr="00D0279F">
        <w:t xml:space="preserve"> </w:t>
      </w:r>
      <w:r w:rsidR="00D0279F" w:rsidRPr="009A4058">
        <w:rPr>
          <w:bCs/>
          <w:snapToGrid w:val="0"/>
        </w:rPr>
        <w:t>AE rates associated with Ig, PE and long-term</w:t>
      </w:r>
      <w:r w:rsidR="005764BC">
        <w:rPr>
          <w:bCs/>
          <w:snapToGrid w:val="0"/>
        </w:rPr>
        <w:t xml:space="preserve"> corticosteroid</w:t>
      </w:r>
      <w:r w:rsidR="00D0279F" w:rsidRPr="009A4058">
        <w:rPr>
          <w:bCs/>
          <w:snapToGrid w:val="0"/>
        </w:rPr>
        <w:t xml:space="preserve"> use </w:t>
      </w:r>
      <w:r w:rsidR="00D0279F">
        <w:rPr>
          <w:bCs/>
          <w:snapToGrid w:val="0"/>
        </w:rPr>
        <w:t>were</w:t>
      </w:r>
      <w:r w:rsidR="00D0279F" w:rsidRPr="009A4058">
        <w:rPr>
          <w:bCs/>
          <w:snapToGrid w:val="0"/>
        </w:rPr>
        <w:t xml:space="preserve"> identified, but not directly compared due to the disparate populations from which </w:t>
      </w:r>
      <w:r w:rsidR="00D0279F" w:rsidRPr="003B4D35">
        <w:rPr>
          <w:bCs/>
          <w:snapToGrid w:val="0"/>
        </w:rPr>
        <w:t xml:space="preserve">data were collected </w:t>
      </w:r>
      <w:r w:rsidR="00CB1BAB" w:rsidRPr="003B4D35">
        <w:rPr>
          <w:bCs/>
          <w:snapToGrid w:val="0"/>
        </w:rPr>
        <w:t>and</w:t>
      </w:r>
      <w:r w:rsidR="00D0279F" w:rsidRPr="003B4D35">
        <w:rPr>
          <w:bCs/>
          <w:snapToGrid w:val="0"/>
        </w:rPr>
        <w:t xml:space="preserve"> also impacts</w:t>
      </w:r>
      <w:r w:rsidR="00CB1BAB" w:rsidRPr="003B4D35">
        <w:rPr>
          <w:bCs/>
          <w:snapToGrid w:val="0"/>
        </w:rPr>
        <w:t xml:space="preserve"> </w:t>
      </w:r>
      <w:r w:rsidR="00D0279F" w:rsidRPr="003B4D35">
        <w:rPr>
          <w:bCs/>
          <w:snapToGrid w:val="0"/>
        </w:rPr>
        <w:t xml:space="preserve">the applicability of the evidence to the population of interest. Table 1 </w:t>
      </w:r>
      <w:r w:rsidR="00CB1BAB" w:rsidRPr="003B4D35">
        <w:rPr>
          <w:bCs/>
          <w:snapToGrid w:val="0"/>
        </w:rPr>
        <w:t>presents a summary of</w:t>
      </w:r>
      <w:r w:rsidR="00D0279F" w:rsidRPr="003B4D35">
        <w:rPr>
          <w:bCs/>
          <w:snapToGrid w:val="0"/>
        </w:rPr>
        <w:t xml:space="preserve"> </w:t>
      </w:r>
      <w:r w:rsidR="00F355E9" w:rsidRPr="003B4D35">
        <w:rPr>
          <w:bCs/>
          <w:snapToGrid w:val="0"/>
        </w:rPr>
        <w:t>AEs</w:t>
      </w:r>
      <w:r w:rsidR="00D0279F" w:rsidRPr="003B4D35">
        <w:rPr>
          <w:bCs/>
          <w:snapToGrid w:val="0"/>
        </w:rPr>
        <w:t xml:space="preserve"> reported in retrospective cohorts of patients receiving IVIg, PE or</w:t>
      </w:r>
      <w:r w:rsidR="005764BC">
        <w:rPr>
          <w:bCs/>
          <w:snapToGrid w:val="0"/>
        </w:rPr>
        <w:t xml:space="preserve"> corticosteroids</w:t>
      </w:r>
      <w:r w:rsidR="00D0279F" w:rsidRPr="003B4D35">
        <w:rPr>
          <w:rStyle w:val="FootnoteReference"/>
          <w:bCs/>
          <w:snapToGrid w:val="0"/>
        </w:rPr>
        <w:footnoteReference w:id="10"/>
      </w:r>
      <w:r w:rsidR="00D0279F" w:rsidRPr="003B4D35">
        <w:rPr>
          <w:bCs/>
          <w:snapToGrid w:val="0"/>
        </w:rPr>
        <w:t>.</w:t>
      </w:r>
    </w:p>
    <w:p w14:paraId="3DB1A2D0" w14:textId="704B82A2" w:rsidR="00D0279F" w:rsidRPr="003B4D35" w:rsidRDefault="00D0279F" w:rsidP="00D0279F">
      <w:pPr>
        <w:pStyle w:val="Heading2"/>
        <w:rPr>
          <w:snapToGrid w:val="0"/>
          <w:u w:val="single"/>
        </w:rPr>
      </w:pPr>
      <w:r w:rsidRPr="003B4D35">
        <w:rPr>
          <w:snapToGrid w:val="0"/>
          <w:u w:val="single"/>
        </w:rPr>
        <w:lastRenderedPageBreak/>
        <w:t>Extended Assessment of harms</w:t>
      </w:r>
    </w:p>
    <w:p w14:paraId="18BC021B" w14:textId="1098B57C" w:rsidR="00A04940" w:rsidRPr="003B4D35" w:rsidRDefault="00A04940" w:rsidP="00A04940">
      <w:pPr>
        <w:pStyle w:val="Heading2"/>
        <w:rPr>
          <w:snapToGrid w:val="0"/>
        </w:rPr>
      </w:pPr>
      <w:r w:rsidRPr="003B4D35">
        <w:rPr>
          <w:snapToGrid w:val="0"/>
        </w:rPr>
        <w:t>Adverse events associated with long-term</w:t>
      </w:r>
      <w:r w:rsidR="005764BC">
        <w:rPr>
          <w:snapToGrid w:val="0"/>
        </w:rPr>
        <w:t xml:space="preserve"> corticosteroid</w:t>
      </w:r>
      <w:r w:rsidRPr="003B4D35">
        <w:rPr>
          <w:snapToGrid w:val="0"/>
        </w:rPr>
        <w:t xml:space="preserve"> use</w:t>
      </w:r>
    </w:p>
    <w:p w14:paraId="7FA9971A" w14:textId="6BA9805B" w:rsidR="00A04940" w:rsidRPr="003B4D35" w:rsidRDefault="00A04940" w:rsidP="00A36DE2">
      <w:pPr>
        <w:tabs>
          <w:tab w:val="left" w:pos="720"/>
          <w:tab w:val="left" w:pos="1140"/>
        </w:tabs>
        <w:rPr>
          <w:bCs/>
          <w:snapToGrid w:val="0"/>
        </w:rPr>
      </w:pPr>
      <w:r w:rsidRPr="003B4D35">
        <w:rPr>
          <w:bCs/>
          <w:snapToGrid w:val="0"/>
        </w:rPr>
        <w:t>Very few articles in the targeted literature search reported on the long-term safety of</w:t>
      </w:r>
      <w:r w:rsidR="005764BC">
        <w:rPr>
          <w:bCs/>
          <w:snapToGrid w:val="0"/>
        </w:rPr>
        <w:t xml:space="preserve"> corticosteroids</w:t>
      </w:r>
      <w:r w:rsidRPr="003B4D35">
        <w:rPr>
          <w:bCs/>
          <w:snapToGrid w:val="0"/>
        </w:rPr>
        <w:t xml:space="preserve"> in patients with autoimmune neurological diseases, therefore the population was broadened to all autoimmune diseases that are treated with</w:t>
      </w:r>
      <w:r w:rsidR="005764BC">
        <w:rPr>
          <w:bCs/>
          <w:snapToGrid w:val="0"/>
        </w:rPr>
        <w:t xml:space="preserve"> corticosteroids</w:t>
      </w:r>
      <w:r w:rsidRPr="003B4D35">
        <w:rPr>
          <w:bCs/>
          <w:snapToGrid w:val="0"/>
        </w:rPr>
        <w:t>. Evidence was considered from one SR (Rice et al 2017)</w:t>
      </w:r>
      <w:r w:rsidRPr="003B4D35">
        <w:rPr>
          <w:rStyle w:val="FootnoteReference"/>
          <w:bCs/>
          <w:snapToGrid w:val="0"/>
        </w:rPr>
        <w:footnoteReference w:id="11"/>
      </w:r>
      <w:r w:rsidRPr="003B4D35">
        <w:rPr>
          <w:bCs/>
          <w:snapToGrid w:val="0"/>
        </w:rPr>
        <w:t>, two large retrospective studies with populations of patients with RA (Huscher et al 2009)</w:t>
      </w:r>
      <w:r w:rsidRPr="003B4D35">
        <w:rPr>
          <w:rStyle w:val="FootnoteReference"/>
          <w:bCs/>
          <w:snapToGrid w:val="0"/>
        </w:rPr>
        <w:footnoteReference w:id="12"/>
      </w:r>
      <w:r w:rsidRPr="003B4D35">
        <w:rPr>
          <w:bCs/>
          <w:snapToGrid w:val="0"/>
        </w:rPr>
        <w:t xml:space="preserve"> and giant-cell arteritis (Wilson et al 2017a)</w:t>
      </w:r>
      <w:r w:rsidRPr="003B4D35">
        <w:rPr>
          <w:rStyle w:val="FootnoteReference"/>
          <w:bCs/>
          <w:snapToGrid w:val="0"/>
        </w:rPr>
        <w:footnoteReference w:id="13"/>
      </w:r>
      <w:r w:rsidRPr="003B4D35">
        <w:rPr>
          <w:bCs/>
          <w:snapToGrid w:val="0"/>
        </w:rPr>
        <w:t xml:space="preserve"> and one smaller retrospective study of CIDP patients (van Lieverloo et al. 2018)</w:t>
      </w:r>
      <w:r w:rsidRPr="003B4D35">
        <w:rPr>
          <w:rStyle w:val="FootnoteReference"/>
          <w:bCs/>
          <w:snapToGrid w:val="0"/>
        </w:rPr>
        <w:footnoteReference w:id="14"/>
      </w:r>
      <w:r w:rsidRPr="003B4D35">
        <w:rPr>
          <w:bCs/>
          <w:snapToGrid w:val="0"/>
        </w:rPr>
        <w:t>. All were assessed as moderate risk of bias.</w:t>
      </w:r>
    </w:p>
    <w:p w14:paraId="2816C3B9" w14:textId="12B9BC9B" w:rsidR="00A04940" w:rsidRPr="003B4D35" w:rsidRDefault="00F355E9" w:rsidP="00A36DE2">
      <w:pPr>
        <w:tabs>
          <w:tab w:val="left" w:pos="720"/>
          <w:tab w:val="left" w:pos="1140"/>
        </w:tabs>
        <w:rPr>
          <w:bCs/>
          <w:snapToGrid w:val="0"/>
        </w:rPr>
      </w:pPr>
      <w:r w:rsidRPr="003B4D35">
        <w:rPr>
          <w:bCs/>
          <w:snapToGrid w:val="0"/>
        </w:rPr>
        <w:t>There was</w:t>
      </w:r>
      <w:r w:rsidR="00A04940" w:rsidRPr="003B4D35">
        <w:rPr>
          <w:bCs/>
          <w:snapToGrid w:val="0"/>
        </w:rPr>
        <w:t xml:space="preserve"> </w:t>
      </w:r>
      <w:r w:rsidRPr="003B4D35">
        <w:rPr>
          <w:bCs/>
          <w:snapToGrid w:val="0"/>
        </w:rPr>
        <w:t xml:space="preserve">considerable </w:t>
      </w:r>
      <w:r w:rsidR="00A04940" w:rsidRPr="003B4D35">
        <w:rPr>
          <w:bCs/>
          <w:snapToGrid w:val="0"/>
        </w:rPr>
        <w:t>variability in the type of AEs reported</w:t>
      </w:r>
      <w:r w:rsidRPr="003B4D35">
        <w:rPr>
          <w:bCs/>
          <w:snapToGrid w:val="0"/>
        </w:rPr>
        <w:t xml:space="preserve"> in the studies</w:t>
      </w:r>
      <w:r w:rsidR="00A04940" w:rsidRPr="003B4D35">
        <w:rPr>
          <w:bCs/>
          <w:snapToGrid w:val="0"/>
        </w:rPr>
        <w:t xml:space="preserve">, only common AEs were reported (so overall AE rates could not be determined), and AEs were not separated by severity. </w:t>
      </w:r>
      <w:r w:rsidR="00FD0D5E" w:rsidRPr="003B4D35">
        <w:rPr>
          <w:bCs/>
          <w:snapToGrid w:val="0"/>
        </w:rPr>
        <w:t>All AEs relating to</w:t>
      </w:r>
      <w:r w:rsidR="005764BC">
        <w:rPr>
          <w:bCs/>
          <w:snapToGrid w:val="0"/>
        </w:rPr>
        <w:t xml:space="preserve"> corticosteroid</w:t>
      </w:r>
      <w:r w:rsidR="00FD0D5E" w:rsidRPr="003B4D35">
        <w:rPr>
          <w:bCs/>
          <w:snapToGrid w:val="0"/>
        </w:rPr>
        <w:t xml:space="preserve"> use have been previously well characterised</w:t>
      </w:r>
      <w:r w:rsidR="00124CA5" w:rsidRPr="003B4D35">
        <w:rPr>
          <w:bCs/>
          <w:snapToGrid w:val="0"/>
        </w:rPr>
        <w:t xml:space="preserve"> over decades of use across indications</w:t>
      </w:r>
      <w:r w:rsidR="00FD0D5E" w:rsidRPr="003B4D35">
        <w:rPr>
          <w:bCs/>
          <w:snapToGrid w:val="0"/>
        </w:rPr>
        <w:t xml:space="preserve">. </w:t>
      </w:r>
      <w:r w:rsidR="00A04940" w:rsidRPr="003B4D35">
        <w:rPr>
          <w:bCs/>
          <w:snapToGrid w:val="0"/>
        </w:rPr>
        <w:t>The AE with highest incidence for patients taking long-term</w:t>
      </w:r>
      <w:r w:rsidR="005764BC">
        <w:rPr>
          <w:bCs/>
          <w:snapToGrid w:val="0"/>
        </w:rPr>
        <w:t xml:space="preserve"> corticosteroids</w:t>
      </w:r>
      <w:r w:rsidR="00A04940" w:rsidRPr="003B4D35">
        <w:rPr>
          <w:bCs/>
          <w:snapToGrid w:val="0"/>
        </w:rPr>
        <w:t xml:space="preserve"> was serious infection (37.9%), and the AE with highest prevalence was hypertension (&gt; 30%). Frequently reported AEs also included fracture and osteoporosis (prevalence 21% - 30%), diabetes type II (incidence 14.2%) and glaucoma (incidence 10%). </w:t>
      </w:r>
    </w:p>
    <w:p w14:paraId="0C5F4CAD" w14:textId="7A854133" w:rsidR="00A04940" w:rsidRPr="003B4D35" w:rsidRDefault="00A04940" w:rsidP="00A36DE2">
      <w:pPr>
        <w:tabs>
          <w:tab w:val="left" w:pos="720"/>
          <w:tab w:val="left" w:pos="1140"/>
        </w:tabs>
        <w:rPr>
          <w:bCs/>
          <w:snapToGrid w:val="0"/>
        </w:rPr>
      </w:pPr>
      <w:r w:rsidRPr="003B4D35">
        <w:rPr>
          <w:bCs/>
          <w:snapToGrid w:val="0"/>
        </w:rPr>
        <w:t>Overall, the rate of AEs associated with long term</w:t>
      </w:r>
      <w:r w:rsidR="005764BC">
        <w:rPr>
          <w:bCs/>
          <w:snapToGrid w:val="0"/>
        </w:rPr>
        <w:t xml:space="preserve"> corticosteroid</w:t>
      </w:r>
      <w:r w:rsidRPr="003B4D35">
        <w:rPr>
          <w:bCs/>
          <w:snapToGrid w:val="0"/>
        </w:rPr>
        <w:t xml:space="preserve"> use was found to be high and dose-related. Several AEs increased linearly in rate with dose including sleep disturbance, ecchymosis and leg oedema. Other AEs demonstrated a threshold effect, including cataracts, weight gain, increased blood pressure and depression.</w:t>
      </w:r>
    </w:p>
    <w:p w14:paraId="3F0D52BA" w14:textId="1BDB5A29" w:rsidR="00A04940" w:rsidRPr="003B4D35" w:rsidRDefault="00A04940" w:rsidP="00A36DE2">
      <w:pPr>
        <w:tabs>
          <w:tab w:val="left" w:pos="720"/>
          <w:tab w:val="left" w:pos="1140"/>
        </w:tabs>
        <w:rPr>
          <w:bCs/>
          <w:snapToGrid w:val="0"/>
        </w:rPr>
      </w:pPr>
      <w:r w:rsidRPr="003B4D35">
        <w:rPr>
          <w:bCs/>
          <w:snapToGrid w:val="0"/>
        </w:rPr>
        <w:t>Severe AEs were reported in only one small study (AE rate of 1.6%, n = 2 patients) and is less certain</w:t>
      </w:r>
      <w:r w:rsidR="00F355E9" w:rsidRPr="003B4D35">
        <w:rPr>
          <w:bCs/>
          <w:snapToGrid w:val="0"/>
        </w:rPr>
        <w:t>, although</w:t>
      </w:r>
      <w:r w:rsidRPr="003B4D35">
        <w:rPr>
          <w:bCs/>
          <w:snapToGrid w:val="0"/>
        </w:rPr>
        <w:t xml:space="preserve"> is likely that some of the AEs reported in the other studies </w:t>
      </w:r>
      <w:r w:rsidR="00F355E9" w:rsidRPr="003B4D35">
        <w:rPr>
          <w:bCs/>
          <w:snapToGrid w:val="0"/>
        </w:rPr>
        <w:t>may have been</w:t>
      </w:r>
      <w:r w:rsidRPr="003B4D35">
        <w:rPr>
          <w:bCs/>
          <w:snapToGrid w:val="0"/>
        </w:rPr>
        <w:t xml:space="preserve"> severe too. Additionally, as the clinical characteristics of the populations in these studies were diverse, the applicability of these rates of AEs to the population of interest is uncertain.</w:t>
      </w:r>
    </w:p>
    <w:p w14:paraId="76E03976" w14:textId="77777777" w:rsidR="0037616B" w:rsidRPr="003B4D35" w:rsidRDefault="0037616B" w:rsidP="0037616B">
      <w:pPr>
        <w:pStyle w:val="Heading2"/>
        <w:rPr>
          <w:snapToGrid w:val="0"/>
        </w:rPr>
      </w:pPr>
      <w:r w:rsidRPr="003B4D35">
        <w:rPr>
          <w:snapToGrid w:val="0"/>
        </w:rPr>
        <w:lastRenderedPageBreak/>
        <w:t>Adverse events associated with PE</w:t>
      </w:r>
    </w:p>
    <w:p w14:paraId="572FFE35" w14:textId="325E0FF7" w:rsidR="00104EA1" w:rsidRPr="003B4D35" w:rsidRDefault="00104EA1" w:rsidP="00A36DE2">
      <w:pPr>
        <w:tabs>
          <w:tab w:val="left" w:pos="720"/>
          <w:tab w:val="left" w:pos="1140"/>
        </w:tabs>
        <w:spacing w:before="120"/>
        <w:rPr>
          <w:bCs/>
          <w:snapToGrid w:val="0"/>
        </w:rPr>
      </w:pPr>
      <w:r w:rsidRPr="003B4D35">
        <w:rPr>
          <w:bCs/>
          <w:snapToGrid w:val="0"/>
        </w:rPr>
        <w:t>To assess the harms of PE, one SR</w:t>
      </w:r>
      <w:r w:rsidR="00731591" w:rsidRPr="003B4D35">
        <w:rPr>
          <w:bCs/>
          <w:snapToGrid w:val="0"/>
        </w:rPr>
        <w:t xml:space="preserve"> </w:t>
      </w:r>
      <w:r w:rsidRPr="003B4D35">
        <w:rPr>
          <w:bCs/>
          <w:snapToGrid w:val="0"/>
        </w:rPr>
        <w:t>(Oriz-Salas et al. 2016)</w:t>
      </w:r>
      <w:r w:rsidRPr="003B4D35">
        <w:rPr>
          <w:rStyle w:val="FootnoteReference"/>
          <w:bCs/>
          <w:snapToGrid w:val="0"/>
        </w:rPr>
        <w:footnoteReference w:id="15"/>
      </w:r>
      <w:r w:rsidRPr="003B4D35">
        <w:rPr>
          <w:bCs/>
          <w:snapToGrid w:val="0"/>
        </w:rPr>
        <w:t xml:space="preserve"> and three retrospective observational studies</w:t>
      </w:r>
      <w:r w:rsidR="00731591" w:rsidRPr="003B4D35">
        <w:rPr>
          <w:bCs/>
          <w:snapToGrid w:val="0"/>
        </w:rPr>
        <w:t xml:space="preserve"> </w:t>
      </w:r>
      <w:r w:rsidRPr="003B4D35">
        <w:rPr>
          <w:bCs/>
          <w:snapToGrid w:val="0"/>
        </w:rPr>
        <w:t>(Basic-Jukic et al. 2005; Mörtzell Henriksson et al. 2016; Nieto-Aristizábal, Vivas, et al. 2020)</w:t>
      </w:r>
      <w:r w:rsidRPr="003B4D35">
        <w:rPr>
          <w:rStyle w:val="FootnoteReference"/>
          <w:bCs/>
          <w:snapToGrid w:val="0"/>
        </w:rPr>
        <w:footnoteReference w:id="16"/>
      </w:r>
      <w:r w:rsidRPr="003B4D35">
        <w:rPr>
          <w:bCs/>
          <w:snapToGrid w:val="0"/>
        </w:rPr>
        <w:t xml:space="preserve"> provided evidence.</w:t>
      </w:r>
      <w:r w:rsidR="00F162E4" w:rsidRPr="003B4D35">
        <w:t xml:space="preserve"> </w:t>
      </w:r>
      <w:r w:rsidR="00F162E4" w:rsidRPr="003B4D35">
        <w:rPr>
          <w:bCs/>
          <w:snapToGrid w:val="0"/>
        </w:rPr>
        <w:t>The studies were conducted in mixed populations with neurological diseases.</w:t>
      </w:r>
    </w:p>
    <w:p w14:paraId="1309589C" w14:textId="48754FA3" w:rsidR="0037616B" w:rsidRPr="003B4D35" w:rsidRDefault="00C0149D" w:rsidP="00A36DE2">
      <w:pPr>
        <w:tabs>
          <w:tab w:val="left" w:pos="720"/>
          <w:tab w:val="left" w:pos="1140"/>
        </w:tabs>
        <w:rPr>
          <w:bCs/>
          <w:snapToGrid w:val="0"/>
        </w:rPr>
      </w:pPr>
      <w:r w:rsidRPr="003B4D35">
        <w:rPr>
          <w:bCs/>
          <w:snapToGrid w:val="0"/>
        </w:rPr>
        <w:t>M</w:t>
      </w:r>
      <w:r w:rsidR="0037616B" w:rsidRPr="003B4D35">
        <w:rPr>
          <w:bCs/>
          <w:snapToGrid w:val="0"/>
        </w:rPr>
        <w:t>ild to moderate AE</w:t>
      </w:r>
      <w:r w:rsidRPr="003B4D35">
        <w:rPr>
          <w:bCs/>
          <w:snapToGrid w:val="0"/>
        </w:rPr>
        <w:t xml:space="preserve"> rates associated with PE were reported in</w:t>
      </w:r>
      <w:r w:rsidR="0037616B" w:rsidRPr="003B4D35">
        <w:rPr>
          <w:bCs/>
          <w:snapToGrid w:val="0"/>
        </w:rPr>
        <w:t xml:space="preserve"> 2.05% of patients</w:t>
      </w:r>
      <w:r w:rsidR="00CD23BF" w:rsidRPr="003B4D35">
        <w:rPr>
          <w:bCs/>
          <w:snapToGrid w:val="0"/>
        </w:rPr>
        <w:t xml:space="preserve"> in the SR,</w:t>
      </w:r>
      <w:r w:rsidR="0037616B" w:rsidRPr="003B4D35">
        <w:rPr>
          <w:bCs/>
          <w:snapToGrid w:val="0"/>
        </w:rPr>
        <w:t xml:space="preserve"> and </w:t>
      </w:r>
      <w:r w:rsidRPr="003B4D35">
        <w:rPr>
          <w:bCs/>
          <w:snapToGrid w:val="0"/>
        </w:rPr>
        <w:t xml:space="preserve">ranged </w:t>
      </w:r>
      <w:r w:rsidR="0037616B" w:rsidRPr="003B4D35">
        <w:rPr>
          <w:bCs/>
          <w:snapToGrid w:val="0"/>
        </w:rPr>
        <w:t xml:space="preserve">from 4.75% to </w:t>
      </w:r>
      <w:r w:rsidR="00591A5C">
        <w:rPr>
          <w:bCs/>
          <w:snapToGrid w:val="0"/>
        </w:rPr>
        <w:t>8</w:t>
      </w:r>
      <w:r w:rsidR="0037616B" w:rsidRPr="003B4D35">
        <w:rPr>
          <w:bCs/>
          <w:snapToGrid w:val="0"/>
        </w:rPr>
        <w:t>% of procedures</w:t>
      </w:r>
      <w:r w:rsidR="00B77773" w:rsidRPr="003B4D35">
        <w:rPr>
          <w:bCs/>
          <w:snapToGrid w:val="0"/>
        </w:rPr>
        <w:t xml:space="preserve"> </w:t>
      </w:r>
      <w:r w:rsidRPr="003B4D35">
        <w:rPr>
          <w:bCs/>
          <w:snapToGrid w:val="0"/>
        </w:rPr>
        <w:t>in the three retrospective studies</w:t>
      </w:r>
      <w:r w:rsidR="0037616B" w:rsidRPr="003B4D35">
        <w:rPr>
          <w:bCs/>
          <w:snapToGrid w:val="0"/>
        </w:rPr>
        <w:t xml:space="preserve">. </w:t>
      </w:r>
      <w:r w:rsidR="00CD23BF" w:rsidRPr="003B4D35">
        <w:rPr>
          <w:bCs/>
          <w:snapToGrid w:val="0"/>
        </w:rPr>
        <w:t xml:space="preserve">Nieto-Aristizábal, Vivas, et al. 2020 </w:t>
      </w:r>
      <w:r w:rsidR="0037616B" w:rsidRPr="003B4D35">
        <w:rPr>
          <w:bCs/>
          <w:snapToGrid w:val="0"/>
        </w:rPr>
        <w:t>report</w:t>
      </w:r>
      <w:r w:rsidR="00CD23BF" w:rsidRPr="003B4D35">
        <w:rPr>
          <w:bCs/>
          <w:snapToGrid w:val="0"/>
        </w:rPr>
        <w:t>ed</w:t>
      </w:r>
      <w:r w:rsidR="0037616B" w:rsidRPr="003B4D35">
        <w:rPr>
          <w:bCs/>
          <w:snapToGrid w:val="0"/>
        </w:rPr>
        <w:t xml:space="preserve"> </w:t>
      </w:r>
      <w:r w:rsidR="00CD23BF" w:rsidRPr="003B4D35">
        <w:rPr>
          <w:bCs/>
          <w:snapToGrid w:val="0"/>
        </w:rPr>
        <w:t xml:space="preserve">an AE </w:t>
      </w:r>
      <w:r w:rsidR="0037616B" w:rsidRPr="003B4D35">
        <w:rPr>
          <w:bCs/>
          <w:snapToGrid w:val="0"/>
        </w:rPr>
        <w:t xml:space="preserve">rate of </w:t>
      </w:r>
      <w:r w:rsidR="00591A5C">
        <w:rPr>
          <w:bCs/>
          <w:snapToGrid w:val="0"/>
        </w:rPr>
        <w:t>8</w:t>
      </w:r>
      <w:r w:rsidR="0037616B" w:rsidRPr="003B4D35">
        <w:rPr>
          <w:bCs/>
          <w:snapToGrid w:val="0"/>
        </w:rPr>
        <w:t>%</w:t>
      </w:r>
      <w:r w:rsidR="00CD23BF" w:rsidRPr="003B4D35">
        <w:rPr>
          <w:bCs/>
          <w:snapToGrid w:val="0"/>
        </w:rPr>
        <w:t xml:space="preserve"> in all patients and </w:t>
      </w:r>
      <w:r w:rsidR="00591A5C">
        <w:rPr>
          <w:bCs/>
          <w:snapToGrid w:val="0"/>
        </w:rPr>
        <w:t>7.6</w:t>
      </w:r>
      <w:r w:rsidRPr="003B4D35">
        <w:rPr>
          <w:bCs/>
          <w:snapToGrid w:val="0"/>
        </w:rPr>
        <w:t>% per procedure in CIDP patients</w:t>
      </w:r>
      <w:r w:rsidR="0037616B" w:rsidRPr="003B4D35">
        <w:rPr>
          <w:bCs/>
          <w:snapToGrid w:val="0"/>
        </w:rPr>
        <w:t xml:space="preserve"> </w:t>
      </w:r>
      <w:r w:rsidRPr="003B4D35">
        <w:rPr>
          <w:bCs/>
          <w:snapToGrid w:val="0"/>
        </w:rPr>
        <w:t>(</w:t>
      </w:r>
      <w:r w:rsidR="00CD23BF" w:rsidRPr="003B4D35">
        <w:rPr>
          <w:bCs/>
          <w:snapToGrid w:val="0"/>
        </w:rPr>
        <w:t>comprising</w:t>
      </w:r>
      <w:r w:rsidRPr="003B4D35">
        <w:rPr>
          <w:bCs/>
          <w:snapToGrid w:val="0"/>
        </w:rPr>
        <w:t xml:space="preserve"> </w:t>
      </w:r>
      <w:r w:rsidR="0037616B" w:rsidRPr="003B4D35">
        <w:rPr>
          <w:bCs/>
          <w:snapToGrid w:val="0"/>
        </w:rPr>
        <w:t xml:space="preserve">12.5% </w:t>
      </w:r>
      <w:r w:rsidRPr="003B4D35">
        <w:rPr>
          <w:bCs/>
          <w:snapToGrid w:val="0"/>
        </w:rPr>
        <w:t>of the study population)</w:t>
      </w:r>
      <w:r w:rsidR="0037616B" w:rsidRPr="003B4D35">
        <w:rPr>
          <w:bCs/>
          <w:snapToGrid w:val="0"/>
        </w:rPr>
        <w:t xml:space="preserve">. </w:t>
      </w:r>
      <w:r w:rsidR="00D749B8" w:rsidRPr="003B4D35">
        <w:rPr>
          <w:bCs/>
          <w:snapToGrid w:val="0"/>
        </w:rPr>
        <w:t>M</w:t>
      </w:r>
      <w:r w:rsidR="0037616B" w:rsidRPr="003B4D35">
        <w:rPr>
          <w:bCs/>
          <w:snapToGrid w:val="0"/>
        </w:rPr>
        <w:t xml:space="preserve">ild and moderate AE rates </w:t>
      </w:r>
      <w:r w:rsidR="00D749B8" w:rsidRPr="003B4D35">
        <w:rPr>
          <w:bCs/>
          <w:snapToGrid w:val="0"/>
        </w:rPr>
        <w:t>(most commonly hypotension and venous access problems) were</w:t>
      </w:r>
      <w:r w:rsidR="0037616B" w:rsidRPr="003B4D35">
        <w:rPr>
          <w:bCs/>
          <w:snapToGrid w:val="0"/>
        </w:rPr>
        <w:t xml:space="preserve"> </w:t>
      </w:r>
      <w:r w:rsidR="00D749B8" w:rsidRPr="003B4D35">
        <w:rPr>
          <w:bCs/>
          <w:snapToGrid w:val="0"/>
        </w:rPr>
        <w:t xml:space="preserve">reported as </w:t>
      </w:r>
      <w:r w:rsidR="0037616B" w:rsidRPr="003B4D35">
        <w:rPr>
          <w:bCs/>
          <w:snapToGrid w:val="0"/>
        </w:rPr>
        <w:t>4.75% of patients and 5.31% of PE procedures</w:t>
      </w:r>
      <w:r w:rsidR="00D749B8" w:rsidRPr="003B4D35">
        <w:rPr>
          <w:bCs/>
          <w:snapToGrid w:val="0"/>
        </w:rPr>
        <w:t xml:space="preserve"> in the remaining studies.</w:t>
      </w:r>
      <w:r w:rsidR="0037616B" w:rsidRPr="003B4D35">
        <w:rPr>
          <w:bCs/>
          <w:snapToGrid w:val="0"/>
        </w:rPr>
        <w:t xml:space="preserve"> </w:t>
      </w:r>
      <w:r w:rsidR="00D749B8" w:rsidRPr="003B4D35">
        <w:rPr>
          <w:bCs/>
          <w:snapToGrid w:val="0"/>
        </w:rPr>
        <w:t>S</w:t>
      </w:r>
      <w:r w:rsidR="0037616B" w:rsidRPr="003B4D35">
        <w:rPr>
          <w:bCs/>
          <w:snapToGrid w:val="0"/>
        </w:rPr>
        <w:t xml:space="preserve">evere AEs </w:t>
      </w:r>
      <w:r w:rsidR="00D749B8" w:rsidRPr="003B4D35">
        <w:rPr>
          <w:bCs/>
          <w:snapToGrid w:val="0"/>
        </w:rPr>
        <w:t xml:space="preserve">in these studies were reported </w:t>
      </w:r>
      <w:r w:rsidR="0037616B" w:rsidRPr="003B4D35">
        <w:rPr>
          <w:bCs/>
          <w:snapToGrid w:val="0"/>
        </w:rPr>
        <w:t>at rates of 1.68% and 0.12% of procedures</w:t>
      </w:r>
      <w:r w:rsidR="00D749B8" w:rsidRPr="003B4D35">
        <w:rPr>
          <w:bCs/>
          <w:snapToGrid w:val="0"/>
        </w:rPr>
        <w:t xml:space="preserve"> and included</w:t>
      </w:r>
      <w:r w:rsidR="0037616B" w:rsidRPr="003B4D35">
        <w:rPr>
          <w:bCs/>
          <w:snapToGrid w:val="0"/>
        </w:rPr>
        <w:t xml:space="preserve"> hypotension, anaphylactic reaction, and death due to neurological disease and septic shock. In general, rates of AEs associated with PE were moderately low</w:t>
      </w:r>
      <w:r w:rsidR="00F162E4" w:rsidRPr="003B4D35">
        <w:rPr>
          <w:bCs/>
          <w:snapToGrid w:val="0"/>
        </w:rPr>
        <w:t xml:space="preserve">; procedures performed by central access were associated with more severe AEs, while peripheral access was associated with more </w:t>
      </w:r>
      <w:r w:rsidR="00800624" w:rsidRPr="003B4D35">
        <w:rPr>
          <w:bCs/>
          <w:snapToGrid w:val="0"/>
        </w:rPr>
        <w:t xml:space="preserve">vascular </w:t>
      </w:r>
      <w:r w:rsidR="00F162E4" w:rsidRPr="003B4D35">
        <w:rPr>
          <w:bCs/>
          <w:snapToGrid w:val="0"/>
        </w:rPr>
        <w:t>access problems</w:t>
      </w:r>
      <w:r w:rsidR="0037616B" w:rsidRPr="003B4D35">
        <w:rPr>
          <w:bCs/>
          <w:snapToGrid w:val="0"/>
        </w:rPr>
        <w:t>.</w:t>
      </w:r>
    </w:p>
    <w:p w14:paraId="7FCC1C2E" w14:textId="4C9CED2A" w:rsidR="0037616B" w:rsidRPr="003B4D35" w:rsidRDefault="0037616B" w:rsidP="0037616B">
      <w:pPr>
        <w:pStyle w:val="Heading2"/>
        <w:rPr>
          <w:snapToGrid w:val="0"/>
        </w:rPr>
      </w:pPr>
      <w:r w:rsidRPr="003B4D35">
        <w:rPr>
          <w:snapToGrid w:val="0"/>
        </w:rPr>
        <w:t xml:space="preserve">Adverse events associated with </w:t>
      </w:r>
      <w:r w:rsidR="00FD04C5" w:rsidRPr="003B4D35">
        <w:rPr>
          <w:snapToGrid w:val="0"/>
        </w:rPr>
        <w:t>long-term Ig use</w:t>
      </w:r>
    </w:p>
    <w:p w14:paraId="4538633A" w14:textId="1689696C" w:rsidR="00313C00" w:rsidRPr="003B4D35" w:rsidRDefault="00313C00" w:rsidP="00A36DE2">
      <w:pPr>
        <w:tabs>
          <w:tab w:val="left" w:pos="720"/>
          <w:tab w:val="left" w:pos="1140"/>
        </w:tabs>
        <w:spacing w:before="120"/>
        <w:rPr>
          <w:bCs/>
          <w:snapToGrid w:val="0"/>
        </w:rPr>
      </w:pPr>
      <w:r w:rsidRPr="003B4D35">
        <w:rPr>
          <w:bCs/>
          <w:snapToGrid w:val="0"/>
        </w:rPr>
        <w:t>One retrospective study (Waheed et al. 2019)</w:t>
      </w:r>
      <w:r w:rsidR="00F870B6" w:rsidRPr="003B4D35">
        <w:rPr>
          <w:rStyle w:val="FootnoteReference"/>
          <w:bCs/>
          <w:snapToGrid w:val="0"/>
        </w:rPr>
        <w:footnoteReference w:id="17"/>
      </w:r>
      <w:r w:rsidRPr="003B4D35">
        <w:rPr>
          <w:bCs/>
          <w:snapToGrid w:val="0"/>
        </w:rPr>
        <w:t xml:space="preserve"> analysed AEs in patients</w:t>
      </w:r>
      <w:r w:rsidR="00FD04C5" w:rsidRPr="003B4D35">
        <w:rPr>
          <w:bCs/>
          <w:snapToGrid w:val="0"/>
        </w:rPr>
        <w:t xml:space="preserve"> (n=438)</w:t>
      </w:r>
      <w:r w:rsidRPr="003B4D35">
        <w:rPr>
          <w:bCs/>
          <w:snapToGrid w:val="0"/>
        </w:rPr>
        <w:t xml:space="preserve"> with neuromuscular diseases, 50.5% of whom had CIDP</w:t>
      </w:r>
      <w:r w:rsidR="00FD04C5" w:rsidRPr="003B4D35">
        <w:rPr>
          <w:bCs/>
          <w:snapToGrid w:val="0"/>
        </w:rPr>
        <w:t xml:space="preserve"> (n=221)</w:t>
      </w:r>
      <w:r w:rsidRPr="003B4D35">
        <w:rPr>
          <w:bCs/>
          <w:snapToGrid w:val="0"/>
        </w:rPr>
        <w:t xml:space="preserve">. The median follow-up period was 21 weeks. </w:t>
      </w:r>
    </w:p>
    <w:p w14:paraId="546217F5" w14:textId="326AC5F0" w:rsidR="0037616B" w:rsidRPr="003B4D35" w:rsidRDefault="0037616B" w:rsidP="00A36DE2">
      <w:pPr>
        <w:tabs>
          <w:tab w:val="left" w:pos="720"/>
          <w:tab w:val="left" w:pos="1140"/>
        </w:tabs>
        <w:rPr>
          <w:bCs/>
          <w:snapToGrid w:val="0"/>
        </w:rPr>
      </w:pPr>
      <w:r w:rsidRPr="003B4D35">
        <w:rPr>
          <w:bCs/>
          <w:snapToGrid w:val="0"/>
        </w:rPr>
        <w:t>AEs occurred in 2.9% of infusions and 16.9% of patients with autoimmune neurological conditions receiving IVIg in an outpatient setting. In a CIDP sub-group, AEs occurred in 1.9% of infusions and 12.2% of patients. The most frequent AEs were headache, hypertension, rash and nausea, but the rates of these were generally low. Serious AEs were rare.</w:t>
      </w:r>
    </w:p>
    <w:p w14:paraId="523DE699" w14:textId="77777777" w:rsidR="0037616B" w:rsidRPr="003B4D35" w:rsidRDefault="0037616B" w:rsidP="00A36DE2">
      <w:pPr>
        <w:tabs>
          <w:tab w:val="left" w:pos="720"/>
          <w:tab w:val="left" w:pos="1140"/>
        </w:tabs>
        <w:rPr>
          <w:bCs/>
          <w:snapToGrid w:val="0"/>
        </w:rPr>
      </w:pPr>
      <w:r w:rsidRPr="003B4D35">
        <w:rPr>
          <w:bCs/>
          <w:snapToGrid w:val="0"/>
        </w:rPr>
        <w:t xml:space="preserve">Multivariate analyses found that first lifetime course of IVIg and higher IVIg dose (0.5 – 0.99 g/kg) were found to be associated with a higher risk of some AEs. </w:t>
      </w:r>
    </w:p>
    <w:p w14:paraId="4C146902" w14:textId="2756F1BA" w:rsidR="0037616B" w:rsidRPr="003B4D35" w:rsidRDefault="0037616B" w:rsidP="00A36DE2">
      <w:pPr>
        <w:tabs>
          <w:tab w:val="left" w:pos="720"/>
          <w:tab w:val="left" w:pos="1140"/>
        </w:tabs>
      </w:pPr>
      <w:r w:rsidRPr="003B4D35">
        <w:rPr>
          <w:bCs/>
          <w:snapToGrid w:val="0"/>
        </w:rPr>
        <w:t>Two SCIg doses (0.2 g/kg and 0.4 g/kg) had similar AE rates and serious AE rates over a 24-week randomised trial.</w:t>
      </w:r>
    </w:p>
    <w:p w14:paraId="4648667F" w14:textId="587A6E75" w:rsidR="0037616B" w:rsidRPr="003B4D35" w:rsidRDefault="00355C4D" w:rsidP="00355C4D">
      <w:pPr>
        <w:pStyle w:val="Caption"/>
      </w:pPr>
      <w:bookmarkStart w:id="8" w:name="_Ref58238706"/>
      <w:bookmarkStart w:id="9" w:name="_Toc69305666"/>
      <w:r w:rsidRPr="003B4D35">
        <w:rPr>
          <w:bCs w:val="0"/>
          <w:szCs w:val="22"/>
        </w:rPr>
        <w:lastRenderedPageBreak/>
        <w:t>Table 1</w:t>
      </w:r>
      <w:r w:rsidRPr="003B4D35">
        <w:rPr>
          <w:bCs w:val="0"/>
          <w:szCs w:val="22"/>
        </w:rPr>
        <w:tab/>
        <w:t xml:space="preserve">Comparison of adverse events reported in retrospective cohorts of patients receiving IVIg, PE or GC </w:t>
      </w:r>
      <w:bookmarkEnd w:id="8"/>
      <w:bookmarkEnd w:id="9"/>
    </w:p>
    <w:tbl>
      <w:tblPr>
        <w:tblStyle w:val="OPTUMTableNormal"/>
        <w:tblW w:w="4950" w:type="pct"/>
        <w:tblLook w:val="04A0" w:firstRow="1" w:lastRow="0" w:firstColumn="1" w:lastColumn="0" w:noHBand="0" w:noVBand="1"/>
        <w:tblCaption w:val="Comparison of adverse events reported in retrospective cohorts of patients receiving IVIg, PE or GC"/>
        <w:tblDescription w:val="Comparison of adverse events reported in retrospective cohorts of patients receiving IVIg, PE or GC"/>
      </w:tblPr>
      <w:tblGrid>
        <w:gridCol w:w="1696"/>
        <w:gridCol w:w="2553"/>
        <w:gridCol w:w="2412"/>
        <w:gridCol w:w="2265"/>
      </w:tblGrid>
      <w:tr w:rsidR="0037616B" w:rsidRPr="003B4D35" w14:paraId="2A753248" w14:textId="77777777" w:rsidTr="00104EA1">
        <w:trPr>
          <w:cnfStyle w:val="100000000000" w:firstRow="1" w:lastRow="0" w:firstColumn="0" w:lastColumn="0" w:oddVBand="0" w:evenVBand="0" w:oddHBand="0" w:evenHBand="0" w:firstRowFirstColumn="0" w:firstRowLastColumn="0" w:lastRowFirstColumn="0" w:lastRowLastColumn="0"/>
          <w:tblHeader/>
        </w:trPr>
        <w:tc>
          <w:tcPr>
            <w:tcW w:w="950" w:type="pct"/>
            <w:shd w:val="clear" w:color="auto" w:fill="auto"/>
          </w:tcPr>
          <w:p w14:paraId="6290FB10" w14:textId="77777777" w:rsidR="0037616B" w:rsidRPr="003B4D35" w:rsidRDefault="0037616B" w:rsidP="0037616B">
            <w:pPr>
              <w:keepNext/>
              <w:spacing w:after="40"/>
              <w:rPr>
                <w:rFonts w:ascii="Arial Narrow" w:hAnsi="Arial Narrow" w:cs="Tahoma"/>
                <w:b/>
                <w:sz w:val="20"/>
              </w:rPr>
            </w:pPr>
            <w:r w:rsidRPr="003B4D35">
              <w:rPr>
                <w:rFonts w:ascii="Arial Narrow" w:hAnsi="Arial Narrow" w:cs="Tahoma"/>
                <w:b/>
                <w:sz w:val="20"/>
              </w:rPr>
              <w:t>Description</w:t>
            </w:r>
          </w:p>
        </w:tc>
        <w:tc>
          <w:tcPr>
            <w:tcW w:w="1430" w:type="pct"/>
            <w:shd w:val="clear" w:color="auto" w:fill="auto"/>
          </w:tcPr>
          <w:p w14:paraId="6EFC8859" w14:textId="77777777" w:rsidR="0037616B" w:rsidRPr="003B4D35" w:rsidRDefault="0037616B" w:rsidP="0037616B">
            <w:pPr>
              <w:keepNext/>
              <w:spacing w:after="40"/>
              <w:rPr>
                <w:rFonts w:ascii="Arial Narrow" w:hAnsi="Arial Narrow" w:cs="Tahoma"/>
                <w:b/>
                <w:sz w:val="20"/>
              </w:rPr>
            </w:pPr>
            <w:r w:rsidRPr="003B4D35">
              <w:rPr>
                <w:rFonts w:ascii="Arial Narrow" w:hAnsi="Arial Narrow" w:cs="Tahoma"/>
                <w:b/>
                <w:sz w:val="20"/>
              </w:rPr>
              <w:t>IVIg</w:t>
            </w:r>
          </w:p>
        </w:tc>
        <w:tc>
          <w:tcPr>
            <w:tcW w:w="1351" w:type="pct"/>
            <w:shd w:val="clear" w:color="auto" w:fill="auto"/>
          </w:tcPr>
          <w:p w14:paraId="6907C1FB" w14:textId="77777777" w:rsidR="0037616B" w:rsidRPr="003B4D35" w:rsidRDefault="0037616B" w:rsidP="0037616B">
            <w:pPr>
              <w:keepNext/>
              <w:spacing w:after="40"/>
              <w:rPr>
                <w:rFonts w:ascii="Arial Narrow" w:hAnsi="Arial Narrow" w:cs="Tahoma"/>
                <w:b/>
                <w:sz w:val="20"/>
              </w:rPr>
            </w:pPr>
            <w:r w:rsidRPr="003B4D35">
              <w:rPr>
                <w:rFonts w:ascii="Arial Narrow" w:hAnsi="Arial Narrow" w:cs="Tahoma"/>
                <w:b/>
                <w:sz w:val="20"/>
              </w:rPr>
              <w:t>PE</w:t>
            </w:r>
          </w:p>
        </w:tc>
        <w:tc>
          <w:tcPr>
            <w:tcW w:w="1269" w:type="pct"/>
            <w:shd w:val="clear" w:color="auto" w:fill="auto"/>
          </w:tcPr>
          <w:p w14:paraId="69A99991" w14:textId="77777777" w:rsidR="0037616B" w:rsidRPr="003B4D35" w:rsidRDefault="0037616B" w:rsidP="0037616B">
            <w:pPr>
              <w:keepNext/>
              <w:spacing w:after="40"/>
              <w:rPr>
                <w:rFonts w:ascii="Arial Narrow" w:hAnsi="Arial Narrow" w:cs="Tahoma"/>
                <w:b/>
                <w:sz w:val="20"/>
              </w:rPr>
            </w:pPr>
            <w:r w:rsidRPr="003B4D35">
              <w:rPr>
                <w:rFonts w:ascii="Arial Narrow" w:hAnsi="Arial Narrow" w:cs="Tahoma"/>
                <w:b/>
                <w:sz w:val="20"/>
              </w:rPr>
              <w:t>GC</w:t>
            </w:r>
          </w:p>
        </w:tc>
      </w:tr>
      <w:tr w:rsidR="0037616B" w:rsidRPr="003B4D35" w14:paraId="0010A58C" w14:textId="77777777" w:rsidTr="00104EA1">
        <w:tc>
          <w:tcPr>
            <w:tcW w:w="950" w:type="pct"/>
            <w:shd w:val="clear" w:color="auto" w:fill="auto"/>
          </w:tcPr>
          <w:p w14:paraId="6D16CF7E"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Population</w:t>
            </w:r>
          </w:p>
        </w:tc>
        <w:tc>
          <w:tcPr>
            <w:tcW w:w="1430" w:type="pct"/>
            <w:shd w:val="clear" w:color="auto" w:fill="auto"/>
          </w:tcPr>
          <w:p w14:paraId="1F22FEB9"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Outpatients with autoimmune neurological disorders including CIDP (50.5%)</w:t>
            </w:r>
          </w:p>
          <w:p w14:paraId="1C92D30E"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 xml:space="preserve">All patients : n = 438 </w:t>
            </w:r>
          </w:p>
          <w:p w14:paraId="47B77D61"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CIDP = 221</w:t>
            </w:r>
          </w:p>
          <w:p w14:paraId="6551BC0A"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Infusions all: 5867</w:t>
            </w:r>
          </w:p>
          <w:p w14:paraId="0BA7C89E"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Infusions CIDP: 3256</w:t>
            </w:r>
          </w:p>
        </w:tc>
        <w:tc>
          <w:tcPr>
            <w:tcW w:w="1351" w:type="pct"/>
            <w:shd w:val="clear" w:color="auto" w:fill="auto"/>
          </w:tcPr>
          <w:p w14:paraId="3EC807FA"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Patients with malignancy, neurological or haematological disorders</w:t>
            </w:r>
          </w:p>
          <w:p w14:paraId="1AE6CC9A" w14:textId="77777777" w:rsidR="0037616B" w:rsidRPr="003B4D35" w:rsidRDefault="0037616B" w:rsidP="0037616B">
            <w:pPr>
              <w:spacing w:after="40"/>
              <w:rPr>
                <w:rFonts w:ascii="Arial Narrow" w:hAnsi="Arial Narrow" w:cs="Tahoma"/>
                <w:sz w:val="20"/>
              </w:rPr>
            </w:pPr>
          </w:p>
        </w:tc>
        <w:tc>
          <w:tcPr>
            <w:tcW w:w="1269" w:type="pct"/>
            <w:shd w:val="clear" w:color="auto" w:fill="auto"/>
          </w:tcPr>
          <w:p w14:paraId="2343EE10"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Autoimmune disorders including RA, SLE, GCA, and CIDP; asthma and lung diseases</w:t>
            </w:r>
          </w:p>
        </w:tc>
      </w:tr>
      <w:tr w:rsidR="0037616B" w:rsidRPr="003B4D35" w14:paraId="62E1A196" w14:textId="77777777" w:rsidTr="00104EA1">
        <w:tc>
          <w:tcPr>
            <w:tcW w:w="950" w:type="pct"/>
            <w:shd w:val="clear" w:color="auto" w:fill="auto"/>
          </w:tcPr>
          <w:p w14:paraId="19AB9526"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Observation period</w:t>
            </w:r>
          </w:p>
          <w:p w14:paraId="66858980"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Follow-up time</w:t>
            </w:r>
          </w:p>
        </w:tc>
        <w:tc>
          <w:tcPr>
            <w:tcW w:w="1430" w:type="pct"/>
            <w:shd w:val="clear" w:color="auto" w:fill="auto"/>
          </w:tcPr>
          <w:p w14:paraId="2BF8F1ED"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7 months</w:t>
            </w:r>
          </w:p>
          <w:p w14:paraId="0865CD1E"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Median follow-up (IQR): 21 (7, 21) weeks</w:t>
            </w:r>
          </w:p>
        </w:tc>
        <w:tc>
          <w:tcPr>
            <w:tcW w:w="1351" w:type="pct"/>
            <w:shd w:val="clear" w:color="auto" w:fill="auto"/>
          </w:tcPr>
          <w:p w14:paraId="447ABE55"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NR</w:t>
            </w:r>
          </w:p>
        </w:tc>
        <w:tc>
          <w:tcPr>
            <w:tcW w:w="1269" w:type="pct"/>
            <w:shd w:val="clear" w:color="auto" w:fill="auto"/>
          </w:tcPr>
          <w:p w14:paraId="33E492D4"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6 months to 5 years</w:t>
            </w:r>
          </w:p>
        </w:tc>
      </w:tr>
      <w:tr w:rsidR="0037616B" w:rsidRPr="003B4D35" w14:paraId="04F05580" w14:textId="77777777" w:rsidTr="00104EA1">
        <w:tc>
          <w:tcPr>
            <w:tcW w:w="950" w:type="pct"/>
            <w:shd w:val="clear" w:color="auto" w:fill="auto"/>
          </w:tcPr>
          <w:p w14:paraId="0500D7C7"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Mild or moderate AEs</w:t>
            </w:r>
          </w:p>
        </w:tc>
        <w:tc>
          <w:tcPr>
            <w:tcW w:w="1430" w:type="pct"/>
            <w:shd w:val="clear" w:color="auto" w:fill="auto"/>
          </w:tcPr>
          <w:p w14:paraId="0C62B06F"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16.9% of all patients</w:t>
            </w:r>
          </w:p>
          <w:p w14:paraId="41173C36"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2.9% of all infusions</w:t>
            </w:r>
          </w:p>
          <w:p w14:paraId="336DABB3"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12.2% of CIDP patients</w:t>
            </w:r>
          </w:p>
          <w:p w14:paraId="1160C1D4"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1.9% of CIDP infusions</w:t>
            </w:r>
          </w:p>
        </w:tc>
        <w:tc>
          <w:tcPr>
            <w:tcW w:w="1351" w:type="pct"/>
            <w:shd w:val="clear" w:color="auto" w:fill="auto"/>
          </w:tcPr>
          <w:p w14:paraId="47F8A6A6"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2.05% of patients</w:t>
            </w:r>
          </w:p>
          <w:p w14:paraId="291E16D5" w14:textId="39C511FD" w:rsidR="0037616B" w:rsidRPr="003B4D35" w:rsidRDefault="0037616B" w:rsidP="0037616B">
            <w:pPr>
              <w:spacing w:after="40"/>
              <w:rPr>
                <w:rFonts w:ascii="Arial Narrow" w:hAnsi="Arial Narrow" w:cs="Tahoma"/>
                <w:sz w:val="20"/>
              </w:rPr>
            </w:pPr>
            <w:r w:rsidRPr="003B4D35">
              <w:rPr>
                <w:rFonts w:ascii="Arial Narrow" w:hAnsi="Arial Narrow" w:cs="Tahoma"/>
                <w:sz w:val="20"/>
              </w:rPr>
              <w:t xml:space="preserve">4.75% to </w:t>
            </w:r>
            <w:r w:rsidR="00591A5C">
              <w:rPr>
                <w:rFonts w:ascii="Arial Narrow" w:hAnsi="Arial Narrow" w:cs="Tahoma"/>
                <w:sz w:val="20"/>
              </w:rPr>
              <w:t>8</w:t>
            </w:r>
            <w:r w:rsidRPr="003B4D35">
              <w:rPr>
                <w:rFonts w:ascii="Arial Narrow" w:hAnsi="Arial Narrow" w:cs="Tahoma"/>
                <w:sz w:val="20"/>
              </w:rPr>
              <w:t>% of procedures</w:t>
            </w:r>
          </w:p>
        </w:tc>
        <w:tc>
          <w:tcPr>
            <w:tcW w:w="1269" w:type="pct"/>
            <w:shd w:val="clear" w:color="auto" w:fill="auto"/>
          </w:tcPr>
          <w:p w14:paraId="025EABC5"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Up to 37.9% of patients per AE (only most common AEs were reported)</w:t>
            </w:r>
          </w:p>
        </w:tc>
      </w:tr>
      <w:tr w:rsidR="0037616B" w:rsidRPr="003B4D35" w14:paraId="431E8C82" w14:textId="77777777" w:rsidTr="00104EA1">
        <w:tc>
          <w:tcPr>
            <w:tcW w:w="950" w:type="pct"/>
            <w:shd w:val="clear" w:color="auto" w:fill="auto"/>
          </w:tcPr>
          <w:p w14:paraId="130CB412"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Serious AEs</w:t>
            </w:r>
          </w:p>
        </w:tc>
        <w:tc>
          <w:tcPr>
            <w:tcW w:w="1430" w:type="pct"/>
            <w:shd w:val="clear" w:color="auto" w:fill="auto"/>
          </w:tcPr>
          <w:p w14:paraId="6964D338"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0.8% of all patients</w:t>
            </w:r>
          </w:p>
          <w:p w14:paraId="5C08013E"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0.5% of CIDP patients</w:t>
            </w:r>
          </w:p>
        </w:tc>
        <w:tc>
          <w:tcPr>
            <w:tcW w:w="1351" w:type="pct"/>
            <w:shd w:val="clear" w:color="auto" w:fill="auto"/>
          </w:tcPr>
          <w:p w14:paraId="3A248D47"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0.1% to 1.68% of procedures</w:t>
            </w:r>
          </w:p>
        </w:tc>
        <w:tc>
          <w:tcPr>
            <w:tcW w:w="1269" w:type="pct"/>
            <w:shd w:val="clear" w:color="auto" w:fill="auto"/>
          </w:tcPr>
          <w:p w14:paraId="274CA9E5"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1.6% of CIDP patients</w:t>
            </w:r>
          </w:p>
        </w:tc>
      </w:tr>
      <w:tr w:rsidR="0037616B" w:rsidRPr="003B4D35" w14:paraId="0FDD5CF4" w14:textId="77777777" w:rsidTr="00104EA1">
        <w:tc>
          <w:tcPr>
            <w:tcW w:w="950" w:type="pct"/>
            <w:shd w:val="clear" w:color="auto" w:fill="auto"/>
          </w:tcPr>
          <w:p w14:paraId="06013AA9"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Most common AEs</w:t>
            </w:r>
          </w:p>
        </w:tc>
        <w:tc>
          <w:tcPr>
            <w:tcW w:w="1430" w:type="pct"/>
            <w:shd w:val="clear" w:color="auto" w:fill="auto"/>
          </w:tcPr>
          <w:p w14:paraId="78341A4A"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Headache</w:t>
            </w:r>
          </w:p>
          <w:p w14:paraId="01E1923B"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Hypertension</w:t>
            </w:r>
          </w:p>
          <w:p w14:paraId="45B392F6"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Rash</w:t>
            </w:r>
          </w:p>
          <w:p w14:paraId="1519C3AF" w14:textId="77777777" w:rsidR="0037616B" w:rsidRPr="003B4D35" w:rsidRDefault="0037616B" w:rsidP="0037616B">
            <w:pPr>
              <w:spacing w:after="40"/>
              <w:rPr>
                <w:rFonts w:ascii="Arial Narrow" w:hAnsi="Arial Narrow" w:cs="Calibri"/>
                <w:color w:val="000000"/>
                <w:szCs w:val="18"/>
              </w:rPr>
            </w:pPr>
            <w:r w:rsidRPr="003B4D35">
              <w:rPr>
                <w:rFonts w:ascii="Arial Narrow" w:hAnsi="Arial Narrow" w:cs="Tahoma"/>
                <w:sz w:val="20"/>
              </w:rPr>
              <w:t>Nausea</w:t>
            </w:r>
            <w:r w:rsidRPr="003B4D35">
              <w:rPr>
                <w:rFonts w:ascii="Arial Narrow" w:hAnsi="Arial Narrow" w:cs="Calibri"/>
                <w:color w:val="000000"/>
                <w:szCs w:val="18"/>
              </w:rPr>
              <w:t xml:space="preserve"> </w:t>
            </w:r>
          </w:p>
        </w:tc>
        <w:tc>
          <w:tcPr>
            <w:tcW w:w="1351" w:type="pct"/>
            <w:shd w:val="clear" w:color="auto" w:fill="auto"/>
          </w:tcPr>
          <w:p w14:paraId="1874D2AA"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Hypotension</w:t>
            </w:r>
          </w:p>
          <w:p w14:paraId="54C27F2D"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Poor venous access</w:t>
            </w:r>
          </w:p>
          <w:p w14:paraId="4495BCC3" w14:textId="3C421D42" w:rsidR="0037616B" w:rsidRPr="003B4D35" w:rsidRDefault="0037616B" w:rsidP="0037616B">
            <w:pPr>
              <w:spacing w:after="40"/>
              <w:rPr>
                <w:rFonts w:ascii="Arial Narrow" w:hAnsi="Arial Narrow" w:cs="Tahoma"/>
                <w:sz w:val="20"/>
              </w:rPr>
            </w:pPr>
            <w:r w:rsidRPr="003B4D35">
              <w:rPr>
                <w:rFonts w:ascii="Arial Narrow" w:hAnsi="Arial Narrow" w:cs="Tahoma"/>
                <w:sz w:val="20"/>
              </w:rPr>
              <w:t xml:space="preserve">Tingling, </w:t>
            </w:r>
            <w:r w:rsidR="00124CA5" w:rsidRPr="003B4D35">
              <w:rPr>
                <w:rFonts w:ascii="Arial Narrow" w:hAnsi="Arial Narrow" w:cs="Tahoma"/>
                <w:sz w:val="20"/>
              </w:rPr>
              <w:t>paraesthesia</w:t>
            </w:r>
          </w:p>
          <w:p w14:paraId="3F774F65"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Infection</w:t>
            </w:r>
          </w:p>
          <w:p w14:paraId="5F2DA544"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Urticaria</w:t>
            </w:r>
          </w:p>
          <w:p w14:paraId="7529F7CB"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Nausea, vomiting</w:t>
            </w:r>
          </w:p>
          <w:p w14:paraId="66141BA2"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Electrolytic disorder</w:t>
            </w:r>
          </w:p>
          <w:p w14:paraId="2C74FD7B"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 xml:space="preserve">Haematoma </w:t>
            </w:r>
          </w:p>
        </w:tc>
        <w:tc>
          <w:tcPr>
            <w:tcW w:w="1269" w:type="pct"/>
            <w:shd w:val="clear" w:color="auto" w:fill="auto"/>
          </w:tcPr>
          <w:p w14:paraId="1F2D132E"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Serious infection</w:t>
            </w:r>
          </w:p>
          <w:p w14:paraId="1F4587BB"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Sleep disturbance</w:t>
            </w:r>
          </w:p>
          <w:p w14:paraId="4974D75E"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Hypertension</w:t>
            </w:r>
          </w:p>
          <w:p w14:paraId="22770119"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Fracture and osteoporosis</w:t>
            </w:r>
          </w:p>
          <w:p w14:paraId="4A71EEA7" w14:textId="77777777" w:rsidR="0037616B" w:rsidRPr="003B4D35" w:rsidRDefault="0037616B" w:rsidP="0037616B">
            <w:pPr>
              <w:spacing w:after="40"/>
              <w:rPr>
                <w:rFonts w:ascii="Arial Narrow" w:hAnsi="Arial Narrow" w:cs="Tahoma"/>
                <w:sz w:val="20"/>
              </w:rPr>
            </w:pPr>
            <w:r w:rsidRPr="003B4D35">
              <w:rPr>
                <w:rFonts w:ascii="Arial Narrow" w:hAnsi="Arial Narrow" w:cs="Tahoma"/>
                <w:sz w:val="20"/>
              </w:rPr>
              <w:t>Weight gain</w:t>
            </w:r>
          </w:p>
        </w:tc>
      </w:tr>
    </w:tbl>
    <w:p w14:paraId="3A43BFC7" w14:textId="77777777" w:rsidR="0037616B" w:rsidRPr="003B4D35" w:rsidRDefault="0037616B" w:rsidP="00CD059B">
      <w:pPr>
        <w:spacing w:after="200"/>
        <w:ind w:right="57"/>
        <w:contextualSpacing/>
        <w:rPr>
          <w:rFonts w:ascii="Arial Narrow" w:eastAsia="Calibri" w:hAnsi="Arial Narrow"/>
          <w:sz w:val="18"/>
          <w:szCs w:val="18"/>
          <w:lang w:eastAsia="en-US"/>
        </w:rPr>
      </w:pPr>
      <w:r w:rsidRPr="003B4D35">
        <w:rPr>
          <w:rFonts w:ascii="Arial Narrow" w:eastAsia="Calibri" w:hAnsi="Arial Narrow"/>
          <w:sz w:val="18"/>
          <w:szCs w:val="18"/>
          <w:lang w:eastAsia="en-US"/>
        </w:rPr>
        <w:t xml:space="preserve">Abbreviations: AE = adverse event; CIDP = chronic inflammatory demyelinating polyneuropathy; GC = glucocorticoid therapy; GCA = giant cell arteritis; IVIg = intravenous immunoglobulin therapy; RA = rheumatoid arthritis; SLE = systemic lupus erythematosus </w:t>
      </w:r>
    </w:p>
    <w:p w14:paraId="0AF027B9" w14:textId="64916B0F" w:rsidR="00551222" w:rsidRPr="003B4D35" w:rsidRDefault="0037616B" w:rsidP="00CD059B">
      <w:pPr>
        <w:spacing w:before="120" w:after="120" w:line="312" w:lineRule="auto"/>
        <w:rPr>
          <w:rFonts w:ascii="Arial Narrow" w:eastAsia="Calibri" w:hAnsi="Arial Narrow"/>
          <w:sz w:val="18"/>
          <w:szCs w:val="18"/>
          <w:lang w:eastAsia="en-US"/>
        </w:rPr>
      </w:pPr>
      <w:r w:rsidRPr="003B4D35">
        <w:rPr>
          <w:rFonts w:ascii="Arial Narrow" w:eastAsia="Calibri" w:hAnsi="Arial Narrow"/>
          <w:sz w:val="18"/>
          <w:szCs w:val="18"/>
          <w:lang w:eastAsia="en-US"/>
        </w:rPr>
        <w:t xml:space="preserve">SOURCE: Table 25 </w:t>
      </w:r>
      <w:r w:rsidR="0084530D">
        <w:rPr>
          <w:rFonts w:ascii="Arial Narrow" w:eastAsia="Calibri" w:hAnsi="Arial Narrow"/>
          <w:sz w:val="18"/>
          <w:szCs w:val="18"/>
          <w:lang w:eastAsia="en-US"/>
        </w:rPr>
        <w:t>(</w:t>
      </w:r>
      <w:r w:rsidR="0084530D">
        <w:rPr>
          <w:rFonts w:ascii="Arial Narrow" w:eastAsia="Calibri" w:hAnsi="Arial Narrow"/>
          <w:b/>
          <w:bCs/>
          <w:sz w:val="18"/>
          <w:szCs w:val="18"/>
          <w:lang w:eastAsia="en-US"/>
        </w:rPr>
        <w:t>c</w:t>
      </w:r>
      <w:r w:rsidR="0084530D" w:rsidRPr="00076F94">
        <w:rPr>
          <w:rFonts w:ascii="Arial Narrow" w:eastAsia="Calibri" w:hAnsi="Arial Narrow"/>
          <w:b/>
          <w:bCs/>
          <w:sz w:val="18"/>
          <w:szCs w:val="18"/>
          <w:lang w:eastAsia="en-US"/>
        </w:rPr>
        <w:t>orrected</w:t>
      </w:r>
      <w:r w:rsidR="0084530D">
        <w:rPr>
          <w:rFonts w:ascii="Arial Narrow" w:eastAsia="Calibri" w:hAnsi="Arial Narrow"/>
          <w:sz w:val="18"/>
          <w:szCs w:val="18"/>
          <w:lang w:eastAsia="en-US"/>
        </w:rPr>
        <w:t xml:space="preserve"> as per Erratum) </w:t>
      </w:r>
      <w:r w:rsidRPr="003B4D35">
        <w:rPr>
          <w:rFonts w:ascii="Arial Narrow" w:eastAsia="Calibri" w:hAnsi="Arial Narrow"/>
          <w:sz w:val="18"/>
          <w:szCs w:val="18"/>
          <w:lang w:eastAsia="en-US"/>
        </w:rPr>
        <w:t>of Mittal R, Milverton J, Schubert C, Parsons J (2021). Immunoglobulin for Chronic Inflammatory Demyelinating Polyneuropathy (CIDP). MSAC Application 1564.1, Re-submission assessment Report. Commonwealth of Australia, Canberra, ACT</w:t>
      </w:r>
      <w:r w:rsidR="00591A5C">
        <w:rPr>
          <w:rFonts w:ascii="Arial Narrow" w:eastAsia="Calibri" w:hAnsi="Arial Narrow"/>
          <w:sz w:val="18"/>
          <w:szCs w:val="18"/>
          <w:lang w:eastAsia="en-US"/>
        </w:rPr>
        <w:t xml:space="preserve"> </w:t>
      </w:r>
    </w:p>
    <w:p w14:paraId="56F2AE84" w14:textId="2274FF1A" w:rsidR="00206760" w:rsidRPr="008B6093" w:rsidRDefault="00065623" w:rsidP="008B6093">
      <w:pPr>
        <w:pStyle w:val="Heading1"/>
        <w:rPr>
          <w:rFonts w:ascii="Arial" w:hAnsi="Arial" w:cs="Arial"/>
        </w:rPr>
      </w:pPr>
      <w:r w:rsidRPr="008B6093">
        <w:rPr>
          <w:rFonts w:ascii="Arial" w:hAnsi="Arial" w:cs="Arial"/>
        </w:rPr>
        <w:t>Comparative effectiveness</w:t>
      </w:r>
    </w:p>
    <w:p w14:paraId="29F6BABC" w14:textId="652338E3" w:rsidR="00DF74B2" w:rsidRPr="003B4D35" w:rsidRDefault="00990773" w:rsidP="008B6093">
      <w:pPr>
        <w:tabs>
          <w:tab w:val="left" w:pos="720"/>
          <w:tab w:val="left" w:pos="1140"/>
        </w:tabs>
        <w:rPr>
          <w:bCs/>
          <w:snapToGrid w:val="0"/>
        </w:rPr>
      </w:pPr>
      <w:r w:rsidRPr="003B4D35">
        <w:rPr>
          <w:bCs/>
          <w:snapToGrid w:val="0"/>
        </w:rPr>
        <w:t xml:space="preserve">The original DCAR found that evidence was of mixed-quality, trials were small, follow-up duration was short, and the relative long-term effectiveness of any of the treatments for CIDP was uncertain. </w:t>
      </w:r>
      <w:r w:rsidR="009330D6" w:rsidRPr="003B4D35">
        <w:rPr>
          <w:bCs/>
          <w:snapToGrid w:val="0"/>
        </w:rPr>
        <w:t xml:space="preserve">As concluded in the original DCAR, </w:t>
      </w:r>
      <w:r w:rsidR="00D1735A" w:rsidRPr="003B4D35">
        <w:rPr>
          <w:bCs/>
          <w:snapToGrid w:val="0"/>
        </w:rPr>
        <w:t>evidence suggests</w:t>
      </w:r>
      <w:r w:rsidR="009330D6" w:rsidRPr="003B4D35">
        <w:rPr>
          <w:bCs/>
          <w:snapToGrid w:val="0"/>
        </w:rPr>
        <w:t xml:space="preserve"> that </w:t>
      </w:r>
      <w:r w:rsidR="00DF74B2" w:rsidRPr="003B4D35">
        <w:rPr>
          <w:bCs/>
          <w:snapToGrid w:val="0"/>
        </w:rPr>
        <w:t xml:space="preserve">Ig </w:t>
      </w:r>
      <w:r w:rsidR="009330D6" w:rsidRPr="003B4D35">
        <w:rPr>
          <w:bCs/>
          <w:snapToGrid w:val="0"/>
        </w:rPr>
        <w:t xml:space="preserve">is: superior to no treatment; at least non-inferior </w:t>
      </w:r>
      <w:r w:rsidR="00D1735A" w:rsidRPr="003B4D35">
        <w:rPr>
          <w:bCs/>
          <w:snapToGrid w:val="0"/>
        </w:rPr>
        <w:t xml:space="preserve">(possible superior) </w:t>
      </w:r>
      <w:r w:rsidR="009330D6" w:rsidRPr="003B4D35">
        <w:rPr>
          <w:bCs/>
          <w:snapToGrid w:val="0"/>
        </w:rPr>
        <w:t>to</w:t>
      </w:r>
      <w:r w:rsidR="005764BC">
        <w:rPr>
          <w:bCs/>
          <w:snapToGrid w:val="0"/>
        </w:rPr>
        <w:t xml:space="preserve"> corticosteroids</w:t>
      </w:r>
      <w:r w:rsidR="009330D6" w:rsidRPr="003B4D35">
        <w:rPr>
          <w:bCs/>
          <w:snapToGrid w:val="0"/>
        </w:rPr>
        <w:t xml:space="preserve">; and, there is insufficient evidence to determine the relative efficacy to PE or </w:t>
      </w:r>
      <w:r w:rsidR="001218F6" w:rsidRPr="003B4D35">
        <w:rPr>
          <w:bCs/>
          <w:snapToGrid w:val="0"/>
        </w:rPr>
        <w:t>immunosuppressants</w:t>
      </w:r>
      <w:r w:rsidR="009330D6" w:rsidRPr="003B4D35">
        <w:rPr>
          <w:bCs/>
          <w:snapToGrid w:val="0"/>
        </w:rPr>
        <w:t>.</w:t>
      </w:r>
    </w:p>
    <w:p w14:paraId="43829F4B" w14:textId="40C672E7" w:rsidR="00E46BFB" w:rsidRPr="003B4D35" w:rsidRDefault="00E46BFB" w:rsidP="008B6093">
      <w:pPr>
        <w:tabs>
          <w:tab w:val="left" w:pos="720"/>
          <w:tab w:val="left" w:pos="1140"/>
        </w:tabs>
        <w:rPr>
          <w:bCs/>
          <w:snapToGrid w:val="0"/>
        </w:rPr>
      </w:pPr>
      <w:r w:rsidRPr="003B4D35">
        <w:rPr>
          <w:bCs/>
          <w:snapToGrid w:val="0"/>
        </w:rPr>
        <w:t>In the revised DCAR, t</w:t>
      </w:r>
      <w:r w:rsidR="00990773" w:rsidRPr="003B4D35">
        <w:rPr>
          <w:bCs/>
          <w:snapToGrid w:val="0"/>
        </w:rPr>
        <w:t xml:space="preserve">wo RCTs </w:t>
      </w:r>
      <w:r w:rsidR="00FD04C5" w:rsidRPr="003B4D35">
        <w:rPr>
          <w:bCs/>
          <w:snapToGrid w:val="0"/>
        </w:rPr>
        <w:t xml:space="preserve">(Hartung et al 2019; Kuitwaard et al 2020b) </w:t>
      </w:r>
      <w:r w:rsidR="00990773" w:rsidRPr="003B4D35">
        <w:rPr>
          <w:bCs/>
          <w:snapToGrid w:val="0"/>
        </w:rPr>
        <w:t>met the inclusion criteria for the update of effectiveness data on IVIg or SCIg</w:t>
      </w:r>
      <w:r w:rsidRPr="003B4D35">
        <w:rPr>
          <w:bCs/>
          <w:snapToGrid w:val="0"/>
        </w:rPr>
        <w:t xml:space="preserve">. </w:t>
      </w:r>
    </w:p>
    <w:p w14:paraId="299B7634" w14:textId="08D6D94C" w:rsidR="00577497" w:rsidRPr="003B4D35" w:rsidRDefault="00990773" w:rsidP="008B6093">
      <w:pPr>
        <w:tabs>
          <w:tab w:val="left" w:pos="720"/>
          <w:tab w:val="left" w:pos="1140"/>
        </w:tabs>
        <w:rPr>
          <w:bCs/>
          <w:snapToGrid w:val="0"/>
        </w:rPr>
      </w:pPr>
      <w:r w:rsidRPr="003B4D35">
        <w:rPr>
          <w:bCs/>
          <w:snapToGrid w:val="0"/>
        </w:rPr>
        <w:t>Hartung et al (2019) reported on patient reported outcomes (PROs) and QoL from an RCT comparing two doses of SCIg</w:t>
      </w:r>
      <w:r w:rsidR="00FD04C5" w:rsidRPr="003B4D35">
        <w:rPr>
          <w:bCs/>
          <w:snapToGrid w:val="0"/>
        </w:rPr>
        <w:t xml:space="preserve"> (0.2 g/kg or 0.4 g/kg)</w:t>
      </w:r>
      <w:r w:rsidRPr="003B4D35">
        <w:rPr>
          <w:bCs/>
          <w:snapToGrid w:val="0"/>
        </w:rPr>
        <w:t xml:space="preserve"> with placebo (PATH trial)</w:t>
      </w:r>
      <w:r w:rsidR="0077218C" w:rsidRPr="003B4D35">
        <w:rPr>
          <w:bCs/>
          <w:snapToGrid w:val="0"/>
        </w:rPr>
        <w:t>.</w:t>
      </w:r>
      <w:r w:rsidRPr="003B4D35">
        <w:rPr>
          <w:bCs/>
          <w:snapToGrid w:val="0"/>
        </w:rPr>
        <w:t xml:space="preserve"> </w:t>
      </w:r>
      <w:r w:rsidR="00E46BFB" w:rsidRPr="003B4D35">
        <w:rPr>
          <w:bCs/>
          <w:snapToGrid w:val="0"/>
        </w:rPr>
        <w:t>Evidence from the study found that both</w:t>
      </w:r>
      <w:r w:rsidR="00577497" w:rsidRPr="003B4D35">
        <w:rPr>
          <w:bCs/>
          <w:snapToGrid w:val="0"/>
        </w:rPr>
        <w:t xml:space="preserve"> SCIg doses were </w:t>
      </w:r>
      <w:r w:rsidR="00A55C56" w:rsidRPr="003B4D35">
        <w:rPr>
          <w:bCs/>
          <w:snapToGrid w:val="0"/>
        </w:rPr>
        <w:t xml:space="preserve">more </w:t>
      </w:r>
      <w:r w:rsidR="00577497" w:rsidRPr="003B4D35">
        <w:rPr>
          <w:bCs/>
          <w:snapToGrid w:val="0"/>
        </w:rPr>
        <w:t xml:space="preserve">effective than placebo in patients stabilised on IVIg after relapse, for relapse rate, time to relapse, and patient reported measures. Both SCIg doses were more effective than placebo for all domains of health related QoL and overall health, but there was no difference when the two doses were compared. The same trends were seen for treatment satisfaction and work productivity. </w:t>
      </w:r>
    </w:p>
    <w:p w14:paraId="4C126129" w14:textId="43AEC9E3" w:rsidR="00577497" w:rsidRPr="003B4D35" w:rsidRDefault="00E46BFB" w:rsidP="008B6093">
      <w:pPr>
        <w:tabs>
          <w:tab w:val="left" w:pos="720"/>
          <w:tab w:val="left" w:pos="1140"/>
        </w:tabs>
        <w:rPr>
          <w:bCs/>
          <w:snapToGrid w:val="0"/>
        </w:rPr>
      </w:pPr>
      <w:r w:rsidRPr="003B4D35">
        <w:rPr>
          <w:bCs/>
          <w:snapToGrid w:val="0"/>
        </w:rPr>
        <w:lastRenderedPageBreak/>
        <w:t>T</w:t>
      </w:r>
      <w:r w:rsidR="00A55C56" w:rsidRPr="003B4D35">
        <w:rPr>
          <w:bCs/>
          <w:snapToGrid w:val="0"/>
        </w:rPr>
        <w:t>he DOSE</w:t>
      </w:r>
      <w:r w:rsidR="0050114C" w:rsidRPr="003B4D35">
        <w:rPr>
          <w:bCs/>
          <w:snapToGrid w:val="0"/>
        </w:rPr>
        <w:t xml:space="preserve"> (Kuitwaard et al. 2020b) </w:t>
      </w:r>
      <w:r w:rsidRPr="003B4D35">
        <w:rPr>
          <w:bCs/>
          <w:snapToGrid w:val="0"/>
        </w:rPr>
        <w:t>RCT was a cross-over study comparing</w:t>
      </w:r>
      <w:r w:rsidR="00A55C56" w:rsidRPr="003B4D35">
        <w:rPr>
          <w:bCs/>
          <w:snapToGrid w:val="0"/>
        </w:rPr>
        <w:t xml:space="preserve"> t</w:t>
      </w:r>
      <w:r w:rsidR="00577497" w:rsidRPr="003B4D35">
        <w:rPr>
          <w:bCs/>
          <w:snapToGrid w:val="0"/>
        </w:rPr>
        <w:t>wo different IVIg dosing regimens (normal dose and interval, and half dose at half the interval)</w:t>
      </w:r>
      <w:r w:rsidRPr="003B4D35">
        <w:rPr>
          <w:bCs/>
          <w:snapToGrid w:val="0"/>
        </w:rPr>
        <w:t>. Both dosing regimens</w:t>
      </w:r>
      <w:r w:rsidR="00577497" w:rsidRPr="003B4D35">
        <w:rPr>
          <w:bCs/>
          <w:snapToGrid w:val="0"/>
        </w:rPr>
        <w:t xml:space="preserve"> were found to have similar effectiveness in patients who were on individual maintenance regimens. There were no differences found in hand grip strength, disability, fatigue, and overall health. </w:t>
      </w:r>
    </w:p>
    <w:p w14:paraId="78264B8A" w14:textId="134A43F2" w:rsidR="00577497" w:rsidRPr="003B4D35" w:rsidRDefault="00577497" w:rsidP="008B6093">
      <w:pPr>
        <w:tabs>
          <w:tab w:val="left" w:pos="720"/>
          <w:tab w:val="left" w:pos="1140"/>
        </w:tabs>
        <w:rPr>
          <w:bCs/>
          <w:snapToGrid w:val="0"/>
        </w:rPr>
      </w:pPr>
      <w:r w:rsidRPr="003B4D35">
        <w:rPr>
          <w:bCs/>
          <w:snapToGrid w:val="0"/>
        </w:rPr>
        <w:t>There was no further evidence identified (from RCTs) comparing the effectiveness of IVIg with PE,</w:t>
      </w:r>
      <w:r w:rsidR="005764BC">
        <w:rPr>
          <w:bCs/>
          <w:snapToGrid w:val="0"/>
        </w:rPr>
        <w:t xml:space="preserve"> corticosteroids</w:t>
      </w:r>
      <w:r w:rsidRPr="003B4D35">
        <w:rPr>
          <w:bCs/>
          <w:snapToGrid w:val="0"/>
        </w:rPr>
        <w:t>, or immunosuppressants.</w:t>
      </w:r>
    </w:p>
    <w:p w14:paraId="5DBD1B14" w14:textId="63160504" w:rsidR="004137CE" w:rsidRPr="003B4D35" w:rsidRDefault="0050114C" w:rsidP="008B6093">
      <w:pPr>
        <w:tabs>
          <w:tab w:val="left" w:pos="720"/>
          <w:tab w:val="left" w:pos="1140"/>
        </w:tabs>
        <w:rPr>
          <w:bCs/>
          <w:snapToGrid w:val="0"/>
        </w:rPr>
      </w:pPr>
      <w:r w:rsidRPr="003B4D35">
        <w:rPr>
          <w:bCs/>
          <w:snapToGrid w:val="0"/>
        </w:rPr>
        <w:t xml:space="preserve">The revised DCAR notes </w:t>
      </w:r>
      <w:r w:rsidR="00577497" w:rsidRPr="003B4D35">
        <w:rPr>
          <w:bCs/>
          <w:snapToGrid w:val="0"/>
        </w:rPr>
        <w:t>that the lack of high</w:t>
      </w:r>
      <w:r w:rsidR="001218F6">
        <w:rPr>
          <w:bCs/>
          <w:snapToGrid w:val="0"/>
        </w:rPr>
        <w:t xml:space="preserve"> q</w:t>
      </w:r>
      <w:r w:rsidR="00577497" w:rsidRPr="003B4D35">
        <w:rPr>
          <w:bCs/>
          <w:snapToGrid w:val="0"/>
        </w:rPr>
        <w:t xml:space="preserve">uality data on Ig </w:t>
      </w:r>
      <w:r w:rsidRPr="003B4D35">
        <w:rPr>
          <w:bCs/>
          <w:snapToGrid w:val="0"/>
        </w:rPr>
        <w:t>should not necessarily be assumed to equate to lack of effect and that real world evidence</w:t>
      </w:r>
      <w:r w:rsidR="00577497" w:rsidRPr="003B4D35">
        <w:rPr>
          <w:bCs/>
          <w:snapToGrid w:val="0"/>
        </w:rPr>
        <w:t xml:space="preserve"> </w:t>
      </w:r>
      <w:r w:rsidRPr="003B4D35">
        <w:rPr>
          <w:bCs/>
          <w:snapToGrid w:val="0"/>
        </w:rPr>
        <w:t xml:space="preserve">(e.g. use of </w:t>
      </w:r>
      <w:r w:rsidR="00577497" w:rsidRPr="003B4D35">
        <w:rPr>
          <w:bCs/>
          <w:snapToGrid w:val="0"/>
        </w:rPr>
        <w:t>registries</w:t>
      </w:r>
      <w:r w:rsidRPr="003B4D35">
        <w:rPr>
          <w:bCs/>
          <w:snapToGrid w:val="0"/>
        </w:rPr>
        <w:t>)</w:t>
      </w:r>
      <w:r w:rsidR="00577497" w:rsidRPr="003B4D35">
        <w:rPr>
          <w:bCs/>
          <w:snapToGrid w:val="0"/>
        </w:rPr>
        <w:t xml:space="preserve">, </w:t>
      </w:r>
      <w:r w:rsidRPr="003B4D35">
        <w:rPr>
          <w:bCs/>
          <w:snapToGrid w:val="0"/>
        </w:rPr>
        <w:t>may be helpful</w:t>
      </w:r>
      <w:r w:rsidR="00577497" w:rsidRPr="003B4D35">
        <w:rPr>
          <w:bCs/>
          <w:snapToGrid w:val="0"/>
        </w:rPr>
        <w:t>.</w:t>
      </w:r>
    </w:p>
    <w:p w14:paraId="1A2CC11E" w14:textId="33BF8C1A" w:rsidR="000632EF" w:rsidRPr="008B6093" w:rsidRDefault="00065623" w:rsidP="008B6093">
      <w:pPr>
        <w:pStyle w:val="Heading1"/>
        <w:rPr>
          <w:rFonts w:ascii="Arial" w:hAnsi="Arial" w:cs="Arial"/>
        </w:rPr>
      </w:pPr>
      <w:r w:rsidRPr="008B6093">
        <w:rPr>
          <w:rFonts w:ascii="Arial" w:hAnsi="Arial" w:cs="Arial"/>
        </w:rPr>
        <w:t>Economic evaluation</w:t>
      </w:r>
    </w:p>
    <w:p w14:paraId="0D65D639" w14:textId="35720E38" w:rsidR="009B53B2" w:rsidRPr="003B4D35" w:rsidRDefault="00996A1D" w:rsidP="008B6093">
      <w:pPr>
        <w:rPr>
          <w:szCs w:val="24"/>
        </w:rPr>
      </w:pPr>
      <w:r w:rsidRPr="003B4D35">
        <w:rPr>
          <w:szCs w:val="24"/>
        </w:rPr>
        <w:t>As requested by MSAC at its April 2020 meeting, t</w:t>
      </w:r>
      <w:r w:rsidR="00EF0E22" w:rsidRPr="003B4D35">
        <w:rPr>
          <w:szCs w:val="24"/>
        </w:rPr>
        <w:t>hree distinct models were developed for the</w:t>
      </w:r>
      <w:r w:rsidR="00A167E1" w:rsidRPr="003B4D35">
        <w:rPr>
          <w:szCs w:val="24"/>
        </w:rPr>
        <w:t xml:space="preserve"> revision </w:t>
      </w:r>
      <w:r w:rsidR="00EF0E22" w:rsidRPr="003B4D35">
        <w:rPr>
          <w:szCs w:val="24"/>
        </w:rPr>
        <w:t xml:space="preserve">of </w:t>
      </w:r>
      <w:r w:rsidR="00A167E1" w:rsidRPr="003B4D35">
        <w:rPr>
          <w:szCs w:val="24"/>
        </w:rPr>
        <w:t>the economic model</w:t>
      </w:r>
      <w:r w:rsidR="00EF0E22" w:rsidRPr="003B4D35">
        <w:rPr>
          <w:szCs w:val="24"/>
        </w:rPr>
        <w:t>,</w:t>
      </w:r>
      <w:r w:rsidR="009B53B2" w:rsidRPr="003B4D35">
        <w:rPr>
          <w:szCs w:val="24"/>
        </w:rPr>
        <w:t xml:space="preserve"> one for each of the three comparators – Ig versus</w:t>
      </w:r>
      <w:r w:rsidR="005764BC">
        <w:rPr>
          <w:szCs w:val="24"/>
        </w:rPr>
        <w:t xml:space="preserve"> corticosteroids</w:t>
      </w:r>
      <w:r w:rsidR="009B53B2" w:rsidRPr="003B4D35">
        <w:rPr>
          <w:szCs w:val="24"/>
        </w:rPr>
        <w:t>; Ig versus therapeutic PE; and second line use of Ig in a</w:t>
      </w:r>
      <w:r w:rsidR="005764BC">
        <w:rPr>
          <w:szCs w:val="24"/>
        </w:rPr>
        <w:t xml:space="preserve"> corticosteroid</w:t>
      </w:r>
      <w:r w:rsidR="009B53B2" w:rsidRPr="003B4D35">
        <w:rPr>
          <w:szCs w:val="24"/>
        </w:rPr>
        <w:t xml:space="preserve">-resistant population versus placebo. </w:t>
      </w:r>
      <w:r w:rsidR="00F31BD9" w:rsidRPr="003B4D35">
        <w:rPr>
          <w:szCs w:val="24"/>
        </w:rPr>
        <w:t>Consistent with MSAC advice, t</w:t>
      </w:r>
      <w:r w:rsidR="009B53B2" w:rsidRPr="003B4D35">
        <w:rPr>
          <w:szCs w:val="24"/>
        </w:rPr>
        <w:t>he first two models are based on the non-inferior efficacy of Ig vs the comparators, but with further investigation of the comparative safety of each of the two therapies for each model. The third model assumes superior effectiveness and likely inferior or non-inferior safety for Ig use.</w:t>
      </w:r>
    </w:p>
    <w:p w14:paraId="003EE68B" w14:textId="39B1AB55" w:rsidR="00506791" w:rsidRPr="003B4D35" w:rsidRDefault="009B53B2" w:rsidP="008B6093">
      <w:pPr>
        <w:rPr>
          <w:szCs w:val="24"/>
        </w:rPr>
      </w:pPr>
      <w:r w:rsidRPr="003B4D35">
        <w:rPr>
          <w:szCs w:val="24"/>
        </w:rPr>
        <w:t>All models are structured to allow discontinuation of treatment due to remission, in addition to treatment failure. A stepped approach</w:t>
      </w:r>
      <w:r w:rsidR="003136DF" w:rsidRPr="003B4D35">
        <w:rPr>
          <w:szCs w:val="24"/>
        </w:rPr>
        <w:t xml:space="preserve"> </w:t>
      </w:r>
      <w:r w:rsidRPr="003B4D35">
        <w:rPr>
          <w:szCs w:val="24"/>
        </w:rPr>
        <w:t>is used to demonstrate the impacts of using the dose and time on treatment likely used in Australian clinical practice (based on BloodS</w:t>
      </w:r>
      <w:r w:rsidR="00486D86" w:rsidRPr="003B4D35">
        <w:rPr>
          <w:szCs w:val="24"/>
        </w:rPr>
        <w:t>TAR</w:t>
      </w:r>
      <w:r w:rsidRPr="003B4D35">
        <w:rPr>
          <w:szCs w:val="24"/>
        </w:rPr>
        <w:t xml:space="preserve"> data and clinical opinion</w:t>
      </w:r>
      <w:r w:rsidR="003136DF" w:rsidRPr="003B4D35">
        <w:rPr>
          <w:szCs w:val="24"/>
        </w:rPr>
        <w:t>)</w:t>
      </w:r>
      <w:r w:rsidRPr="003B4D35">
        <w:rPr>
          <w:szCs w:val="24"/>
        </w:rPr>
        <w:t>, and important structural assumptions.</w:t>
      </w:r>
    </w:p>
    <w:p w14:paraId="78544848" w14:textId="3D6FDEDA" w:rsidR="009B53B2" w:rsidRPr="008B6093" w:rsidRDefault="004B0A47" w:rsidP="008B6093">
      <w:r w:rsidRPr="003B4D35">
        <w:rPr>
          <w:szCs w:val="24"/>
        </w:rPr>
        <w:t xml:space="preserve">Table </w:t>
      </w:r>
      <w:r w:rsidR="004D73EF" w:rsidRPr="003B4D35">
        <w:rPr>
          <w:szCs w:val="24"/>
        </w:rPr>
        <w:t>2</w:t>
      </w:r>
      <w:r w:rsidRPr="003B4D35">
        <w:rPr>
          <w:szCs w:val="24"/>
        </w:rPr>
        <w:t xml:space="preserve"> provides a</w:t>
      </w:r>
      <w:r w:rsidR="009B53B2" w:rsidRPr="003B4D35">
        <w:rPr>
          <w:szCs w:val="24"/>
        </w:rPr>
        <w:t xml:space="preserve"> summary of the key characteristics of the economic evaluation</w:t>
      </w:r>
      <w:r w:rsidRPr="003B4D35">
        <w:rPr>
          <w:szCs w:val="24"/>
        </w:rPr>
        <w:t xml:space="preserve">, and </w:t>
      </w:r>
      <w:r w:rsidR="00A0363A" w:rsidRPr="003B4D35">
        <w:fldChar w:fldCharType="begin"/>
      </w:r>
      <w:r w:rsidR="00A0363A" w:rsidRPr="003B4D35">
        <w:instrText xml:space="preserve"> REF _Ref57916854 \h  \* MERGEFORMAT </w:instrText>
      </w:r>
      <w:r w:rsidR="00A0363A" w:rsidRPr="003B4D35">
        <w:fldChar w:fldCharType="separate"/>
      </w:r>
      <w:r w:rsidR="00A0363A" w:rsidRPr="003B4D35">
        <w:t xml:space="preserve">Figure </w:t>
      </w:r>
      <w:r w:rsidR="00A0363A" w:rsidRPr="003B4D35">
        <w:rPr>
          <w:noProof/>
        </w:rPr>
        <w:t>3</w:t>
      </w:r>
      <w:r w:rsidR="00A0363A" w:rsidRPr="003B4D35">
        <w:fldChar w:fldCharType="end"/>
      </w:r>
      <w:r w:rsidR="00A0363A" w:rsidRPr="003B4D35">
        <w:t xml:space="preserve"> presents </w:t>
      </w:r>
      <w:r w:rsidRPr="003B4D35">
        <w:t>the Markov model structure with allowable transitions between health states</w:t>
      </w:r>
      <w:r w:rsidR="00A0363A" w:rsidRPr="003B4D35">
        <w:t>.</w:t>
      </w:r>
      <w:r w:rsidRPr="003B4D35">
        <w:t xml:space="preserve"> </w:t>
      </w:r>
    </w:p>
    <w:p w14:paraId="193868FA" w14:textId="7B8CD33B" w:rsidR="00486D86" w:rsidRPr="003B4D35" w:rsidRDefault="00486D86" w:rsidP="00486D86">
      <w:pPr>
        <w:pStyle w:val="Caption"/>
        <w:tabs>
          <w:tab w:val="left" w:pos="1134"/>
        </w:tabs>
        <w:ind w:left="1134" w:hanging="1134"/>
      </w:pPr>
      <w:bookmarkStart w:id="10" w:name="_Ref395196756"/>
      <w:bookmarkStart w:id="11" w:name="_Toc444869034"/>
      <w:bookmarkStart w:id="12" w:name="_Toc14348871"/>
      <w:bookmarkStart w:id="13" w:name="_Toc14429577"/>
      <w:bookmarkStart w:id="14" w:name="_Toc16671634"/>
      <w:bookmarkStart w:id="15" w:name="_Toc69305677"/>
      <w:r w:rsidRPr="003B4D35">
        <w:t>Table</w:t>
      </w:r>
      <w:bookmarkEnd w:id="10"/>
      <w:r w:rsidR="004D73EF" w:rsidRPr="003B4D35">
        <w:t xml:space="preserve"> </w:t>
      </w:r>
      <w:r w:rsidR="004D73EF" w:rsidRPr="003B4D35">
        <w:rPr>
          <w:noProof/>
        </w:rPr>
        <w:t>2</w:t>
      </w:r>
      <w:r w:rsidRPr="003B4D35">
        <w:tab/>
        <w:t>Summary of the economic evaluation</w:t>
      </w:r>
      <w:bookmarkEnd w:id="11"/>
      <w:bookmarkEnd w:id="12"/>
      <w:bookmarkEnd w:id="13"/>
      <w:bookmarkEnd w:id="14"/>
      <w:bookmarkEnd w:id="15"/>
      <w:r w:rsidRPr="003B4D35">
        <w:t xml:space="preserve"> </w:t>
      </w:r>
    </w:p>
    <w:tbl>
      <w:tblPr>
        <w:tblStyle w:val="OPTUMTableNormal"/>
        <w:tblW w:w="5000" w:type="pct"/>
        <w:tblLook w:val="01E0" w:firstRow="1" w:lastRow="1" w:firstColumn="1" w:lastColumn="1" w:noHBand="0" w:noVBand="0"/>
        <w:tblCaption w:val="Summary of the economic evaluation "/>
        <w:tblDescription w:val="This table describes the key constructs of the economic evaluation that is provided in the assessment report."/>
      </w:tblPr>
      <w:tblGrid>
        <w:gridCol w:w="3107"/>
        <w:gridCol w:w="5909"/>
      </w:tblGrid>
      <w:tr w:rsidR="00486D86" w:rsidRPr="003B4D35" w14:paraId="548B5D43" w14:textId="77777777" w:rsidTr="004F45F9">
        <w:trPr>
          <w:cnfStyle w:val="100000000000" w:firstRow="1" w:lastRow="0" w:firstColumn="0" w:lastColumn="0" w:oddVBand="0" w:evenVBand="0" w:oddHBand="0" w:evenHBand="0" w:firstRowFirstColumn="0" w:firstRowLastColumn="0" w:lastRowFirstColumn="0" w:lastRowLastColumn="0"/>
          <w:cantSplit/>
          <w:trHeight w:val="20"/>
          <w:tblHeader/>
        </w:trPr>
        <w:tc>
          <w:tcPr>
            <w:tcW w:w="1723" w:type="pct"/>
          </w:tcPr>
          <w:p w14:paraId="241FEAF5" w14:textId="77777777" w:rsidR="00486D86" w:rsidRPr="003B4D35" w:rsidRDefault="00486D86" w:rsidP="009A5DF3">
            <w:pPr>
              <w:pStyle w:val="Tabletext"/>
              <w:keepNext/>
              <w:spacing w:before="0" w:after="0"/>
              <w:rPr>
                <w:b/>
              </w:rPr>
            </w:pPr>
            <w:r w:rsidRPr="003B4D35">
              <w:rPr>
                <w:b/>
              </w:rPr>
              <w:t>Perspective</w:t>
            </w:r>
          </w:p>
        </w:tc>
        <w:tc>
          <w:tcPr>
            <w:tcW w:w="3277" w:type="pct"/>
          </w:tcPr>
          <w:p w14:paraId="77856BF4" w14:textId="77777777" w:rsidR="00486D86" w:rsidRPr="003B4D35" w:rsidRDefault="00486D86" w:rsidP="009A5DF3">
            <w:pPr>
              <w:pStyle w:val="Tabletext"/>
              <w:spacing w:before="0" w:after="0"/>
            </w:pPr>
            <w:r w:rsidRPr="003B4D35">
              <w:t>Australian healthcare system</w:t>
            </w:r>
          </w:p>
        </w:tc>
      </w:tr>
      <w:tr w:rsidR="00486D86" w:rsidRPr="003B4D35" w14:paraId="4AB2B293"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tcPr>
          <w:p w14:paraId="0185A34B" w14:textId="77777777" w:rsidR="00486D86" w:rsidRPr="003B4D35" w:rsidRDefault="00486D86" w:rsidP="009A5DF3">
            <w:pPr>
              <w:pStyle w:val="Tabletext"/>
              <w:keepNext/>
              <w:spacing w:before="0" w:after="0"/>
              <w:rPr>
                <w:b/>
              </w:rPr>
            </w:pPr>
            <w:r w:rsidRPr="003B4D35">
              <w:rPr>
                <w:b/>
              </w:rPr>
              <w:t>Comparator(s)</w:t>
            </w:r>
          </w:p>
        </w:tc>
        <w:tc>
          <w:tcPr>
            <w:tcW w:w="3277" w:type="pct"/>
            <w:tcBorders>
              <w:top w:val="single" w:sz="4" w:space="0" w:color="auto"/>
              <w:left w:val="single" w:sz="4" w:space="0" w:color="auto"/>
              <w:bottom w:val="single" w:sz="4" w:space="0" w:color="auto"/>
              <w:right w:val="single" w:sz="4" w:space="0" w:color="auto"/>
            </w:tcBorders>
          </w:tcPr>
          <w:p w14:paraId="7ED62073" w14:textId="77777777" w:rsidR="00486D86" w:rsidRPr="003B4D35" w:rsidRDefault="00486D86" w:rsidP="009A5DF3">
            <w:pPr>
              <w:pStyle w:val="Tabletext"/>
              <w:numPr>
                <w:ilvl w:val="0"/>
                <w:numId w:val="14"/>
              </w:numPr>
              <w:spacing w:before="0" w:after="0"/>
            </w:pPr>
            <w:r w:rsidRPr="003B4D35">
              <w:t>Steroids</w:t>
            </w:r>
          </w:p>
          <w:p w14:paraId="77A7E26C" w14:textId="77777777" w:rsidR="00486D86" w:rsidRPr="003B4D35" w:rsidRDefault="00486D86" w:rsidP="009A5DF3">
            <w:pPr>
              <w:pStyle w:val="Tabletext"/>
              <w:numPr>
                <w:ilvl w:val="0"/>
                <w:numId w:val="14"/>
              </w:numPr>
              <w:spacing w:before="0" w:after="0"/>
            </w:pPr>
            <w:r w:rsidRPr="003B4D35">
              <w:t>Therapeutic plasma exchange</w:t>
            </w:r>
          </w:p>
          <w:p w14:paraId="7EA63E58" w14:textId="73984006" w:rsidR="00486D86" w:rsidRPr="003B4D35" w:rsidRDefault="00486D86" w:rsidP="009A5DF3">
            <w:pPr>
              <w:pStyle w:val="Tabletext"/>
              <w:numPr>
                <w:ilvl w:val="0"/>
                <w:numId w:val="14"/>
              </w:numPr>
              <w:spacing w:before="0" w:after="0"/>
            </w:pPr>
            <w:r w:rsidRPr="003B4D35">
              <w:t>Placebo (in</w:t>
            </w:r>
            <w:r w:rsidR="005764BC">
              <w:t xml:space="preserve"> corticosteroids</w:t>
            </w:r>
            <w:r w:rsidRPr="003B4D35">
              <w:t xml:space="preserve"> resistant subgroup)</w:t>
            </w:r>
          </w:p>
        </w:tc>
      </w:tr>
      <w:tr w:rsidR="00486D86" w:rsidRPr="003B4D35" w14:paraId="70388A9D"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tcPr>
          <w:p w14:paraId="44798DF0" w14:textId="77777777" w:rsidR="00486D86" w:rsidRPr="003B4D35" w:rsidRDefault="00486D86" w:rsidP="009A5DF3">
            <w:pPr>
              <w:pStyle w:val="Tabletext"/>
              <w:keepNext/>
              <w:spacing w:before="0" w:after="0"/>
              <w:rPr>
                <w:b/>
              </w:rPr>
            </w:pPr>
            <w:r w:rsidRPr="003B4D35">
              <w:rPr>
                <w:b/>
              </w:rPr>
              <w:t>Type of economic evaluation</w:t>
            </w:r>
          </w:p>
        </w:tc>
        <w:tc>
          <w:tcPr>
            <w:tcW w:w="3277" w:type="pct"/>
            <w:tcBorders>
              <w:top w:val="single" w:sz="4" w:space="0" w:color="auto"/>
              <w:left w:val="single" w:sz="4" w:space="0" w:color="auto"/>
              <w:bottom w:val="single" w:sz="4" w:space="0" w:color="auto"/>
              <w:right w:val="single" w:sz="4" w:space="0" w:color="auto"/>
            </w:tcBorders>
          </w:tcPr>
          <w:p w14:paraId="0647168B" w14:textId="77777777" w:rsidR="00486D86" w:rsidRPr="003B4D35" w:rsidRDefault="00486D86" w:rsidP="009A5DF3">
            <w:pPr>
              <w:pStyle w:val="Tabletext"/>
              <w:spacing w:before="0" w:after="0"/>
            </w:pPr>
            <w:r w:rsidRPr="003B4D35">
              <w:t>Stepped cost-utility analysis</w:t>
            </w:r>
          </w:p>
        </w:tc>
      </w:tr>
      <w:tr w:rsidR="00486D86" w:rsidRPr="003B4D35" w14:paraId="14A8CE0A"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tcPr>
          <w:p w14:paraId="442AAB1C" w14:textId="77777777" w:rsidR="00486D86" w:rsidRPr="003B4D35" w:rsidRDefault="00486D86" w:rsidP="009A5DF3">
            <w:pPr>
              <w:pStyle w:val="Tabletext"/>
              <w:keepNext/>
              <w:spacing w:before="0" w:after="0"/>
              <w:rPr>
                <w:b/>
              </w:rPr>
            </w:pPr>
            <w:r w:rsidRPr="003B4D35">
              <w:rPr>
                <w:b/>
              </w:rPr>
              <w:t>Sources of evidence</w:t>
            </w:r>
          </w:p>
        </w:tc>
        <w:tc>
          <w:tcPr>
            <w:tcW w:w="3277" w:type="pct"/>
            <w:tcBorders>
              <w:top w:val="single" w:sz="4" w:space="0" w:color="auto"/>
              <w:left w:val="single" w:sz="4" w:space="0" w:color="auto"/>
              <w:bottom w:val="single" w:sz="4" w:space="0" w:color="auto"/>
              <w:right w:val="single" w:sz="4" w:space="0" w:color="auto"/>
            </w:tcBorders>
          </w:tcPr>
          <w:p w14:paraId="33F3379A" w14:textId="77777777" w:rsidR="00486D86" w:rsidRPr="003B4D35" w:rsidRDefault="00486D86" w:rsidP="009A5DF3">
            <w:pPr>
              <w:pStyle w:val="Tabletext"/>
              <w:spacing w:before="0" w:after="0"/>
            </w:pPr>
            <w:r w:rsidRPr="003B4D35">
              <w:t>Systematic review, expert opinion (Ig review reference group) and data provided by NBA and Department of Health</w:t>
            </w:r>
          </w:p>
        </w:tc>
      </w:tr>
      <w:tr w:rsidR="00486D86" w:rsidRPr="003B4D35" w14:paraId="6395F723"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hideMark/>
          </w:tcPr>
          <w:p w14:paraId="2AF506DD" w14:textId="77777777" w:rsidR="00486D86" w:rsidRPr="003B4D35" w:rsidRDefault="00486D86" w:rsidP="009A5DF3">
            <w:pPr>
              <w:pStyle w:val="Tabletext"/>
              <w:keepNext/>
              <w:spacing w:before="0" w:after="0"/>
              <w:rPr>
                <w:b/>
              </w:rPr>
            </w:pPr>
            <w:r w:rsidRPr="003B4D35">
              <w:rPr>
                <w:b/>
              </w:rPr>
              <w:t>Time horizon</w:t>
            </w:r>
          </w:p>
        </w:tc>
        <w:tc>
          <w:tcPr>
            <w:tcW w:w="3277" w:type="pct"/>
            <w:tcBorders>
              <w:top w:val="single" w:sz="4" w:space="0" w:color="auto"/>
              <w:left w:val="single" w:sz="4" w:space="0" w:color="auto"/>
              <w:bottom w:val="single" w:sz="4" w:space="0" w:color="auto"/>
              <w:right w:val="single" w:sz="4" w:space="0" w:color="auto"/>
            </w:tcBorders>
            <w:hideMark/>
          </w:tcPr>
          <w:p w14:paraId="15150CBA" w14:textId="77777777" w:rsidR="00486D86" w:rsidRPr="003B4D35" w:rsidRDefault="00486D86" w:rsidP="009A5DF3">
            <w:pPr>
              <w:pStyle w:val="Tabletext"/>
              <w:spacing w:before="0" w:after="0"/>
            </w:pPr>
            <w:r w:rsidRPr="003B4D35">
              <w:t>10 years</w:t>
            </w:r>
          </w:p>
        </w:tc>
      </w:tr>
      <w:tr w:rsidR="00486D86" w:rsidRPr="003B4D35" w14:paraId="65F21CBB"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hideMark/>
          </w:tcPr>
          <w:p w14:paraId="0B36E311" w14:textId="77777777" w:rsidR="00486D86" w:rsidRPr="003B4D35" w:rsidRDefault="00486D86" w:rsidP="009A5DF3">
            <w:pPr>
              <w:pStyle w:val="Tabletext"/>
              <w:keepNext/>
              <w:spacing w:before="0" w:after="0"/>
              <w:rPr>
                <w:b/>
              </w:rPr>
            </w:pPr>
            <w:r w:rsidRPr="003B4D35">
              <w:rPr>
                <w:b/>
              </w:rPr>
              <w:t>Outcomes</w:t>
            </w:r>
          </w:p>
        </w:tc>
        <w:tc>
          <w:tcPr>
            <w:tcW w:w="3277" w:type="pct"/>
            <w:tcBorders>
              <w:top w:val="single" w:sz="4" w:space="0" w:color="auto"/>
              <w:left w:val="single" w:sz="4" w:space="0" w:color="auto"/>
              <w:bottom w:val="single" w:sz="4" w:space="0" w:color="auto"/>
              <w:right w:val="single" w:sz="4" w:space="0" w:color="auto"/>
            </w:tcBorders>
          </w:tcPr>
          <w:p w14:paraId="53B1C57D" w14:textId="77777777" w:rsidR="00486D86" w:rsidRPr="003B4D35" w:rsidRDefault="00486D86" w:rsidP="009A5DF3">
            <w:pPr>
              <w:pStyle w:val="Tabletext"/>
              <w:spacing w:before="0" w:after="0"/>
            </w:pPr>
            <w:r w:rsidRPr="003B4D35">
              <w:t>Cost per QALYs gained</w:t>
            </w:r>
          </w:p>
        </w:tc>
      </w:tr>
      <w:tr w:rsidR="00486D86" w:rsidRPr="003B4D35" w14:paraId="65AE3119"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hideMark/>
          </w:tcPr>
          <w:p w14:paraId="14452759" w14:textId="77777777" w:rsidR="00486D86" w:rsidRPr="003B4D35" w:rsidRDefault="00486D86" w:rsidP="009A5DF3">
            <w:pPr>
              <w:pStyle w:val="Tabletext"/>
              <w:keepNext/>
              <w:spacing w:before="0" w:after="0"/>
              <w:rPr>
                <w:b/>
              </w:rPr>
            </w:pPr>
            <w:r w:rsidRPr="003B4D35">
              <w:rPr>
                <w:b/>
              </w:rPr>
              <w:t>Methods used to generate results</w:t>
            </w:r>
          </w:p>
        </w:tc>
        <w:tc>
          <w:tcPr>
            <w:tcW w:w="3277" w:type="pct"/>
            <w:tcBorders>
              <w:top w:val="single" w:sz="4" w:space="0" w:color="auto"/>
              <w:left w:val="single" w:sz="4" w:space="0" w:color="auto"/>
              <w:bottom w:val="single" w:sz="4" w:space="0" w:color="auto"/>
              <w:right w:val="single" w:sz="4" w:space="0" w:color="auto"/>
            </w:tcBorders>
          </w:tcPr>
          <w:p w14:paraId="3C034D03" w14:textId="77777777" w:rsidR="00486D86" w:rsidRPr="003B4D35" w:rsidRDefault="00486D86" w:rsidP="009A5DF3">
            <w:pPr>
              <w:pStyle w:val="Tabletext"/>
              <w:spacing w:before="0" w:after="0"/>
            </w:pPr>
            <w:r w:rsidRPr="003B4D35">
              <w:t>Decision analytic Markov model</w:t>
            </w:r>
          </w:p>
        </w:tc>
      </w:tr>
      <w:tr w:rsidR="00486D86" w:rsidRPr="003B4D35" w14:paraId="0ACA934F"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tcPr>
          <w:p w14:paraId="669E7115" w14:textId="77777777" w:rsidR="00486D86" w:rsidRPr="003B4D35" w:rsidRDefault="00486D86" w:rsidP="009A5DF3">
            <w:pPr>
              <w:pStyle w:val="Tabletext"/>
              <w:keepNext/>
              <w:spacing w:before="0" w:after="0"/>
              <w:rPr>
                <w:b/>
              </w:rPr>
            </w:pPr>
            <w:r w:rsidRPr="003B4D35">
              <w:rPr>
                <w:b/>
              </w:rPr>
              <w:t>Health states</w:t>
            </w:r>
          </w:p>
        </w:tc>
        <w:tc>
          <w:tcPr>
            <w:tcW w:w="3277" w:type="pct"/>
            <w:tcBorders>
              <w:top w:val="single" w:sz="4" w:space="0" w:color="auto"/>
              <w:left w:val="single" w:sz="4" w:space="0" w:color="auto"/>
              <w:bottom w:val="single" w:sz="4" w:space="0" w:color="auto"/>
              <w:right w:val="single" w:sz="4" w:space="0" w:color="auto"/>
            </w:tcBorders>
          </w:tcPr>
          <w:p w14:paraId="67652D22" w14:textId="77777777" w:rsidR="00486D86" w:rsidRPr="003B4D35" w:rsidRDefault="00486D86" w:rsidP="009A5DF3">
            <w:pPr>
              <w:pStyle w:val="Tabletext"/>
              <w:numPr>
                <w:ilvl w:val="0"/>
                <w:numId w:val="15"/>
              </w:numPr>
              <w:spacing w:before="0" w:after="0"/>
            </w:pPr>
            <w:r w:rsidRPr="003B4D35">
              <w:t>Active disease: treatment induction or a relapse after more than 6 months off treatment</w:t>
            </w:r>
          </w:p>
          <w:p w14:paraId="2F8170E1" w14:textId="77777777" w:rsidR="00486D86" w:rsidRPr="003B4D35" w:rsidRDefault="00486D86" w:rsidP="009A5DF3">
            <w:pPr>
              <w:pStyle w:val="Tabletext"/>
              <w:numPr>
                <w:ilvl w:val="0"/>
                <w:numId w:val="15"/>
              </w:numPr>
              <w:spacing w:before="0" w:after="0"/>
            </w:pPr>
            <w:r w:rsidRPr="003B4D35">
              <w:t>Active but stable disease: maintenance phase (on treatment more than 4 months)</w:t>
            </w:r>
          </w:p>
          <w:p w14:paraId="13D4476D" w14:textId="77777777" w:rsidR="00486D86" w:rsidRPr="003B4D35" w:rsidRDefault="00486D86" w:rsidP="009A5DF3">
            <w:pPr>
              <w:pStyle w:val="Tabletext"/>
              <w:numPr>
                <w:ilvl w:val="0"/>
                <w:numId w:val="15"/>
              </w:numPr>
              <w:spacing w:before="0" w:after="0"/>
            </w:pPr>
            <w:r w:rsidRPr="003B4D35">
              <w:t>No active disease: in remission (off treatment)</w:t>
            </w:r>
          </w:p>
          <w:p w14:paraId="51C4D259" w14:textId="77777777" w:rsidR="00486D86" w:rsidRPr="003B4D35" w:rsidRDefault="00486D86" w:rsidP="009A5DF3">
            <w:pPr>
              <w:pStyle w:val="Tabletext"/>
              <w:numPr>
                <w:ilvl w:val="0"/>
                <w:numId w:val="15"/>
              </w:numPr>
              <w:spacing w:before="0" w:after="0"/>
            </w:pPr>
            <w:r w:rsidRPr="003B4D35">
              <w:t xml:space="preserve">Treatment resistant/intolerant disease: best supportive care </w:t>
            </w:r>
          </w:p>
          <w:p w14:paraId="06C6918D" w14:textId="77777777" w:rsidR="00486D86" w:rsidRPr="003B4D35" w:rsidRDefault="00486D86" w:rsidP="009A5DF3">
            <w:pPr>
              <w:pStyle w:val="Tabletext"/>
              <w:numPr>
                <w:ilvl w:val="0"/>
                <w:numId w:val="15"/>
              </w:numPr>
              <w:spacing w:before="0" w:after="0"/>
            </w:pPr>
            <w:r w:rsidRPr="003B4D35">
              <w:t>Dead</w:t>
            </w:r>
          </w:p>
        </w:tc>
      </w:tr>
      <w:tr w:rsidR="00486D86" w:rsidRPr="003B4D35" w14:paraId="130C3BC0"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hideMark/>
          </w:tcPr>
          <w:p w14:paraId="1882034F" w14:textId="77777777" w:rsidR="00486D86" w:rsidRPr="003B4D35" w:rsidRDefault="00486D86" w:rsidP="009A5DF3">
            <w:pPr>
              <w:pStyle w:val="Tabletext"/>
              <w:keepNext/>
              <w:spacing w:before="0" w:after="0"/>
              <w:rPr>
                <w:b/>
              </w:rPr>
            </w:pPr>
            <w:r w:rsidRPr="003B4D35">
              <w:rPr>
                <w:b/>
              </w:rPr>
              <w:t>Cycle length</w:t>
            </w:r>
          </w:p>
        </w:tc>
        <w:tc>
          <w:tcPr>
            <w:tcW w:w="3277" w:type="pct"/>
            <w:tcBorders>
              <w:top w:val="single" w:sz="4" w:space="0" w:color="auto"/>
              <w:left w:val="single" w:sz="4" w:space="0" w:color="auto"/>
              <w:bottom w:val="single" w:sz="4" w:space="0" w:color="auto"/>
              <w:right w:val="single" w:sz="4" w:space="0" w:color="auto"/>
            </w:tcBorders>
          </w:tcPr>
          <w:p w14:paraId="4EC5BDB9" w14:textId="77777777" w:rsidR="00486D86" w:rsidRPr="003B4D35" w:rsidRDefault="00486D86" w:rsidP="009A5DF3">
            <w:pPr>
              <w:pStyle w:val="Tabletext"/>
              <w:spacing w:before="0" w:after="0"/>
            </w:pPr>
            <w:r w:rsidRPr="003B4D35">
              <w:t>Four weeks</w:t>
            </w:r>
          </w:p>
        </w:tc>
      </w:tr>
      <w:tr w:rsidR="00486D86" w:rsidRPr="003B4D35" w14:paraId="45068706"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hideMark/>
          </w:tcPr>
          <w:p w14:paraId="575CEA8C" w14:textId="77777777" w:rsidR="00486D86" w:rsidRPr="003B4D35" w:rsidRDefault="00486D86" w:rsidP="009A5DF3">
            <w:pPr>
              <w:pStyle w:val="Tabletext"/>
              <w:keepNext/>
              <w:spacing w:before="0" w:after="0"/>
              <w:rPr>
                <w:b/>
              </w:rPr>
            </w:pPr>
            <w:r w:rsidRPr="003B4D35">
              <w:rPr>
                <w:b/>
              </w:rPr>
              <w:t>Discount rate</w:t>
            </w:r>
          </w:p>
        </w:tc>
        <w:tc>
          <w:tcPr>
            <w:tcW w:w="3277" w:type="pct"/>
            <w:tcBorders>
              <w:top w:val="single" w:sz="4" w:space="0" w:color="auto"/>
              <w:left w:val="single" w:sz="4" w:space="0" w:color="auto"/>
              <w:bottom w:val="single" w:sz="4" w:space="0" w:color="auto"/>
              <w:right w:val="single" w:sz="4" w:space="0" w:color="auto"/>
            </w:tcBorders>
          </w:tcPr>
          <w:p w14:paraId="229EE6BC" w14:textId="77777777" w:rsidR="00486D86" w:rsidRPr="003B4D35" w:rsidRDefault="00486D86" w:rsidP="009A5DF3">
            <w:pPr>
              <w:pStyle w:val="Tabletext"/>
              <w:spacing w:before="0" w:after="0"/>
            </w:pPr>
            <w:r w:rsidRPr="003B4D35">
              <w:t>5%</w:t>
            </w:r>
          </w:p>
        </w:tc>
      </w:tr>
      <w:tr w:rsidR="00486D86" w:rsidRPr="003B4D35" w14:paraId="4EB7A4CD" w14:textId="77777777" w:rsidTr="004F45F9">
        <w:trPr>
          <w:trHeight w:val="20"/>
        </w:trPr>
        <w:tc>
          <w:tcPr>
            <w:tcW w:w="1723" w:type="pct"/>
            <w:tcBorders>
              <w:top w:val="single" w:sz="4" w:space="0" w:color="auto"/>
              <w:left w:val="single" w:sz="4" w:space="0" w:color="auto"/>
              <w:bottom w:val="single" w:sz="4" w:space="0" w:color="auto"/>
              <w:right w:val="single" w:sz="4" w:space="0" w:color="auto"/>
            </w:tcBorders>
            <w:hideMark/>
          </w:tcPr>
          <w:p w14:paraId="2676CB05" w14:textId="77777777" w:rsidR="00486D86" w:rsidRPr="003B4D35" w:rsidRDefault="00486D86" w:rsidP="009A5DF3">
            <w:pPr>
              <w:pStyle w:val="Tabletext"/>
              <w:spacing w:before="0" w:after="0"/>
              <w:rPr>
                <w:b/>
              </w:rPr>
            </w:pPr>
            <w:r w:rsidRPr="003B4D35">
              <w:rPr>
                <w:b/>
              </w:rPr>
              <w:t>Software packages used</w:t>
            </w:r>
          </w:p>
        </w:tc>
        <w:tc>
          <w:tcPr>
            <w:tcW w:w="3277" w:type="pct"/>
            <w:tcBorders>
              <w:top w:val="single" w:sz="4" w:space="0" w:color="auto"/>
              <w:left w:val="single" w:sz="4" w:space="0" w:color="auto"/>
              <w:bottom w:val="single" w:sz="4" w:space="0" w:color="auto"/>
              <w:right w:val="single" w:sz="4" w:space="0" w:color="auto"/>
            </w:tcBorders>
          </w:tcPr>
          <w:p w14:paraId="3657507D" w14:textId="77777777" w:rsidR="00486D86" w:rsidRPr="003B4D35" w:rsidRDefault="00486D86" w:rsidP="009A5DF3">
            <w:pPr>
              <w:pStyle w:val="Tabletext"/>
              <w:spacing w:before="0" w:after="0"/>
            </w:pPr>
            <w:r w:rsidRPr="003B4D35">
              <w:t>Microsoft Excel and TreeAge Pro</w:t>
            </w:r>
          </w:p>
        </w:tc>
      </w:tr>
    </w:tbl>
    <w:p w14:paraId="763A1AB2" w14:textId="77777777" w:rsidR="00486D86" w:rsidRPr="003B4D35" w:rsidRDefault="00486D86" w:rsidP="00C55C32">
      <w:pPr>
        <w:pStyle w:val="Tablenotes2"/>
        <w:spacing w:before="0" w:after="0"/>
      </w:pPr>
      <w:r w:rsidRPr="003B4D35">
        <w:t>AE = adverse event; Ig = immunoglobulin; NBA = National Blood Authority; QALY = quality-adjusted life year.</w:t>
      </w:r>
    </w:p>
    <w:p w14:paraId="4068B293" w14:textId="6208DC92" w:rsidR="009A5DF3" w:rsidRDefault="006E131E" w:rsidP="00C55C32">
      <w:pPr>
        <w:spacing w:before="0"/>
        <w:ind w:left="57" w:right="57"/>
        <w:rPr>
          <w:rFonts w:ascii="Arial Narrow" w:eastAsia="Calibri" w:hAnsi="Arial Narrow"/>
          <w:sz w:val="18"/>
          <w:szCs w:val="18"/>
          <w:lang w:eastAsia="en-US"/>
        </w:rPr>
      </w:pPr>
      <w:r w:rsidRPr="003B4D35">
        <w:rPr>
          <w:rFonts w:ascii="Arial Narrow" w:eastAsia="Calibri" w:hAnsi="Arial Narrow"/>
          <w:sz w:val="18"/>
          <w:szCs w:val="18"/>
          <w:lang w:eastAsia="en-US"/>
        </w:rPr>
        <w:t>SOURCE: Table 36 of Mittal R, Milverton J, Schubert C, Parsons J (2021). Immunoglobulin for Chronic Inflammatory Demyelinating Polyneuropathy (CIDP). MSAC Application 1564.1, Re-submission assessment Report. Commonwealth of Australia, Canberra, ACT</w:t>
      </w:r>
    </w:p>
    <w:p w14:paraId="6EAE8A24" w14:textId="67FECD38" w:rsidR="00A909C6" w:rsidRPr="003B4D35" w:rsidRDefault="00A909C6" w:rsidP="009A5DF3">
      <w:pPr>
        <w:spacing w:after="120" w:line="312" w:lineRule="auto"/>
        <w:rPr>
          <w:rFonts w:ascii="Calibri" w:hAnsi="Calibri" w:cs="Tahoma"/>
          <w:sz w:val="22"/>
          <w:szCs w:val="22"/>
        </w:rPr>
      </w:pPr>
      <w:r w:rsidRPr="003B4D35">
        <w:rPr>
          <w:rFonts w:ascii="Calibri" w:hAnsi="Calibri" w:cs="Tahoma"/>
          <w:noProof/>
          <w:sz w:val="22"/>
          <w:szCs w:val="22"/>
        </w:rPr>
        <w:lastRenderedPageBreak/>
        <w:drawing>
          <wp:inline distT="0" distB="0" distL="0" distR="0" wp14:anchorId="2544602E" wp14:editId="5C0269E7">
            <wp:extent cx="5476240" cy="3886082"/>
            <wp:effectExtent l="0" t="0" r="0" b="635"/>
            <wp:docPr id="13" name="Picture 13" descr="State transition diagram for the Markov model&#10;Each oval (A to E) represents a chance node and the arrows represent the valid transitions between health states. All patients initially enter the Markov model at node “Treatment induction or relapse after six months off treatment&#10;" title="State transition diagram for the Markov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04" t="1185" r="4549" b="3359"/>
                    <a:stretch/>
                  </pic:blipFill>
                  <pic:spPr bwMode="auto">
                    <a:xfrm>
                      <a:off x="0" y="0"/>
                      <a:ext cx="5483707" cy="3891381"/>
                    </a:xfrm>
                    <a:prstGeom prst="rect">
                      <a:avLst/>
                    </a:prstGeom>
                    <a:noFill/>
                    <a:ln>
                      <a:noFill/>
                    </a:ln>
                    <a:extLst>
                      <a:ext uri="{53640926-AAD7-44D8-BBD7-CCE9431645EC}">
                        <a14:shadowObscured xmlns:a14="http://schemas.microsoft.com/office/drawing/2010/main"/>
                      </a:ext>
                    </a:extLst>
                  </pic:spPr>
                </pic:pic>
              </a:graphicData>
            </a:graphic>
          </wp:inline>
        </w:drawing>
      </w:r>
    </w:p>
    <w:p w14:paraId="378560B6" w14:textId="519BFE09" w:rsidR="004D73EF" w:rsidRPr="003B4D35" w:rsidRDefault="004D73EF" w:rsidP="00C55C32">
      <w:pPr>
        <w:keepNext/>
        <w:spacing w:before="120" w:after="0"/>
        <w:rPr>
          <w:b/>
          <w:bCs/>
          <w:sz w:val="20"/>
          <w:szCs w:val="22"/>
        </w:rPr>
      </w:pPr>
      <w:bookmarkStart w:id="16" w:name="_Ref57916854"/>
      <w:bookmarkStart w:id="17" w:name="_Toc68192282"/>
      <w:r w:rsidRPr="003B4D35">
        <w:rPr>
          <w:rFonts w:ascii="Arial Narrow" w:hAnsi="Arial Narrow" w:cs="Arial"/>
          <w:b/>
          <w:iCs/>
          <w:sz w:val="20"/>
          <w:szCs w:val="22"/>
          <w:lang w:eastAsia="en-US"/>
        </w:rPr>
        <w:t xml:space="preserve">Figure 3 </w:t>
      </w:r>
      <w:r w:rsidRPr="003B4D35">
        <w:rPr>
          <w:rFonts w:ascii="Arial Narrow" w:hAnsi="Arial Narrow" w:cs="Arial"/>
          <w:b/>
          <w:iCs/>
          <w:sz w:val="20"/>
          <w:szCs w:val="22"/>
          <w:lang w:eastAsia="en-US"/>
        </w:rPr>
        <w:tab/>
        <w:t>State transition diagram for the Markov model</w:t>
      </w:r>
    </w:p>
    <w:bookmarkEnd w:id="16"/>
    <w:bookmarkEnd w:id="17"/>
    <w:p w14:paraId="62F5FAD1" w14:textId="2211E975" w:rsidR="00A909C6" w:rsidRPr="003B4D35" w:rsidRDefault="00A909C6" w:rsidP="00C55C32">
      <w:pPr>
        <w:spacing w:before="0" w:after="120"/>
        <w:ind w:left="57" w:right="57"/>
        <w:contextualSpacing/>
        <w:rPr>
          <w:rFonts w:ascii="Arial Narrow" w:eastAsia="Calibri" w:hAnsi="Arial Narrow"/>
          <w:sz w:val="18"/>
          <w:szCs w:val="18"/>
          <w:lang w:eastAsia="en-US"/>
        </w:rPr>
      </w:pPr>
      <w:r w:rsidRPr="003B4D35">
        <w:rPr>
          <w:rFonts w:ascii="Arial Narrow" w:eastAsia="Calibri" w:hAnsi="Arial Narrow"/>
          <w:sz w:val="18"/>
          <w:szCs w:val="18"/>
          <w:lang w:eastAsia="en-US"/>
        </w:rPr>
        <w:t>Each oval (A to E) represents a chance node and the arrows represent the valid transitions between health states. All patients initially enter the Markov model at node “Treatment induction or relapse after six months off treatment”.</w:t>
      </w:r>
    </w:p>
    <w:p w14:paraId="211962FF" w14:textId="00826D3D" w:rsidR="004D73EF" w:rsidRPr="008B6093" w:rsidRDefault="00EF0E22" w:rsidP="00C55C32">
      <w:pPr>
        <w:spacing w:before="0"/>
        <w:ind w:left="57" w:right="57"/>
        <w:rPr>
          <w:rFonts w:ascii="Arial Narrow" w:eastAsia="Calibri" w:hAnsi="Arial Narrow"/>
          <w:sz w:val="18"/>
          <w:szCs w:val="18"/>
          <w:lang w:eastAsia="en-US"/>
        </w:rPr>
      </w:pPr>
      <w:r w:rsidRPr="003B4D35">
        <w:rPr>
          <w:rFonts w:ascii="Arial Narrow" w:eastAsia="Calibri" w:hAnsi="Arial Narrow"/>
          <w:sz w:val="18"/>
          <w:szCs w:val="18"/>
          <w:lang w:eastAsia="en-US"/>
        </w:rPr>
        <w:t>SOURCE: Figure 12 of Mittal R, Milverton J, Schubert C, Parsons J (2021). Immunoglobulin for Chronic Inflammatory Demyelinating Polyneuropathy (CIDP). MSAC Application 1564.1, Re-submission assessment Report. Commonwealth of Australia, Canberra, ACT</w:t>
      </w:r>
    </w:p>
    <w:p w14:paraId="30ECF179" w14:textId="13AF490F" w:rsidR="003F4138" w:rsidRPr="00076F94" w:rsidRDefault="001B6086" w:rsidP="008B6093">
      <w:r w:rsidRPr="00076F94">
        <w:t xml:space="preserve">Results of the modelled base case analysis of each of the three comparisons are </w:t>
      </w:r>
      <w:r w:rsidR="004B0A47" w:rsidRPr="00076F94">
        <w:t>summarised</w:t>
      </w:r>
      <w:r w:rsidRPr="00076F94">
        <w:t xml:space="preserve"> in Table </w:t>
      </w:r>
      <w:r w:rsidR="004D73EF" w:rsidRPr="00076F94">
        <w:t>3</w:t>
      </w:r>
      <w:r w:rsidRPr="00076F94">
        <w:t xml:space="preserve"> below.</w:t>
      </w:r>
      <w:r w:rsidR="004B0A47" w:rsidRPr="00076F94">
        <w:t xml:space="preserve"> </w:t>
      </w:r>
    </w:p>
    <w:p w14:paraId="384FF06A" w14:textId="5873F6DA" w:rsidR="001B6086" w:rsidRPr="00076F94" w:rsidRDefault="001B6086" w:rsidP="001B6086">
      <w:pPr>
        <w:pStyle w:val="Caption"/>
      </w:pPr>
      <w:bookmarkStart w:id="18" w:name="_Ref14268960"/>
      <w:bookmarkStart w:id="19" w:name="_Toc14348838"/>
      <w:bookmarkStart w:id="20" w:name="_Toc14429550"/>
      <w:bookmarkStart w:id="21" w:name="_Toc16671605"/>
      <w:bookmarkStart w:id="22" w:name="_Toc69305644"/>
      <w:r w:rsidRPr="00076F94">
        <w:t xml:space="preserve">Table </w:t>
      </w:r>
      <w:bookmarkEnd w:id="18"/>
      <w:r w:rsidR="004D73EF" w:rsidRPr="00076F94">
        <w:rPr>
          <w:noProof/>
        </w:rPr>
        <w:t>3</w:t>
      </w:r>
      <w:r w:rsidRPr="00076F94">
        <w:t xml:space="preserve"> </w:t>
      </w:r>
      <w:r w:rsidRPr="00076F94">
        <w:tab/>
        <w:t>Results of the modelled base-case economic analysis</w:t>
      </w:r>
      <w:bookmarkEnd w:id="19"/>
      <w:bookmarkEnd w:id="20"/>
      <w:bookmarkEnd w:id="21"/>
      <w:bookmarkEnd w:id="22"/>
    </w:p>
    <w:tbl>
      <w:tblPr>
        <w:tblStyle w:val="TableGrid1"/>
        <w:tblW w:w="5000" w:type="pct"/>
        <w:tblLayout w:type="fixed"/>
        <w:tblLook w:val="04A0" w:firstRow="1" w:lastRow="0" w:firstColumn="1" w:lastColumn="0" w:noHBand="0" w:noVBand="1"/>
        <w:tblCaption w:val="Results of the modelled base-case economic analysis"/>
        <w:tblDescription w:val="Results of the modelled base-case economic analysis"/>
      </w:tblPr>
      <w:tblGrid>
        <w:gridCol w:w="5382"/>
        <w:gridCol w:w="1205"/>
        <w:gridCol w:w="1205"/>
        <w:gridCol w:w="1224"/>
      </w:tblGrid>
      <w:tr w:rsidR="001B6086" w:rsidRPr="00076F94" w14:paraId="5C543DF4" w14:textId="77777777" w:rsidTr="00675B1C">
        <w:trPr>
          <w:cantSplit/>
          <w:trHeight w:val="300"/>
          <w:tblHeader/>
        </w:trPr>
        <w:tc>
          <w:tcPr>
            <w:tcW w:w="2985" w:type="pct"/>
            <w:noWrap/>
            <w:hideMark/>
          </w:tcPr>
          <w:p w14:paraId="6DC6E873" w14:textId="77777777" w:rsidR="001B6086" w:rsidRPr="00076F94" w:rsidRDefault="001B6086" w:rsidP="00675B1C">
            <w:pPr>
              <w:pStyle w:val="TableHeading"/>
            </w:pPr>
            <w:r w:rsidRPr="00076F94">
              <w:t>Modelled base case economic evaluation</w:t>
            </w:r>
          </w:p>
        </w:tc>
        <w:tc>
          <w:tcPr>
            <w:tcW w:w="668" w:type="pct"/>
            <w:noWrap/>
            <w:hideMark/>
          </w:tcPr>
          <w:p w14:paraId="02D06ABC" w14:textId="77777777" w:rsidR="001B6086" w:rsidRPr="00076F94" w:rsidRDefault="001B6086" w:rsidP="00675B1C">
            <w:pPr>
              <w:pStyle w:val="TableHeading"/>
              <w:jc w:val="center"/>
            </w:pPr>
            <w:r w:rsidRPr="00076F94">
              <w:t>Inc. cost</w:t>
            </w:r>
          </w:p>
        </w:tc>
        <w:tc>
          <w:tcPr>
            <w:tcW w:w="668" w:type="pct"/>
            <w:noWrap/>
            <w:hideMark/>
          </w:tcPr>
          <w:p w14:paraId="109B5197" w14:textId="77777777" w:rsidR="001B6086" w:rsidRPr="00076F94" w:rsidRDefault="001B6086" w:rsidP="00675B1C">
            <w:pPr>
              <w:pStyle w:val="TableHeading"/>
              <w:jc w:val="center"/>
            </w:pPr>
            <w:r w:rsidRPr="00076F94">
              <w:t>Inc. QALYs</w:t>
            </w:r>
          </w:p>
        </w:tc>
        <w:tc>
          <w:tcPr>
            <w:tcW w:w="679" w:type="pct"/>
            <w:noWrap/>
            <w:hideMark/>
          </w:tcPr>
          <w:p w14:paraId="3195D68A" w14:textId="77777777" w:rsidR="001B6086" w:rsidRPr="00076F94" w:rsidRDefault="001B6086" w:rsidP="00675B1C">
            <w:pPr>
              <w:pStyle w:val="TableHeading"/>
              <w:jc w:val="center"/>
            </w:pPr>
            <w:r w:rsidRPr="00076F94">
              <w:t>ICER</w:t>
            </w:r>
          </w:p>
        </w:tc>
      </w:tr>
      <w:tr w:rsidR="001B6086" w:rsidRPr="00076F94" w14:paraId="7D98DD08" w14:textId="77777777" w:rsidTr="00675B1C">
        <w:trPr>
          <w:cantSplit/>
          <w:trHeight w:val="300"/>
        </w:trPr>
        <w:tc>
          <w:tcPr>
            <w:tcW w:w="2985" w:type="pct"/>
            <w:noWrap/>
            <w:hideMark/>
          </w:tcPr>
          <w:p w14:paraId="26D9A0F8" w14:textId="77777777" w:rsidR="001B6086" w:rsidRPr="00076F94" w:rsidRDefault="001B6086" w:rsidP="00A97193">
            <w:pPr>
              <w:pStyle w:val="Tabletext"/>
              <w:ind w:left="33"/>
              <w:rPr>
                <w:b/>
                <w:u w:val="single"/>
              </w:rPr>
            </w:pPr>
            <w:r w:rsidRPr="00076F94">
              <w:rPr>
                <w:b/>
                <w:u w:val="single"/>
              </w:rPr>
              <w:t>Ig versus corticosteroids</w:t>
            </w:r>
          </w:p>
          <w:p w14:paraId="06011015" w14:textId="58AC344E" w:rsidR="001B6086" w:rsidRPr="00076F94" w:rsidRDefault="001B6086" w:rsidP="00A97193">
            <w:pPr>
              <w:pStyle w:val="Tabletext"/>
              <w:ind w:left="33"/>
            </w:pPr>
            <w:r w:rsidRPr="00076F94">
              <w:t xml:space="preserve">Applies the dose and frequency based on the Criteria version 3 (2g/kg loading dose and 0.7g/kg maintenance dose for Ig), the best estimates of transitions for remission, relapse and adverse events as described in section C.3.2 and </w:t>
            </w:r>
            <w:r w:rsidRPr="00076F94">
              <w:fldChar w:fldCharType="begin"/>
            </w:r>
            <w:r w:rsidRPr="00076F94">
              <w:instrText xml:space="preserve"> REF _Ref68178130 \h </w:instrText>
            </w:r>
            <w:r w:rsidR="003B4D35" w:rsidRPr="00076F94">
              <w:instrText xml:space="preserve"> \* MERGEFORMAT </w:instrText>
            </w:r>
            <w:r w:rsidRPr="00076F94">
              <w:fldChar w:fldCharType="separate"/>
            </w:r>
            <w:r w:rsidRPr="00076F94">
              <w:t xml:space="preserve">Table </w:t>
            </w:r>
            <w:r w:rsidRPr="00076F94">
              <w:rPr>
                <w:noProof/>
              </w:rPr>
              <w:t>39</w:t>
            </w:r>
            <w:r w:rsidRPr="00076F94">
              <w:fldChar w:fldCharType="end"/>
            </w:r>
            <w:r w:rsidRPr="00076F94">
              <w:t>, with the model time horizon of 10 years.</w:t>
            </w:r>
          </w:p>
        </w:tc>
        <w:tc>
          <w:tcPr>
            <w:tcW w:w="668" w:type="pct"/>
            <w:noWrap/>
            <w:hideMark/>
          </w:tcPr>
          <w:p w14:paraId="71D29BC4" w14:textId="77777777" w:rsidR="001B6086" w:rsidRPr="00076F94" w:rsidRDefault="001B6086" w:rsidP="00A97193">
            <w:pPr>
              <w:pStyle w:val="Tabletext"/>
              <w:ind w:left="0"/>
              <w:jc w:val="right"/>
            </w:pPr>
            <w:r w:rsidRPr="00076F94">
              <w:t>$137,443</w:t>
            </w:r>
          </w:p>
        </w:tc>
        <w:tc>
          <w:tcPr>
            <w:tcW w:w="668" w:type="pct"/>
            <w:noWrap/>
            <w:hideMark/>
          </w:tcPr>
          <w:p w14:paraId="37AE9980" w14:textId="77777777" w:rsidR="001B6086" w:rsidRPr="00076F94" w:rsidRDefault="001B6086" w:rsidP="00A97193">
            <w:pPr>
              <w:pStyle w:val="Tabletext"/>
              <w:ind w:left="106"/>
              <w:jc w:val="right"/>
            </w:pPr>
            <w:r w:rsidRPr="00076F94">
              <w:t>1.1840</w:t>
            </w:r>
          </w:p>
        </w:tc>
        <w:tc>
          <w:tcPr>
            <w:tcW w:w="679" w:type="pct"/>
            <w:noWrap/>
            <w:hideMark/>
          </w:tcPr>
          <w:p w14:paraId="4043A189" w14:textId="77777777" w:rsidR="001B6086" w:rsidRPr="00076F94" w:rsidRDefault="001B6086" w:rsidP="00A97193">
            <w:pPr>
              <w:pStyle w:val="Tabletext"/>
              <w:ind w:left="0"/>
              <w:jc w:val="right"/>
            </w:pPr>
            <w:r w:rsidRPr="00076F94">
              <w:t>$116,088</w:t>
            </w:r>
          </w:p>
        </w:tc>
      </w:tr>
      <w:tr w:rsidR="00076F94" w:rsidRPr="00076F94" w14:paraId="0CE4E9D0" w14:textId="77777777" w:rsidTr="00675B1C">
        <w:trPr>
          <w:cantSplit/>
          <w:trHeight w:val="300"/>
        </w:trPr>
        <w:tc>
          <w:tcPr>
            <w:tcW w:w="2985" w:type="pct"/>
            <w:noWrap/>
            <w:hideMark/>
          </w:tcPr>
          <w:p w14:paraId="6C647B0F" w14:textId="77777777" w:rsidR="00076F94" w:rsidRPr="00076F94" w:rsidRDefault="00076F94" w:rsidP="00076F94">
            <w:pPr>
              <w:pStyle w:val="Tabletext"/>
              <w:ind w:left="33"/>
              <w:rPr>
                <w:b/>
                <w:u w:val="single"/>
              </w:rPr>
            </w:pPr>
            <w:r w:rsidRPr="00076F94">
              <w:rPr>
                <w:b/>
                <w:u w:val="single"/>
              </w:rPr>
              <w:t>Ig versus plasma exchange</w:t>
            </w:r>
          </w:p>
          <w:p w14:paraId="65D1D1BA" w14:textId="26181A41" w:rsidR="00076F94" w:rsidRPr="00076F94" w:rsidRDefault="00076F94" w:rsidP="00076F94">
            <w:pPr>
              <w:pStyle w:val="Tabletext"/>
              <w:ind w:left="33"/>
            </w:pPr>
            <w:r w:rsidRPr="00076F94">
              <w:t xml:space="preserve">Applies the dose and frequency based on the Criteria version 3 for Ig and for PE from Gwathmey et al </w:t>
            </w:r>
            <w:r w:rsidRPr="00076F94">
              <w:fldChar w:fldCharType="begin"/>
            </w:r>
            <w:r w:rsidRPr="00076F94">
              <w:instrText xml:space="preserve"> ADDIN EN.CITE &lt;EndNote&gt;&lt;Cite ExcludeAuth="1"&gt;&lt;Author&gt;Gwathmey&lt;/Author&gt;&lt;Year&gt;2020&lt;/Year&gt;&lt;RecNum&gt;489&lt;/RecNum&gt;&lt;DisplayText&gt;(2020)&lt;/DisplayText&gt;&lt;record&gt;&lt;rec-number&gt;489&lt;/rec-number&gt;&lt;foreign-keys&gt;&lt;key app="EN" db-id="xtr5xfx2xf0wd7e0s2qvst2ietxxf0tpzr9v" timestamp="1602225824"&gt;489&lt;/key&gt;&lt;/foreign-keys&gt;&lt;ref-type name="Journal Article"&gt;17&lt;/ref-type&gt;&lt;contributors&gt;&lt;authors&gt;&lt;author&gt;Gwathmey, K.&lt;/author&gt;&lt;/authors&gt;&lt;/contributors&gt;&lt;titles&gt;&lt;title&gt;Chronic Inflammatory Demyelinating Polyradiculoneuropathy and Its Variants&lt;/title&gt;&lt;secondary-title&gt;Continuum (Minneap Minn)&lt;/secondary-title&gt;&lt;/titles&gt;&lt;periodical&gt;&lt;full-title&gt;Continuum (Minneap Minn)&lt;/full-title&gt;&lt;/periodical&gt;&lt;pages&gt;1205-1223&lt;/pages&gt;&lt;volume&gt;26&lt;/volume&gt;&lt;number&gt;5&lt;/number&gt;&lt;edition&gt;2020/10/02&lt;/edition&gt;&lt;dates&gt;&lt;year&gt;2020&lt;/year&gt;&lt;pub-dates&gt;&lt;date&gt;Oct&lt;/date&gt;&lt;/pub-dates&gt;&lt;/dates&gt;&lt;isbn&gt;1538-6899 (Electronic)&amp;#xD;1080-2371 (Linking)&lt;/isbn&gt;&lt;accession-num&gt;33002999&lt;/accession-num&gt;&lt;urls&gt;&lt;/urls&gt;&lt;electronic-resource-num&gt;10.1212/con.0000000000000907&lt;/electronic-resource-num&gt;&lt;remote-database-provider&gt;NLM&lt;/remote-database-provider&gt;&lt;language&gt;eng&lt;/language&gt;&lt;/record&gt;&lt;/Cite&gt;&lt;/EndNote&gt;</w:instrText>
            </w:r>
            <w:r w:rsidRPr="00076F94">
              <w:fldChar w:fldCharType="separate"/>
            </w:r>
            <w:r w:rsidRPr="00076F94">
              <w:rPr>
                <w:noProof/>
              </w:rPr>
              <w:t>(</w:t>
            </w:r>
            <w:hyperlink w:anchor="_ENREF_22" w:tooltip="Gwathmey, 2020 #489" w:history="1">
              <w:r w:rsidRPr="00076F94">
                <w:rPr>
                  <w:noProof/>
                </w:rPr>
                <w:t>2020</w:t>
              </w:r>
            </w:hyperlink>
            <w:r w:rsidRPr="00076F94">
              <w:rPr>
                <w:noProof/>
              </w:rPr>
              <w:t>)</w:t>
            </w:r>
            <w:r w:rsidRPr="00076F94">
              <w:fldChar w:fldCharType="end"/>
            </w:r>
            <w:r w:rsidRPr="00076F94">
              <w:t xml:space="preserve"> (</w:t>
            </w:r>
            <w:r w:rsidRPr="00076F94">
              <w:fldChar w:fldCharType="begin"/>
            </w:r>
            <w:r w:rsidRPr="00076F94">
              <w:instrText xml:space="preserve"> REF _Ref65086945 \h  \* MERGEFORMAT </w:instrText>
            </w:r>
            <w:r w:rsidRPr="00076F94">
              <w:fldChar w:fldCharType="separate"/>
            </w:r>
            <w:r w:rsidRPr="00076F94">
              <w:t xml:space="preserve">Table </w:t>
            </w:r>
            <w:r w:rsidRPr="00076F94">
              <w:rPr>
                <w:noProof/>
              </w:rPr>
              <w:t>28</w:t>
            </w:r>
            <w:r w:rsidRPr="00076F94">
              <w:fldChar w:fldCharType="end"/>
            </w:r>
            <w:r w:rsidRPr="00076F94">
              <w:t xml:space="preserve">), the best estimates of transitions for remission, relapse and adverse events as described in section C.3.2 and </w:t>
            </w:r>
            <w:r w:rsidRPr="00076F94">
              <w:fldChar w:fldCharType="begin"/>
            </w:r>
            <w:r w:rsidRPr="00076F94">
              <w:instrText xml:space="preserve"> REF _Ref68178130 \h  \* MERGEFORMAT </w:instrText>
            </w:r>
            <w:r w:rsidRPr="00076F94">
              <w:fldChar w:fldCharType="separate"/>
            </w:r>
            <w:r w:rsidRPr="00076F94">
              <w:t xml:space="preserve">Table </w:t>
            </w:r>
            <w:r w:rsidRPr="00076F94">
              <w:rPr>
                <w:noProof/>
              </w:rPr>
              <w:t>39</w:t>
            </w:r>
            <w:r w:rsidRPr="00076F94">
              <w:fldChar w:fldCharType="end"/>
            </w:r>
            <w:r w:rsidRPr="00076F94">
              <w:t xml:space="preserve"> with the model time horizon of 10 years.</w:t>
            </w:r>
          </w:p>
        </w:tc>
        <w:tc>
          <w:tcPr>
            <w:tcW w:w="668" w:type="pct"/>
            <w:noWrap/>
            <w:hideMark/>
          </w:tcPr>
          <w:p w14:paraId="3D67C056" w14:textId="13A626D8" w:rsidR="00076F94" w:rsidRPr="00076F94" w:rsidRDefault="00076F94" w:rsidP="00076F94">
            <w:pPr>
              <w:pStyle w:val="Tabletext"/>
              <w:ind w:left="0"/>
              <w:jc w:val="right"/>
            </w:pPr>
            <w:r w:rsidRPr="00076F94">
              <w:t>$68,372</w:t>
            </w:r>
          </w:p>
        </w:tc>
        <w:tc>
          <w:tcPr>
            <w:tcW w:w="668" w:type="pct"/>
            <w:noWrap/>
            <w:hideMark/>
          </w:tcPr>
          <w:p w14:paraId="504A6F12" w14:textId="1C9258D9" w:rsidR="00076F94" w:rsidRPr="00076F94" w:rsidRDefault="00076F94" w:rsidP="00076F94">
            <w:pPr>
              <w:pStyle w:val="Tabletext"/>
              <w:ind w:left="106"/>
              <w:jc w:val="right"/>
            </w:pPr>
            <w:r w:rsidRPr="00076F94">
              <w:t>0.5316</w:t>
            </w:r>
          </w:p>
        </w:tc>
        <w:tc>
          <w:tcPr>
            <w:tcW w:w="679" w:type="pct"/>
            <w:noWrap/>
            <w:hideMark/>
          </w:tcPr>
          <w:p w14:paraId="5293D87C" w14:textId="53E00AEC" w:rsidR="00076F94" w:rsidRPr="00076F94" w:rsidRDefault="00076F94" w:rsidP="00076F94">
            <w:pPr>
              <w:pStyle w:val="Tabletext"/>
              <w:ind w:left="0"/>
              <w:jc w:val="right"/>
            </w:pPr>
            <w:r w:rsidRPr="00076F94">
              <w:t>$128,614</w:t>
            </w:r>
          </w:p>
        </w:tc>
      </w:tr>
      <w:tr w:rsidR="001B6086" w:rsidRPr="00076F94" w14:paraId="7024B453" w14:textId="77777777" w:rsidTr="00675B1C">
        <w:trPr>
          <w:cantSplit/>
          <w:trHeight w:val="300"/>
        </w:trPr>
        <w:tc>
          <w:tcPr>
            <w:tcW w:w="2985" w:type="pct"/>
            <w:tcBorders>
              <w:bottom w:val="single" w:sz="4" w:space="0" w:color="auto"/>
            </w:tcBorders>
            <w:noWrap/>
            <w:hideMark/>
          </w:tcPr>
          <w:p w14:paraId="44EA7F18" w14:textId="77777777" w:rsidR="001B6086" w:rsidRPr="00076F94" w:rsidRDefault="001B6086" w:rsidP="00A97193">
            <w:pPr>
              <w:pStyle w:val="Tabletext"/>
              <w:ind w:left="33"/>
              <w:rPr>
                <w:b/>
                <w:u w:val="single"/>
              </w:rPr>
            </w:pPr>
            <w:r w:rsidRPr="00076F94">
              <w:rPr>
                <w:b/>
                <w:u w:val="single"/>
              </w:rPr>
              <w:t>Second line Ig versus placebo</w:t>
            </w:r>
          </w:p>
          <w:p w14:paraId="731A8DD6" w14:textId="05B3EB43" w:rsidR="001B6086" w:rsidRPr="00076F94" w:rsidRDefault="001B6086" w:rsidP="00A97193">
            <w:pPr>
              <w:pStyle w:val="Tabletext"/>
              <w:ind w:left="33"/>
            </w:pPr>
            <w:r w:rsidRPr="00076F94">
              <w:t xml:space="preserve">Applies the dose and frequency based on the Criteria version 3 for Ig and no treatment for placebo, the best estimates of transitions for remission, relapse and adverse events as described in section C.3.2 and </w:t>
            </w:r>
            <w:r w:rsidRPr="00076F94">
              <w:fldChar w:fldCharType="begin"/>
            </w:r>
            <w:r w:rsidRPr="00076F94">
              <w:instrText xml:space="preserve"> REF _Ref68178130 \h </w:instrText>
            </w:r>
            <w:r w:rsidR="003B4D35" w:rsidRPr="00076F94">
              <w:instrText xml:space="preserve"> \* MERGEFORMAT </w:instrText>
            </w:r>
            <w:r w:rsidRPr="00076F94">
              <w:fldChar w:fldCharType="separate"/>
            </w:r>
            <w:r w:rsidRPr="00076F94">
              <w:t xml:space="preserve">Table </w:t>
            </w:r>
            <w:r w:rsidRPr="00076F94">
              <w:rPr>
                <w:noProof/>
              </w:rPr>
              <w:t>39</w:t>
            </w:r>
            <w:r w:rsidRPr="00076F94">
              <w:fldChar w:fldCharType="end"/>
            </w:r>
            <w:r w:rsidRPr="00076F94">
              <w:t xml:space="preserve"> with the model time horizon of 10 years.</w:t>
            </w:r>
          </w:p>
        </w:tc>
        <w:tc>
          <w:tcPr>
            <w:tcW w:w="668" w:type="pct"/>
            <w:tcBorders>
              <w:bottom w:val="single" w:sz="4" w:space="0" w:color="auto"/>
            </w:tcBorders>
            <w:noWrap/>
            <w:hideMark/>
          </w:tcPr>
          <w:p w14:paraId="5CC04DF1" w14:textId="77777777" w:rsidR="001B6086" w:rsidRPr="00076F94" w:rsidRDefault="001B6086" w:rsidP="00A97193">
            <w:pPr>
              <w:pStyle w:val="Tabletext"/>
              <w:ind w:left="0"/>
              <w:jc w:val="right"/>
              <w:rPr>
                <w:b/>
              </w:rPr>
            </w:pPr>
            <w:r w:rsidRPr="00076F94">
              <w:t>$159,573</w:t>
            </w:r>
          </w:p>
        </w:tc>
        <w:tc>
          <w:tcPr>
            <w:tcW w:w="668" w:type="pct"/>
            <w:tcBorders>
              <w:bottom w:val="single" w:sz="4" w:space="0" w:color="auto"/>
            </w:tcBorders>
            <w:noWrap/>
            <w:hideMark/>
          </w:tcPr>
          <w:p w14:paraId="587AF27D" w14:textId="77777777" w:rsidR="001B6086" w:rsidRPr="00076F94" w:rsidRDefault="001B6086" w:rsidP="00A97193">
            <w:pPr>
              <w:pStyle w:val="Tabletext"/>
              <w:ind w:left="106"/>
              <w:jc w:val="right"/>
              <w:rPr>
                <w:b/>
              </w:rPr>
            </w:pPr>
            <w:r w:rsidRPr="00076F94">
              <w:t>1.7162</w:t>
            </w:r>
          </w:p>
        </w:tc>
        <w:tc>
          <w:tcPr>
            <w:tcW w:w="679" w:type="pct"/>
            <w:tcBorders>
              <w:bottom w:val="single" w:sz="4" w:space="0" w:color="auto"/>
            </w:tcBorders>
            <w:noWrap/>
            <w:hideMark/>
          </w:tcPr>
          <w:p w14:paraId="7FB57A60" w14:textId="77777777" w:rsidR="001B6086" w:rsidRPr="00076F94" w:rsidRDefault="001B6086" w:rsidP="00A97193">
            <w:pPr>
              <w:pStyle w:val="Tabletext"/>
              <w:ind w:left="0"/>
              <w:jc w:val="right"/>
              <w:rPr>
                <w:b/>
              </w:rPr>
            </w:pPr>
            <w:r w:rsidRPr="00076F94">
              <w:t>$92,983</w:t>
            </w:r>
          </w:p>
        </w:tc>
      </w:tr>
    </w:tbl>
    <w:p w14:paraId="36464997" w14:textId="7694F49F" w:rsidR="00BB77CD" w:rsidRPr="00076F94" w:rsidRDefault="001B6086" w:rsidP="00C55C32">
      <w:pPr>
        <w:pStyle w:val="Tablenotes2"/>
        <w:spacing w:before="0"/>
      </w:pPr>
      <w:r w:rsidRPr="00076F94">
        <w:t>ICER = incremental cost-effectiveness ratio; Inc = incremental; Ig = immunoglobulin; PE = plasma exchange; QALY = quality-adjusted life years.</w:t>
      </w:r>
    </w:p>
    <w:p w14:paraId="5C611C92" w14:textId="28A92EBC" w:rsidR="00A0363A" w:rsidRPr="003B4D35" w:rsidRDefault="000009C3" w:rsidP="00C55C32">
      <w:pPr>
        <w:pStyle w:val="Tablenotes2"/>
        <w:spacing w:before="0"/>
      </w:pPr>
      <w:r w:rsidRPr="00076F94">
        <w:t xml:space="preserve">SOURCE: Table 3 </w:t>
      </w:r>
      <w:r w:rsidR="00076F94" w:rsidRPr="00076F94">
        <w:t>(</w:t>
      </w:r>
      <w:r w:rsidR="00076F94" w:rsidRPr="00076F94">
        <w:rPr>
          <w:b/>
          <w:bCs/>
        </w:rPr>
        <w:t>corrected</w:t>
      </w:r>
      <w:r w:rsidR="00076F94" w:rsidRPr="00076F94">
        <w:t xml:space="preserve"> as per Erratum)</w:t>
      </w:r>
      <w:r w:rsidR="00076F94">
        <w:t xml:space="preserve"> </w:t>
      </w:r>
      <w:r w:rsidRPr="00076F94">
        <w:t>of Mittal R, Milverton J, Schubert C, Parsons J (2021). Immunoglobulin for Chronic Inflammatory Demyelinating Polyneuropathy (CIDP). MSAC Application 1564.1, Re-submission assessment Report. Commonwealth of Australia, Canberra, ACT</w:t>
      </w:r>
      <w:r w:rsidR="00076F94">
        <w:t xml:space="preserve"> </w:t>
      </w:r>
    </w:p>
    <w:p w14:paraId="3D2BC53B" w14:textId="47F9FCB9" w:rsidR="001B6086" w:rsidRPr="003B4D35" w:rsidRDefault="001B6086" w:rsidP="000D5C36">
      <w:pPr>
        <w:spacing w:before="120" w:after="120"/>
      </w:pPr>
      <w:r w:rsidRPr="003B4D35">
        <w:lastRenderedPageBreak/>
        <w:t>Results of the stepped economic analysis of each of the three comparisons are below:</w:t>
      </w:r>
    </w:p>
    <w:p w14:paraId="7D9B83B7" w14:textId="144FD06F" w:rsidR="0084375B" w:rsidRPr="003B4D35" w:rsidRDefault="00B972B2" w:rsidP="008B6093">
      <w:pPr>
        <w:pStyle w:val="Heading2"/>
        <w:spacing w:after="120"/>
      </w:pPr>
      <w:r w:rsidRPr="003B4D35">
        <w:t xml:space="preserve">Ig </w:t>
      </w:r>
      <w:r w:rsidR="004B0A47" w:rsidRPr="003B4D35">
        <w:t>versus</w:t>
      </w:r>
      <w:r w:rsidRPr="003B4D35">
        <w:t xml:space="preserve"> corticosteroids</w:t>
      </w:r>
    </w:p>
    <w:p w14:paraId="1BACFCB6" w14:textId="375CA08A" w:rsidR="00B972B2" w:rsidRPr="003B4D35" w:rsidRDefault="004D73EF" w:rsidP="004D73EF">
      <w:pPr>
        <w:pStyle w:val="Caption"/>
      </w:pPr>
      <w:bookmarkStart w:id="23" w:name="_Ref13227870"/>
      <w:bookmarkStart w:id="24" w:name="_Toc14429596"/>
      <w:bookmarkStart w:id="25" w:name="_Toc14348890"/>
      <w:bookmarkStart w:id="26" w:name="_Toc69305686"/>
      <w:r w:rsidRPr="003B4D35">
        <w:t>Table 4</w:t>
      </w:r>
      <w:r w:rsidRPr="003B4D35">
        <w:tab/>
        <w:t>Results of the stepped economic analysis: IVIg vs corticosteroids</w:t>
      </w:r>
      <w:bookmarkEnd w:id="23"/>
      <w:bookmarkEnd w:id="24"/>
      <w:bookmarkEnd w:id="25"/>
      <w:bookmarkEnd w:id="26"/>
    </w:p>
    <w:tbl>
      <w:tblPr>
        <w:tblStyle w:val="TableGrid112"/>
        <w:tblW w:w="5000" w:type="pct"/>
        <w:tblInd w:w="0" w:type="dxa"/>
        <w:tblLayout w:type="fixed"/>
        <w:tblLook w:val="04A0" w:firstRow="1" w:lastRow="0" w:firstColumn="1" w:lastColumn="0" w:noHBand="0" w:noVBand="1"/>
        <w:tblCaption w:val="Results of the stepped economic analysis: IVIg vs corticosteroids"/>
        <w:tblDescription w:val="Results of the stepped economic analysis: IVIg vs corticosteroids"/>
      </w:tblPr>
      <w:tblGrid>
        <w:gridCol w:w="4957"/>
        <w:gridCol w:w="1275"/>
        <w:gridCol w:w="1417"/>
        <w:gridCol w:w="1367"/>
      </w:tblGrid>
      <w:tr w:rsidR="00B972B2" w:rsidRPr="003B4D35" w14:paraId="38CE5F68" w14:textId="77777777" w:rsidTr="006853A3">
        <w:trPr>
          <w:cnfStyle w:val="100000000000" w:firstRow="1" w:lastRow="0" w:firstColumn="0" w:lastColumn="0" w:oddVBand="0" w:evenVBand="0" w:oddHBand="0" w:evenHBand="0" w:firstRowFirstColumn="0" w:firstRowLastColumn="0" w:lastRowFirstColumn="0" w:lastRowLastColumn="0"/>
          <w:cantSplit/>
          <w:trHeight w:val="116"/>
          <w:tblHeader/>
        </w:trPr>
        <w:tc>
          <w:tcPr>
            <w:tcW w:w="2749" w:type="pct"/>
            <w:tcBorders>
              <w:top w:val="single" w:sz="4" w:space="0" w:color="auto"/>
              <w:left w:val="single" w:sz="4" w:space="0" w:color="auto"/>
              <w:bottom w:val="single" w:sz="4" w:space="0" w:color="auto"/>
              <w:right w:val="single" w:sz="4" w:space="0" w:color="auto"/>
            </w:tcBorders>
            <w:noWrap/>
            <w:hideMark/>
          </w:tcPr>
          <w:p w14:paraId="56678A63" w14:textId="77777777" w:rsidR="00B972B2" w:rsidRPr="003B4D35" w:rsidRDefault="00B972B2" w:rsidP="00B972B2">
            <w:pPr>
              <w:keepNext/>
              <w:rPr>
                <w:rFonts w:ascii="Arial Narrow" w:hAnsi="Arial Narrow" w:cs="Tahoma"/>
                <w:b/>
              </w:rPr>
            </w:pPr>
          </w:p>
        </w:tc>
        <w:tc>
          <w:tcPr>
            <w:tcW w:w="707" w:type="pct"/>
            <w:tcBorders>
              <w:top w:val="single" w:sz="4" w:space="0" w:color="auto"/>
              <w:left w:val="single" w:sz="4" w:space="0" w:color="auto"/>
              <w:bottom w:val="single" w:sz="4" w:space="0" w:color="auto"/>
              <w:right w:val="single" w:sz="4" w:space="0" w:color="auto"/>
            </w:tcBorders>
            <w:noWrap/>
            <w:hideMark/>
          </w:tcPr>
          <w:p w14:paraId="5D34E19D" w14:textId="77777777" w:rsidR="00B972B2" w:rsidRPr="003B4D35" w:rsidRDefault="00B972B2" w:rsidP="00B972B2">
            <w:pPr>
              <w:keepNext/>
              <w:rPr>
                <w:rFonts w:ascii="Arial Narrow" w:hAnsi="Arial Narrow" w:cs="Tahoma"/>
                <w:b/>
              </w:rPr>
            </w:pPr>
            <w:r w:rsidRPr="003B4D35">
              <w:rPr>
                <w:rFonts w:ascii="Arial Narrow" w:hAnsi="Arial Narrow" w:cs="Tahoma"/>
                <w:b/>
              </w:rPr>
              <w:t>Inc. cost</w:t>
            </w:r>
          </w:p>
        </w:tc>
        <w:tc>
          <w:tcPr>
            <w:tcW w:w="786" w:type="pct"/>
            <w:tcBorders>
              <w:top w:val="single" w:sz="4" w:space="0" w:color="auto"/>
              <w:left w:val="single" w:sz="4" w:space="0" w:color="auto"/>
              <w:bottom w:val="single" w:sz="4" w:space="0" w:color="auto"/>
              <w:right w:val="single" w:sz="4" w:space="0" w:color="auto"/>
            </w:tcBorders>
            <w:noWrap/>
            <w:hideMark/>
          </w:tcPr>
          <w:p w14:paraId="50C02238" w14:textId="77777777" w:rsidR="00B972B2" w:rsidRPr="003B4D35" w:rsidRDefault="00B972B2" w:rsidP="00B972B2">
            <w:pPr>
              <w:keepNext/>
              <w:rPr>
                <w:rFonts w:ascii="Arial Narrow" w:hAnsi="Arial Narrow" w:cs="Tahoma"/>
                <w:b/>
              </w:rPr>
            </w:pPr>
            <w:r w:rsidRPr="003B4D35">
              <w:rPr>
                <w:rFonts w:ascii="Arial Narrow" w:hAnsi="Arial Narrow" w:cs="Tahoma"/>
                <w:b/>
              </w:rPr>
              <w:t>Inc. QALYs</w:t>
            </w:r>
          </w:p>
        </w:tc>
        <w:tc>
          <w:tcPr>
            <w:tcW w:w="758" w:type="pct"/>
            <w:tcBorders>
              <w:top w:val="single" w:sz="4" w:space="0" w:color="auto"/>
              <w:left w:val="single" w:sz="4" w:space="0" w:color="auto"/>
              <w:bottom w:val="single" w:sz="4" w:space="0" w:color="auto"/>
              <w:right w:val="single" w:sz="4" w:space="0" w:color="auto"/>
            </w:tcBorders>
            <w:noWrap/>
            <w:hideMark/>
          </w:tcPr>
          <w:p w14:paraId="75EDA48B" w14:textId="77777777" w:rsidR="00B972B2" w:rsidRPr="003B4D35" w:rsidRDefault="00B972B2" w:rsidP="00B972B2">
            <w:pPr>
              <w:keepNext/>
              <w:rPr>
                <w:rFonts w:ascii="Arial Narrow" w:hAnsi="Arial Narrow" w:cs="Tahoma"/>
                <w:b/>
              </w:rPr>
            </w:pPr>
            <w:r w:rsidRPr="003B4D35">
              <w:rPr>
                <w:rFonts w:ascii="Arial Narrow" w:hAnsi="Arial Narrow" w:cs="Tahoma"/>
                <w:b/>
              </w:rPr>
              <w:t>ICER</w:t>
            </w:r>
          </w:p>
        </w:tc>
      </w:tr>
      <w:tr w:rsidR="00B972B2" w:rsidRPr="003B4D35" w14:paraId="2064E17B" w14:textId="77777777" w:rsidTr="006853A3">
        <w:trPr>
          <w:cantSplit/>
          <w:trHeight w:val="300"/>
        </w:trPr>
        <w:tc>
          <w:tcPr>
            <w:tcW w:w="2749" w:type="pct"/>
            <w:tcBorders>
              <w:top w:val="single" w:sz="4" w:space="0" w:color="auto"/>
              <w:left w:val="single" w:sz="4" w:space="0" w:color="auto"/>
              <w:bottom w:val="single" w:sz="4" w:space="0" w:color="auto"/>
              <w:right w:val="single" w:sz="4" w:space="0" w:color="auto"/>
            </w:tcBorders>
            <w:noWrap/>
            <w:hideMark/>
          </w:tcPr>
          <w:p w14:paraId="602EFCCF" w14:textId="77777777" w:rsidR="00B972B2" w:rsidRPr="003B4D35" w:rsidRDefault="00B972B2" w:rsidP="00B972B2">
            <w:pPr>
              <w:rPr>
                <w:rFonts w:cs="Tahoma"/>
              </w:rPr>
            </w:pPr>
            <w:r w:rsidRPr="003B4D35">
              <w:rPr>
                <w:rFonts w:cs="Tahoma"/>
              </w:rPr>
              <w:t>Step 1 – Trial-based analysis.</w:t>
            </w:r>
          </w:p>
          <w:p w14:paraId="05A57DD9" w14:textId="2829EA06" w:rsidR="00B972B2" w:rsidRPr="003B4D35" w:rsidRDefault="00B972B2" w:rsidP="00B972B2">
            <w:pPr>
              <w:rPr>
                <w:rFonts w:cs="Tahoma"/>
              </w:rPr>
            </w:pPr>
            <w:r w:rsidRPr="003B4D35">
              <w:rPr>
                <w:rFonts w:cs="Tahoma"/>
              </w:rPr>
              <w:t xml:space="preserve">Applies the dose (2 g/kg), dose frequency (q4w), non-responder rates, adverse event rates, time horizon (48 weeks) and treatment duration (24 weeks) as per the Nobile-Orazio et al </w:t>
            </w:r>
            <w:r w:rsidRPr="003B4D35">
              <w:rPr>
                <w:rFonts w:cs="Tahoma"/>
              </w:rPr>
              <w:fldChar w:fldCharType="begin">
                <w:fldData xml:space="preserve">PEVuZE5vdGU+PENpdGUgRXhjbHVkZUF1dGg9IjEiPjxBdXRob3I+Tm9iaWxlLU9yYXppbzwvQXV0
aG9yPjxZZWFyPjIwMTI8L1llYXI+PFJlY051bT4xMDwvUmVjTnVtPjxEaXNwbGF5VGV4dD4oMjAx
Mik8L0Rpc3BsYXlUZXh0PjxyZWNvcmQ+PHJlYy1udW1iZXI+MTA8L3JlYy1udW1iZXI+PGZvcmVp
Z24ta2V5cz48a2V5IGFwcD0iRU4iIGRiLWlkPSJ4dHI1eGZ4MnhmMHdkN2UwczJxdnN0MmlldHh4
ZjB0cHpyOXYiIHRpbWVzdGFtcD0iMTYwMTI3MzQ1NiI+MTA8L2tleT48L2ZvcmVpZ24ta2V5cz48
cmVmLXR5cGUgbmFtZT0iSm91cm5hbCBBcnRpY2xlIj4xNzwvcmVmLXR5cGU+PGNvbnRyaWJ1dG9y
cz48YXV0aG9ycz48YXV0aG9yPk5vYmlsZS1PcmF6aW8sIEUuPC9hdXRob3I+PGF1dGhvcj5Db2Np
dG8sIEQuPC9hdXRob3I+PGF1dGhvcj5KYW5uLCBTLjwvYXV0aG9yPjxhdXRob3I+VW5jaW5pLCBB
LjwvYXV0aG9yPjxhdXRob3I+QmVnaGksIEUuPC9hdXRob3I+PGF1dGhvcj5NZXNzaW5hLCBQLjwv
YXV0aG9yPjxhdXRob3I+QW50b25pbmksIEcuPC9hdXRob3I+PGF1dGhvcj5GYXppbywgUi48L2F1
dGhvcj48YXV0aG9yPkdhbGxpYSwgRi48L2F1dGhvcj48YXV0aG9yPlNjaGVub25lLCBBLjwvYXV0
aG9yPjxhdXRob3I+RnJhbmNpYSwgQS48L2F1dGhvcj48YXV0aG9yPlBhcmV5c29uLCBELjwvYXV0
aG9yPjxhdXRob3I+U2FudG9ybywgTC48L2F1dGhvcj48YXV0aG9yPlRhbWJ1cmluLCBTLjwvYXV0
aG9yPjxhdXRob3I+TWFjY2hpYSwgUi48L2F1dGhvcj48YXV0aG9yPkNhdmFsZXR0aSwgRy48L2F1
dGhvcj48YXV0aG9yPkdpYW5uaW5pLCBGLjwvYXV0aG9yPjxhdXRob3I+U2FiYXRlbGxpLCBNLjwv
YXV0aG9yPjwvYXV0aG9ycz48L2NvbnRyaWJ1dG9ycz48YXV0aC1hZGRyZXNzPkRlcGFydG1lbnQg
b2YgVHJhbnNsYXRpb25hbCBNZWRpY2luZSwgTWlsYW4gVW5pdmVyc2l0eSwgMm5kIE5ldXJvbG9n
eSwgSVJDQ1MgSHVtYW5pdGFzIENsaW5pY2FsIEluc3RpdHV0ZSwgUm96emFubywgTWlsYW4sIEl0
YWx5LiBlZHVhcmRvLm5vYmlsZUB1bmltaS5pdDwvYXV0aC1hZGRyZXNzPjx0aXRsZXM+PHRpdGxl
PkludHJhdmVub3VzIGltbXVub2dsb2J1bGluIHZlcnN1cyBpbnRyYXZlbm91cyBtZXRoeWxwcmVk
bmlzb2xvbmUgZm9yIGNocm9uaWMgaW5mbGFtbWF0b3J5IGRlbXllbGluYXRpbmcgcG9seXJhZGlj
dWxvbmV1cm9wYXRoeTogYSByYW5kb21pc2VkIGNvbnRyb2xsZWQgdHJpYWw8L3RpdGxlPjxzZWNv
bmRhcnktdGl0bGU+TGFuY2V0IE5ldXJvbDwvc2Vjb25kYXJ5LXRpdGxlPjwvdGl0bGVzPjxwZXJp
b2RpY2FsPjxmdWxsLXRpdGxlPkxhbmNldCBOZXVyb2w8L2Z1bGwtdGl0bGU+PC9wZXJpb2RpY2Fs
PjxwYWdlcz40OTMtNTAyPC9wYWdlcz48dm9sdW1lPjExPC92b2x1bWU+PG51bWJlcj42PC9udW1i
ZXI+PGVkaXRpb24+MjAxMi8wNS8xNTwvZWRpdGlvbj48a2V5d29yZHM+PGtleXdvcmQ+QWR1bHQ8
L2tleXdvcmQ+PGtleXdvcmQ+QWdlZDwva2V5d29yZD48a2V5d29yZD5BZ2VkLCA4MCBhbmQgb3Zl
cjwva2V5d29yZD48a2V5d29yZD5BbnRpLUluZmxhbW1hdG9yeSBBZ2VudHMvIGFkbWluaXN0cmF0
aW9uICZhbXA7IGRvc2FnZS9hZHZlcnNlIGVmZmVjdHM8L2tleXdvcmQ+PGtleXdvcmQ+RG91Ymxl
LUJsaW5kIE1ldGhvZDwva2V5d29yZD48a2V5d29yZD5GZW1hbGU8L2tleXdvcmQ+PGtleXdvcmQ+
Rm9sbG93LVVwIFN0dWRpZXM8L2tleXdvcmQ+PGtleXdvcmQ+SHVtYW5zPC9rZXl3b3JkPjxrZXl3
b3JkPkltbXVub2dsb2J1bGlucywgSW50cmF2ZW5vdXMvIGFkbWluaXN0cmF0aW9uICZhbXA7IGRv
c2FnZS9hZHZlcnNlIGVmZmVjdHM8L2tleXdvcmQ+PGtleXdvcmQ+SW5mdXNpb25zLCBJbnRyYXZl
bm91czwva2V5d29yZD48a2V5d29yZD5NYWxlPC9rZXl3b3JkPjxrZXl3b3JkPk1ldGh5bHByZWRu
aXNvbG9uZS8gYWRtaW5pc3RyYXRpb24gJmFtcDsgZG9zYWdlL2FkdmVyc2UgZWZmZWN0czwva2V5
d29yZD48a2V5d29yZD5NaWRkbGUgQWdlZDwva2V5d29yZD48a2V5d29yZD5Qb2x5cmFkaWN1bG9u
ZXVyb3BhdGh5LCBDaHJvbmljIEluZmxhbW1hdG9yeSBEZW15ZWxpbmF0aW5nLyBkcnVnPC9rZXl3
b3JkPjxrZXl3b3JkPnRoZXJhcHkvcGh5c2lvcGF0aG9sb2d5PC9rZXl3b3JkPjxrZXl3b3JkPlJl
Y3VycmVuY2U8L2tleXdvcmQ+PGtleXdvcmQ+U2V2ZXJpdHkgb2YgSWxsbmVzcyBJbmRleDwva2V5
d29yZD48a2V5d29yZD5UcmVhdG1lbnQgT3V0Y29tZTwva2V5d29yZD48a2V5d29yZD5Zb3VuZyBB
ZHVsdDwva2V5d29yZD48L2tleXdvcmRzPjxkYXRlcz48eWVhcj4yMDEyPC95ZWFyPjxwdWItZGF0
ZXM+PGRhdGU+SnVuPC9kYXRlPjwvcHViLWRhdGVzPjwvZGF0ZXM+PGlzYm4+MTQ3NC00NDY1IChF
bGVjdHJvbmljKSYjeEQ7MTQ3NC00NDIyIChMaW5raW5nKTwvaXNibj48YWNjZXNzaW9uLW51bT4y
MjU3ODkxNDwvYWNjZXNzaW9uLW51bT48dXJscz48L3VybHM+PGVsZWN0cm9uaWMtcmVzb3VyY2Ut
bnVtPjEwLjEwMTYvczE0NzQtNDQyMigxMik3MDA5My01PC9lbGVjdHJvbmljLXJlc291cmNlLW51
bT48cmVtb3RlLWRhdGFiYXNlLXByb3ZpZGVyPk5MTTwvcmVtb3RlLWRhdGFiYXNlLXByb3ZpZGVy
PjxsYW5ndWFnZT5lbmc8L2xhbmd1YWdlPjwvcmVjb3JkPjwvQ2l0ZT48L0VuZE5vdGU+AG==
</w:fldData>
              </w:fldChar>
            </w:r>
            <w:r w:rsidRPr="003B4D35">
              <w:rPr>
                <w:rFonts w:cs="Tahoma"/>
              </w:rPr>
              <w:instrText xml:space="preserve"> ADDIN EN.CITE </w:instrText>
            </w:r>
            <w:r w:rsidRPr="003B4D35">
              <w:rPr>
                <w:rFonts w:cs="Tahoma"/>
              </w:rPr>
              <w:fldChar w:fldCharType="begin">
                <w:fldData xml:space="preserve">PEVuZE5vdGU+PENpdGUgRXhjbHVkZUF1dGg9IjEiPjxBdXRob3I+Tm9iaWxlLU9yYXppbzwvQXV0
aG9yPjxZZWFyPjIwMTI8L1llYXI+PFJlY051bT4xMDwvUmVjTnVtPjxEaXNwbGF5VGV4dD4oMjAx
Mik8L0Rpc3BsYXlUZXh0PjxyZWNvcmQ+PHJlYy1udW1iZXI+MTA8L3JlYy1udW1iZXI+PGZvcmVp
Z24ta2V5cz48a2V5IGFwcD0iRU4iIGRiLWlkPSJ4dHI1eGZ4MnhmMHdkN2UwczJxdnN0MmlldHh4
ZjB0cHpyOXYiIHRpbWVzdGFtcD0iMTYwMTI3MzQ1NiI+MTA8L2tleT48L2ZvcmVpZ24ta2V5cz48
cmVmLXR5cGUgbmFtZT0iSm91cm5hbCBBcnRpY2xlIj4xNzwvcmVmLXR5cGU+PGNvbnRyaWJ1dG9y
cz48YXV0aG9ycz48YXV0aG9yPk5vYmlsZS1PcmF6aW8sIEUuPC9hdXRob3I+PGF1dGhvcj5Db2Np
dG8sIEQuPC9hdXRob3I+PGF1dGhvcj5KYW5uLCBTLjwvYXV0aG9yPjxhdXRob3I+VW5jaW5pLCBB
LjwvYXV0aG9yPjxhdXRob3I+QmVnaGksIEUuPC9hdXRob3I+PGF1dGhvcj5NZXNzaW5hLCBQLjwv
YXV0aG9yPjxhdXRob3I+QW50b25pbmksIEcuPC9hdXRob3I+PGF1dGhvcj5GYXppbywgUi48L2F1
dGhvcj48YXV0aG9yPkdhbGxpYSwgRi48L2F1dGhvcj48YXV0aG9yPlNjaGVub25lLCBBLjwvYXV0
aG9yPjxhdXRob3I+RnJhbmNpYSwgQS48L2F1dGhvcj48YXV0aG9yPlBhcmV5c29uLCBELjwvYXV0
aG9yPjxhdXRob3I+U2FudG9ybywgTC48L2F1dGhvcj48YXV0aG9yPlRhbWJ1cmluLCBTLjwvYXV0
aG9yPjxhdXRob3I+TWFjY2hpYSwgUi48L2F1dGhvcj48YXV0aG9yPkNhdmFsZXR0aSwgRy48L2F1
dGhvcj48YXV0aG9yPkdpYW5uaW5pLCBGLjwvYXV0aG9yPjxhdXRob3I+U2FiYXRlbGxpLCBNLjwv
YXV0aG9yPjwvYXV0aG9ycz48L2NvbnRyaWJ1dG9ycz48YXV0aC1hZGRyZXNzPkRlcGFydG1lbnQg
b2YgVHJhbnNsYXRpb25hbCBNZWRpY2luZSwgTWlsYW4gVW5pdmVyc2l0eSwgMm5kIE5ldXJvbG9n
eSwgSVJDQ1MgSHVtYW5pdGFzIENsaW5pY2FsIEluc3RpdHV0ZSwgUm96emFubywgTWlsYW4sIEl0
YWx5LiBlZHVhcmRvLm5vYmlsZUB1bmltaS5pdDwvYXV0aC1hZGRyZXNzPjx0aXRsZXM+PHRpdGxl
PkludHJhdmVub3VzIGltbXVub2dsb2J1bGluIHZlcnN1cyBpbnRyYXZlbm91cyBtZXRoeWxwcmVk
bmlzb2xvbmUgZm9yIGNocm9uaWMgaW5mbGFtbWF0b3J5IGRlbXllbGluYXRpbmcgcG9seXJhZGlj
dWxvbmV1cm9wYXRoeTogYSByYW5kb21pc2VkIGNvbnRyb2xsZWQgdHJpYWw8L3RpdGxlPjxzZWNv
bmRhcnktdGl0bGU+TGFuY2V0IE5ldXJvbDwvc2Vjb25kYXJ5LXRpdGxlPjwvdGl0bGVzPjxwZXJp
b2RpY2FsPjxmdWxsLXRpdGxlPkxhbmNldCBOZXVyb2w8L2Z1bGwtdGl0bGU+PC9wZXJpb2RpY2Fs
PjxwYWdlcz40OTMtNTAyPC9wYWdlcz48dm9sdW1lPjExPC92b2x1bWU+PG51bWJlcj42PC9udW1i
ZXI+PGVkaXRpb24+MjAxMi8wNS8xNTwvZWRpdGlvbj48a2V5d29yZHM+PGtleXdvcmQ+QWR1bHQ8
L2tleXdvcmQ+PGtleXdvcmQ+QWdlZDwva2V5d29yZD48a2V5d29yZD5BZ2VkLCA4MCBhbmQgb3Zl
cjwva2V5d29yZD48a2V5d29yZD5BbnRpLUluZmxhbW1hdG9yeSBBZ2VudHMvIGFkbWluaXN0cmF0
aW9uICZhbXA7IGRvc2FnZS9hZHZlcnNlIGVmZmVjdHM8L2tleXdvcmQ+PGtleXdvcmQ+RG91Ymxl
LUJsaW5kIE1ldGhvZDwva2V5d29yZD48a2V5d29yZD5GZW1hbGU8L2tleXdvcmQ+PGtleXdvcmQ+
Rm9sbG93LVVwIFN0dWRpZXM8L2tleXdvcmQ+PGtleXdvcmQ+SHVtYW5zPC9rZXl3b3JkPjxrZXl3
b3JkPkltbXVub2dsb2J1bGlucywgSW50cmF2ZW5vdXMvIGFkbWluaXN0cmF0aW9uICZhbXA7IGRv
c2FnZS9hZHZlcnNlIGVmZmVjdHM8L2tleXdvcmQ+PGtleXdvcmQ+SW5mdXNpb25zLCBJbnRyYXZl
bm91czwva2V5d29yZD48a2V5d29yZD5NYWxlPC9rZXl3b3JkPjxrZXl3b3JkPk1ldGh5bHByZWRu
aXNvbG9uZS8gYWRtaW5pc3RyYXRpb24gJmFtcDsgZG9zYWdlL2FkdmVyc2UgZWZmZWN0czwva2V5
d29yZD48a2V5d29yZD5NaWRkbGUgQWdlZDwva2V5d29yZD48a2V5d29yZD5Qb2x5cmFkaWN1bG9u
ZXVyb3BhdGh5LCBDaHJvbmljIEluZmxhbW1hdG9yeSBEZW15ZWxpbmF0aW5nLyBkcnVnPC9rZXl3
b3JkPjxrZXl3b3JkPnRoZXJhcHkvcGh5c2lvcGF0aG9sb2d5PC9rZXl3b3JkPjxrZXl3b3JkPlJl
Y3VycmVuY2U8L2tleXdvcmQ+PGtleXdvcmQ+U2V2ZXJpdHkgb2YgSWxsbmVzcyBJbmRleDwva2V5
d29yZD48a2V5d29yZD5UcmVhdG1lbnQgT3V0Y29tZTwva2V5d29yZD48a2V5d29yZD5Zb3VuZyBB
ZHVsdDwva2V5d29yZD48L2tleXdvcmRzPjxkYXRlcz48eWVhcj4yMDEyPC95ZWFyPjxwdWItZGF0
ZXM+PGRhdGU+SnVuPC9kYXRlPjwvcHViLWRhdGVzPjwvZGF0ZXM+PGlzYm4+MTQ3NC00NDY1IChF
bGVjdHJvbmljKSYjeEQ7MTQ3NC00NDIyIChMaW5raW5nKTwvaXNibj48YWNjZXNzaW9uLW51bT4y
MjU3ODkxNDwvYWNjZXNzaW9uLW51bT48dXJscz48L3VybHM+PGVsZWN0cm9uaWMtcmVzb3VyY2Ut
bnVtPjEwLjEwMTYvczE0NzQtNDQyMigxMik3MDA5My01PC9lbGVjdHJvbmljLXJlc291cmNlLW51
bT48cmVtb3RlLWRhdGFiYXNlLXByb3ZpZGVyPk5MTTwvcmVtb3RlLWRhdGFiYXNlLXByb3ZpZGVy
PjxsYW5ndWFnZT5lbmc8L2xhbmd1YWdlPjwvcmVjb3JkPjwvQ2l0ZT48L0VuZE5vdGU+AG==
</w:fldData>
              </w:fldChar>
            </w:r>
            <w:r w:rsidRPr="003B4D35">
              <w:rPr>
                <w:rFonts w:cs="Tahoma"/>
              </w:rPr>
              <w:instrText xml:space="preserve"> ADDIN EN.CITE.DATA </w:instrText>
            </w:r>
            <w:r w:rsidRPr="003B4D35">
              <w:rPr>
                <w:rFonts w:cs="Tahoma"/>
              </w:rPr>
            </w:r>
            <w:r w:rsidRPr="003B4D35">
              <w:rPr>
                <w:rFonts w:cs="Tahoma"/>
              </w:rPr>
              <w:fldChar w:fldCharType="end"/>
            </w:r>
            <w:r w:rsidRPr="003B4D35">
              <w:rPr>
                <w:rFonts w:cs="Tahoma"/>
              </w:rPr>
            </w:r>
            <w:r w:rsidRPr="003B4D35">
              <w:rPr>
                <w:rFonts w:cs="Tahoma"/>
              </w:rPr>
              <w:fldChar w:fldCharType="separate"/>
            </w:r>
            <w:r w:rsidRPr="003B4D35">
              <w:rPr>
                <w:rFonts w:cs="Tahoma"/>
                <w:noProof/>
              </w:rPr>
              <w:t>(</w:t>
            </w:r>
            <w:hyperlink w:anchor="_ENREF_54" w:tooltip="Nobile-Orazio, 2012 #10" w:history="1">
              <w:r w:rsidRPr="003B4D35">
                <w:rPr>
                  <w:rFonts w:cs="Tahoma"/>
                  <w:noProof/>
                </w:rPr>
                <w:t>2012</w:t>
              </w:r>
            </w:hyperlink>
            <w:r w:rsidRPr="003B4D35">
              <w:rPr>
                <w:rFonts w:cs="Tahoma"/>
                <w:noProof/>
              </w:rPr>
              <w:t>)</w:t>
            </w:r>
            <w:r w:rsidRPr="003B4D35">
              <w:rPr>
                <w:rFonts w:cs="Tahoma"/>
              </w:rPr>
              <w:fldChar w:fldCharType="end"/>
            </w:r>
            <w:r w:rsidRPr="003B4D35">
              <w:rPr>
                <w:rFonts w:cs="Tahoma"/>
              </w:rPr>
              <w:t xml:space="preserve"> study.</w:t>
            </w:r>
          </w:p>
        </w:tc>
        <w:tc>
          <w:tcPr>
            <w:tcW w:w="707" w:type="pct"/>
            <w:tcBorders>
              <w:top w:val="single" w:sz="4" w:space="0" w:color="auto"/>
              <w:left w:val="single" w:sz="4" w:space="0" w:color="auto"/>
              <w:bottom w:val="single" w:sz="4" w:space="0" w:color="auto"/>
              <w:right w:val="single" w:sz="4" w:space="0" w:color="auto"/>
            </w:tcBorders>
            <w:noWrap/>
            <w:hideMark/>
          </w:tcPr>
          <w:p w14:paraId="38D9AFD8" w14:textId="77777777" w:rsidR="00B972B2" w:rsidRPr="003B4D35" w:rsidRDefault="00B972B2" w:rsidP="00B972B2">
            <w:pPr>
              <w:jc w:val="right"/>
              <w:rPr>
                <w:rFonts w:cs="Tahoma"/>
              </w:rPr>
            </w:pPr>
            <w:r w:rsidRPr="003B4D35">
              <w:rPr>
                <w:rFonts w:cs="Tahoma"/>
              </w:rPr>
              <w:t>$63,315</w:t>
            </w:r>
          </w:p>
        </w:tc>
        <w:tc>
          <w:tcPr>
            <w:tcW w:w="786" w:type="pct"/>
            <w:tcBorders>
              <w:top w:val="single" w:sz="4" w:space="0" w:color="auto"/>
              <w:left w:val="single" w:sz="4" w:space="0" w:color="auto"/>
              <w:bottom w:val="single" w:sz="4" w:space="0" w:color="auto"/>
              <w:right w:val="single" w:sz="4" w:space="0" w:color="auto"/>
            </w:tcBorders>
            <w:noWrap/>
            <w:hideMark/>
          </w:tcPr>
          <w:p w14:paraId="123BCC49" w14:textId="77777777" w:rsidR="00B972B2" w:rsidRPr="003B4D35" w:rsidRDefault="00B972B2" w:rsidP="00B972B2">
            <w:pPr>
              <w:jc w:val="right"/>
              <w:rPr>
                <w:rFonts w:cs="Tahoma"/>
              </w:rPr>
            </w:pPr>
            <w:r w:rsidRPr="003B4D35">
              <w:rPr>
                <w:rFonts w:cs="Tahoma"/>
              </w:rPr>
              <w:t>0.1320</w:t>
            </w:r>
          </w:p>
        </w:tc>
        <w:tc>
          <w:tcPr>
            <w:tcW w:w="758" w:type="pct"/>
            <w:tcBorders>
              <w:top w:val="single" w:sz="4" w:space="0" w:color="auto"/>
              <w:left w:val="single" w:sz="4" w:space="0" w:color="auto"/>
              <w:bottom w:val="single" w:sz="4" w:space="0" w:color="auto"/>
              <w:right w:val="single" w:sz="4" w:space="0" w:color="auto"/>
            </w:tcBorders>
            <w:noWrap/>
            <w:hideMark/>
          </w:tcPr>
          <w:p w14:paraId="1B18C5B1" w14:textId="77777777" w:rsidR="00B972B2" w:rsidRPr="003B4D35" w:rsidRDefault="00B972B2" w:rsidP="00B972B2">
            <w:pPr>
              <w:jc w:val="right"/>
              <w:rPr>
                <w:rFonts w:cs="Tahoma"/>
              </w:rPr>
            </w:pPr>
            <w:r w:rsidRPr="003B4D35">
              <w:rPr>
                <w:rFonts w:cs="Tahoma"/>
              </w:rPr>
              <w:t>$479,635</w:t>
            </w:r>
          </w:p>
        </w:tc>
      </w:tr>
      <w:tr w:rsidR="00B972B2" w:rsidRPr="003B4D35" w14:paraId="555EF47B" w14:textId="77777777" w:rsidTr="006853A3">
        <w:trPr>
          <w:cantSplit/>
          <w:trHeight w:val="300"/>
        </w:trPr>
        <w:tc>
          <w:tcPr>
            <w:tcW w:w="2749" w:type="pct"/>
            <w:tcBorders>
              <w:top w:val="single" w:sz="4" w:space="0" w:color="auto"/>
              <w:left w:val="single" w:sz="4" w:space="0" w:color="auto"/>
              <w:bottom w:val="single" w:sz="4" w:space="0" w:color="auto"/>
              <w:right w:val="single" w:sz="4" w:space="0" w:color="auto"/>
            </w:tcBorders>
            <w:noWrap/>
            <w:hideMark/>
          </w:tcPr>
          <w:p w14:paraId="592AFEC7" w14:textId="77777777" w:rsidR="00B972B2" w:rsidRPr="003B4D35" w:rsidRDefault="00B972B2" w:rsidP="00B972B2">
            <w:pPr>
              <w:rPr>
                <w:rFonts w:cs="Tahoma"/>
              </w:rPr>
            </w:pPr>
            <w:r w:rsidRPr="003B4D35">
              <w:rPr>
                <w:rFonts w:cs="Tahoma"/>
              </w:rPr>
              <w:t>Step 2 – Trial-based dosing, extrapolated outcomes analysis</w:t>
            </w:r>
          </w:p>
          <w:p w14:paraId="617D02FD" w14:textId="77777777" w:rsidR="00B972B2" w:rsidRPr="003B4D35" w:rsidRDefault="00B972B2" w:rsidP="00B972B2">
            <w:pPr>
              <w:rPr>
                <w:rFonts w:cs="Tahoma"/>
              </w:rPr>
            </w:pPr>
            <w:r w:rsidRPr="003B4D35">
              <w:rPr>
                <w:rFonts w:cs="Tahoma"/>
              </w:rPr>
              <w:t xml:space="preserve">Applies the dose, dose frequency, response rate, adverse event rates from step 1. Relapse rates, and re-remission rates are estimated from the Nobile-Orazio </w:t>
            </w:r>
            <w:r w:rsidRPr="003B4D35">
              <w:rPr>
                <w:rFonts w:cs="Tahoma"/>
              </w:rPr>
              <w:fldChar w:fldCharType="begin">
                <w:fldData xml:space="preserve">PEVuZE5vdGU+PENpdGUgRXhjbHVkZUF1dGg9IjEiPjxBdXRob3I+Tm9iaWxlLU9yYXppbzwvQXV0
aG9yPjxZZWFyPjIwMTU8L1llYXI+PFJlY051bT4xMTEzPC9SZWNOdW0+PERpc3BsYXlUZXh0Pigy
MDE1KTwvRGlzcGxheVRleHQ+PHJlY29yZD48cmVjLW51bWJlcj4xMTEzPC9yZWMtbnVtYmVyPjxm
b3JlaWduLWtleXM+PGtleSBhcHA9IkVOIiBkYi1pZD0ieHRyNXhmeDJ4ZjB3ZDdlMHMycXZzdDJp
ZXR4eGYwdHB6cjl2IiB0aW1lc3RhbXA9IjE2MDIyMjYwNDYiPjExMTM8L2tleT48L2ZvcmVpZ24t
a2V5cz48cmVmLXR5cGUgbmFtZT0iSm91cm5hbCBBcnRpY2xlIj4xNzwvcmVmLXR5cGU+PGNvbnRy
aWJ1dG9ycz48YXV0aG9ycz48YXV0aG9yPk5vYmlsZS1PcmF6aW8sIEUuPC9hdXRob3I+PGF1dGhv
cj5Db2NpdG8sIEQuPC9hdXRob3I+PGF1dGhvcj5KYW5uLCBTLjwvYXV0aG9yPjxhdXRob3I+VW5j
aW5pLCBBLjwvYXV0aG9yPjxhdXRob3I+TWVzc2luYSwgUC48L2F1dGhvcj48YXV0aG9yPkFudG9u
aW5pLCBHLjwvYXV0aG9yPjxhdXRob3I+RmF6aW8sIFIuPC9hdXRob3I+PGF1dGhvcj5HYWxsaWEs
IEYuPC9hdXRob3I+PGF1dGhvcj5TY2hlbm9uZSwgQS48L2F1dGhvcj48YXV0aG9yPkZyYW5jaWEs
IEEuPC9hdXRob3I+PGF1dGhvcj5QYXJleXNvbiwgRC48L2F1dGhvcj48YXV0aG9yPlNhbnRvcm8s
IEwuPC9hdXRob3I+PGF1dGhvcj5UYW1idXJpbiwgUy48L2F1dGhvcj48YXV0aG9yPkNhdmFsZXR0
aSwgRy48L2F1dGhvcj48YXV0aG9yPkdpYW5uaW5pLCBGLjwvYXV0aG9yPjxhdXRob3I+U2FiYXRl
bGxpLCBNLjwvYXV0aG9yPjxhdXRob3I+QmVnaGksIEUuPC9hdXRob3I+PC9hdXRob3JzPjwvY29u
dHJpYnV0b3JzPjxhdXRoLWFkZHJlc3M+Mm5kIE5ldXJvbG9neSwgRGVwYXJ0bWVudCBvZiBNZWRp
Y2FsIEJpb3RlY2hub2xvZ3kgYW5kIFRyYW5zbGF0aW9uYWwgTWVkaWNpbmUsIE1pbGFuIFVuaXZl
cnNpdHksIEh1bWFuaXRhcyBDbGluaWNhbCBhbmQgUmVzZWFyY2ggQ2VudGVyLCBNaWxhbiwgSXRh
bHkuJiN4RDtEZXBhcnRtZW50IG9mIE5ldXJvc2NpZW5jZSwgQS5PLiBDaXR0w6AgZGVsbGEgU2Fs
dXRlIGUgZGVsbGEgU2NpZW56YSBkaSBUb3Jpbm8sIFR1cmluLCBJdGFseS4mI3hEO0RlcGFydG1l
bnQgb2YgTmV1cm9zY2llbmNlLCBOaWd1YXJkYSBDYSZhcG9zOyBHcmFuZGEgSG9zcGl0YWwsIE1p
bGFuLCBJdGFseS4mI3hEO0RlcGFydG1lbnQgb2YgTmV1cm9zY2llbmNlIGFuZCBJbWFnaW5nLCBV
bml2ZXJzaXR5ICZxdW90O0cuIEQmYXBvcztBbm51bnppbyZxdW90OywgU1MgQW5udW56aWF0YSBI
b3NwaXRhbCwgQ2hpZXRpLCBJdGFseS4mI3hEO0xhYm9yYXRvcnkgb2YgTmV1cm9sb2dpY2FsIERp
c29yZGVycywgSVJDQ1MgTWFyaW8gTmVncmkgSW5zdGl0dXRlLCBNaWxhbiwgSXRhbHkuJiN4RDtE
ZXBhcnRtZW50IG9mIE5ldXJvc2NpZW5jZSwgTWVudGFsIEhlYWx0aCBhbmQgU2Vuc29yeSBPcmdh
bnMsIFJvbWUgVW5pdmVyc2l0eSAmcXVvdDtTYXBpZW56YSZxdW90OywgU2FudCZhcG9zO0FuZHJl
YSBIb3NwaXRhbCwgUm9tZSwgSXRhbHkuJiN4RDtEZXBhcnRtZW50IG9mIE5ldXJvbG9neSwgU2Fu
IFJhZmZhZWxlIFNjaWVudGlmaWMgSW5zdGl0dXRlLCBJTlNQRSwgTWlsYW4sIEl0YWx5LiYjeEQ7
RGVwYXJ0bWVudCBvZiBOZXVyb3NjaWVuY2UsIE9waHRoYWxtb2xvZ3kgYW5kIEdlbmV0aWNzLCBH
ZW5vYSBVbml2ZXJzaXR5LCBTYW4gTWFydGlubyBIb3NwaXRhbCwgR2Vub2EsIEl0YWx5LiYjeEQ7
RGVwYXJ0bWVudCBvZiBOZXVyb2xvZ3kgYW5kIFBzeWNoaWF0cnksIFVtYmVydG8gScKwIFBvbGlj
bGluaWNvLCBSb21lLCBJdGFseS4mI3hEO0NlbnRyYWwgYW5kIFBlcmlwaGVyYWwgRGVnZW5lcmF0
aXZlIE5ldXJvcGF0aHkgVW5pdCwgSVJDQ1MgRm91bmRhdGlvbiwgQ2FybG8gQmVzdGEgTmV1cm9s
b2dpY2FsIEluc3RpdHV0ZSwgTWlsYW4sIEl0YWx5LiYjeEQ7RGVwYXJ0bWVudCBvZiBOZXVyb3Nj
aWVuY2VzLCBSZXByb2R1Y3RpdmUgU2NpZW5jZXMgYW5kIE9kb250b3N0b21hdG9sb2d5LCBGZWRl
cmljbyBJScKwIFVuaXZlcnNpdHksIE5hcGxlcywgSXRhbHkuJiN4RDtEZXBhcnRtZW50IG9mIE5l
dXJvbG9naWNhbCBhbmQgTW92ZW1lbnQgU2NpZW5jZXMsIFZlcm9uYSBVbml2ZXJzaXR5LCBQb2xp
Y2xpbmljbyBHLkIuIFJvc3NpLCBWZXJvbmEsIEl0YWx5LiYjeEQ7RGVwYXJ0bWVudCBvZiBTdXJn
ZXJ5IGFuZCBUcmFuc2xhdGlvbmFsIE1lZGljaW5lLCBNaWxhbiBCaWNvY2NhIFVuaXZlcnNpdHks
IFNhbiBHZXJhcmRvIEhvc3BpdGFsLCBNb256YSwgSXRhbHkuJiN4RDtEZXBhcnRtZW50IG9mIE1l
ZGljYWwgYW5kIFN1cmdpY2FsIFNjaWVuY2VzIGFuZCBOZXVyb3NjaWVuY2VzLCBTaWVuYSBVbml2
ZXJzaXR5LCBQb2xpY2xpbmljbyBMZSBTY290dGUsIFNpZW5hLCBJdGFseS4mI3hEO0RlcGFydG1l
bnQgb2YgTmV1cm9sb2d5LCBDYXRob2xpYyBVbml2ZXJzaXR5LCBQb2xpY2xpbmljbyBHZW1lbGxp
LCBSb21lLCBJdGFseS48L2F1dGgtYWRkcmVzcz48dGl0bGVzPjx0aXRsZT5GcmVxdWVuY3kgYW5k
IHRpbWUgdG8gcmVsYXBzZSBhZnRlciBkaXNjb250aW51aW5nIDYtbW9udGggdGhlcmFweSB3aXRo
IElWSWcgb3IgcHVsc2VkIG1ldGh5bHByZWRuaXNvbG9uZSBpbiBDSURQPC90aXRsZT48c2Vjb25k
YXJ5LXRpdGxlPkogTmV1cm9sIE5ldXJvc3VyZyBQc3ljaGlhdHJ5PC9zZWNvbmRhcnktdGl0bGU+
PC90aXRsZXM+PHBlcmlvZGljYWw+PGZ1bGwtdGl0bGU+SiBOZXVyb2wgTmV1cm9zdXJnIFBzeWNo
aWF0cnk8L2Z1bGwtdGl0bGU+PC9wZXJpb2RpY2FsPjxwYWdlcz43MjktMzQ8L3BhZ2VzPjx2b2x1
bWU+ODY8L3ZvbHVtZT48bnVtYmVyPjc8L251bWJlcj48ZWRpdGlvbj4yMDE0LzA5LzI0PC9lZGl0
aW9uPjxrZXl3b3Jkcz48a2V5d29yZD5BbnRpLUluZmxhbW1hdG9yeSBBZ2VudHMvYWRtaW5pc3Ry
YXRpb24gJmFtcDsgZG9zYWdlLyB0aGVyYXBldXRpYyB1c2U8L2tleXdvcmQ+PGtleXdvcmQ+SHVt
YW5zPC9rZXl3b3JkPjxrZXl3b3JkPkltbXVub2dsb2J1bGlucywgSW50cmF2ZW5vdXMvYWRtaW5p
c3RyYXRpb24gJmFtcDsgZG9zYWdlLyB0aGVyYXBldXRpYyB1c2U8L2tleXdvcmQ+PGtleXdvcmQ+
SW1tdW5vbG9naWMgRmFjdG9ycy9hZG1pbmlzdHJhdGlvbiAmYW1wOyBkb3NhZ2UvIHRoZXJhcGV1
dGljIHVzZTwva2V5d29yZD48a2V5d29yZD5NZXRoeWxwcmVkbmlzb2xvbmUvYWRtaW5pc3RyYXRp
b24gJmFtcDsgZG9zYWdlLyB0aGVyYXBldXRpYyB1c2U8L2tleXdvcmQ+PGtleXdvcmQ+UG9seXJh
ZGljdWxvbmV1cm9wYXRoeSwgQ2hyb25pYyBJbmZsYW1tYXRvcnkgRGVteWVsaW5hdGluZy8gZHJ1
Zzwva2V5d29yZD48a2V5d29yZD50aGVyYXB5L2VwaWRlbWlvbG9neS9wcmV2ZW50aW9uICZhbXA7
IGNvbnRyb2w8L2tleXdvcmQ+PGtleXdvcmQ+UmVjdXJyZW5jZTwva2V5d29yZD48a2V5d29yZD5S
ZXRyb3NwZWN0aXZlIFN0dWRpZXM8L2tleXdvcmQ+PGtleXdvcmQ+VGltZSBGYWN0b3JzPC9rZXl3
b3JkPjxrZXl3b3JkPlRyZWF0bWVudCBPdXRjb21lPC9rZXl3b3JkPjxrZXl3b3JkPk5ldXJvaW1t
dW5vbG9neTwva2V5d29yZD48a2V5d29yZD5OZXVyb3BhdGh5PC9rZXl3b3JkPjxrZXl3b3JkPlN0
ZXJvaWRzPC9rZXl3b3JkPjwva2V5d29yZHM+PGRhdGVzPjx5ZWFyPjIwMTU8L3llYXI+PHB1Yi1k
YXRlcz48ZGF0ZT5KdWw8L2RhdGU+PC9wdWItZGF0ZXM+PC9kYXRlcz48aXNibj4xNDY4LTMzMFgg
KEVsZWN0cm9uaWMpJiN4RDswMDIyLTMwNTAgKExpbmtpbmcpPC9pc2JuPjxhY2Nlc3Npb24tbnVt
PjI1MjQ2NjQ1PC9hY2Nlc3Npb24tbnVtPjx1cmxzPjxyZWxhdGVkLXVybHM+PHVybD5odHRwczov
L2pubnAuYm1qLmNvbS9jb250ZW50L2pubnAvODYvNy83MjkuZnVsbC5wZGY8L3VybD48L3JlbGF0
ZWQtdXJscz48L3VybHM+PGVsZWN0cm9uaWMtcmVzb3VyY2UtbnVtPjEwLjExMzYvam5ucC0yMDEz
LTMwNzUxNTwvZWxlY3Ryb25pYy1yZXNvdXJjZS1udW0+PHJlbW90ZS1kYXRhYmFzZS1wcm92aWRl
cj5OTE08L3JlbW90ZS1kYXRhYmFzZS1wcm92aWRlcj48bGFuZ3VhZ2U+ZW5nPC9sYW5ndWFnZT48
L3JlY29yZD48L0NpdGU+PC9FbmROb3RlPgB=
</w:fldData>
              </w:fldChar>
            </w:r>
            <w:r w:rsidRPr="003B4D35">
              <w:rPr>
                <w:rFonts w:cs="Tahoma"/>
              </w:rPr>
              <w:instrText xml:space="preserve"> ADDIN EN.CITE </w:instrText>
            </w:r>
            <w:r w:rsidRPr="003B4D35">
              <w:rPr>
                <w:rFonts w:cs="Tahoma"/>
              </w:rPr>
              <w:fldChar w:fldCharType="begin">
                <w:fldData xml:space="preserve">PEVuZE5vdGU+PENpdGUgRXhjbHVkZUF1dGg9IjEiPjxBdXRob3I+Tm9iaWxlLU9yYXppbzwvQXV0
aG9yPjxZZWFyPjIwMTU8L1llYXI+PFJlY051bT4xMTEzPC9SZWNOdW0+PERpc3BsYXlUZXh0Pigy
MDE1KTwvRGlzcGxheVRleHQ+PHJlY29yZD48cmVjLW51bWJlcj4xMTEzPC9yZWMtbnVtYmVyPjxm
b3JlaWduLWtleXM+PGtleSBhcHA9IkVOIiBkYi1pZD0ieHRyNXhmeDJ4ZjB3ZDdlMHMycXZzdDJp
ZXR4eGYwdHB6cjl2IiB0aW1lc3RhbXA9IjE2MDIyMjYwNDYiPjExMTM8L2tleT48L2ZvcmVpZ24t
a2V5cz48cmVmLXR5cGUgbmFtZT0iSm91cm5hbCBBcnRpY2xlIj4xNzwvcmVmLXR5cGU+PGNvbnRy
aWJ1dG9ycz48YXV0aG9ycz48YXV0aG9yPk5vYmlsZS1PcmF6aW8sIEUuPC9hdXRob3I+PGF1dGhv
cj5Db2NpdG8sIEQuPC9hdXRob3I+PGF1dGhvcj5KYW5uLCBTLjwvYXV0aG9yPjxhdXRob3I+VW5j
aW5pLCBBLjwvYXV0aG9yPjxhdXRob3I+TWVzc2luYSwgUC48L2F1dGhvcj48YXV0aG9yPkFudG9u
aW5pLCBHLjwvYXV0aG9yPjxhdXRob3I+RmF6aW8sIFIuPC9hdXRob3I+PGF1dGhvcj5HYWxsaWEs
IEYuPC9hdXRob3I+PGF1dGhvcj5TY2hlbm9uZSwgQS48L2F1dGhvcj48YXV0aG9yPkZyYW5jaWEs
IEEuPC9hdXRob3I+PGF1dGhvcj5QYXJleXNvbiwgRC48L2F1dGhvcj48YXV0aG9yPlNhbnRvcm8s
IEwuPC9hdXRob3I+PGF1dGhvcj5UYW1idXJpbiwgUy48L2F1dGhvcj48YXV0aG9yPkNhdmFsZXR0
aSwgRy48L2F1dGhvcj48YXV0aG9yPkdpYW5uaW5pLCBGLjwvYXV0aG9yPjxhdXRob3I+U2FiYXRl
bGxpLCBNLjwvYXV0aG9yPjxhdXRob3I+QmVnaGksIEUuPC9hdXRob3I+PC9hdXRob3JzPjwvY29u
dHJpYnV0b3JzPjxhdXRoLWFkZHJlc3M+Mm5kIE5ldXJvbG9neSwgRGVwYXJ0bWVudCBvZiBNZWRp
Y2FsIEJpb3RlY2hub2xvZ3kgYW5kIFRyYW5zbGF0aW9uYWwgTWVkaWNpbmUsIE1pbGFuIFVuaXZl
cnNpdHksIEh1bWFuaXRhcyBDbGluaWNhbCBhbmQgUmVzZWFyY2ggQ2VudGVyLCBNaWxhbiwgSXRh
bHkuJiN4RDtEZXBhcnRtZW50IG9mIE5ldXJvc2NpZW5jZSwgQS5PLiBDaXR0w6AgZGVsbGEgU2Fs
dXRlIGUgZGVsbGEgU2NpZW56YSBkaSBUb3Jpbm8sIFR1cmluLCBJdGFseS4mI3hEO0RlcGFydG1l
bnQgb2YgTmV1cm9zY2llbmNlLCBOaWd1YXJkYSBDYSZhcG9zOyBHcmFuZGEgSG9zcGl0YWwsIE1p
bGFuLCBJdGFseS4mI3hEO0RlcGFydG1lbnQgb2YgTmV1cm9zY2llbmNlIGFuZCBJbWFnaW5nLCBV
bml2ZXJzaXR5ICZxdW90O0cuIEQmYXBvcztBbm51bnppbyZxdW90OywgU1MgQW5udW56aWF0YSBI
b3NwaXRhbCwgQ2hpZXRpLCBJdGFseS4mI3hEO0xhYm9yYXRvcnkgb2YgTmV1cm9sb2dpY2FsIERp
c29yZGVycywgSVJDQ1MgTWFyaW8gTmVncmkgSW5zdGl0dXRlLCBNaWxhbiwgSXRhbHkuJiN4RDtE
ZXBhcnRtZW50IG9mIE5ldXJvc2NpZW5jZSwgTWVudGFsIEhlYWx0aCBhbmQgU2Vuc29yeSBPcmdh
bnMsIFJvbWUgVW5pdmVyc2l0eSAmcXVvdDtTYXBpZW56YSZxdW90OywgU2FudCZhcG9zO0FuZHJl
YSBIb3NwaXRhbCwgUm9tZSwgSXRhbHkuJiN4RDtEZXBhcnRtZW50IG9mIE5ldXJvbG9neSwgU2Fu
IFJhZmZhZWxlIFNjaWVudGlmaWMgSW5zdGl0dXRlLCBJTlNQRSwgTWlsYW4sIEl0YWx5LiYjeEQ7
RGVwYXJ0bWVudCBvZiBOZXVyb3NjaWVuY2UsIE9waHRoYWxtb2xvZ3kgYW5kIEdlbmV0aWNzLCBH
ZW5vYSBVbml2ZXJzaXR5LCBTYW4gTWFydGlubyBIb3NwaXRhbCwgR2Vub2EsIEl0YWx5LiYjeEQ7
RGVwYXJ0bWVudCBvZiBOZXVyb2xvZ3kgYW5kIFBzeWNoaWF0cnksIFVtYmVydG8gScKwIFBvbGlj
bGluaWNvLCBSb21lLCBJdGFseS4mI3hEO0NlbnRyYWwgYW5kIFBlcmlwaGVyYWwgRGVnZW5lcmF0
aXZlIE5ldXJvcGF0aHkgVW5pdCwgSVJDQ1MgRm91bmRhdGlvbiwgQ2FybG8gQmVzdGEgTmV1cm9s
b2dpY2FsIEluc3RpdHV0ZSwgTWlsYW4sIEl0YWx5LiYjeEQ7RGVwYXJ0bWVudCBvZiBOZXVyb3Nj
aWVuY2VzLCBSZXByb2R1Y3RpdmUgU2NpZW5jZXMgYW5kIE9kb250b3N0b21hdG9sb2d5LCBGZWRl
cmljbyBJScKwIFVuaXZlcnNpdHksIE5hcGxlcywgSXRhbHkuJiN4RDtEZXBhcnRtZW50IG9mIE5l
dXJvbG9naWNhbCBhbmQgTW92ZW1lbnQgU2NpZW5jZXMsIFZlcm9uYSBVbml2ZXJzaXR5LCBQb2xp
Y2xpbmljbyBHLkIuIFJvc3NpLCBWZXJvbmEsIEl0YWx5LiYjeEQ7RGVwYXJ0bWVudCBvZiBTdXJn
ZXJ5IGFuZCBUcmFuc2xhdGlvbmFsIE1lZGljaW5lLCBNaWxhbiBCaWNvY2NhIFVuaXZlcnNpdHks
IFNhbiBHZXJhcmRvIEhvc3BpdGFsLCBNb256YSwgSXRhbHkuJiN4RDtEZXBhcnRtZW50IG9mIE1l
ZGljYWwgYW5kIFN1cmdpY2FsIFNjaWVuY2VzIGFuZCBOZXVyb3NjaWVuY2VzLCBTaWVuYSBVbml2
ZXJzaXR5LCBQb2xpY2xpbmljbyBMZSBTY290dGUsIFNpZW5hLCBJdGFseS4mI3hEO0RlcGFydG1l
bnQgb2YgTmV1cm9sb2d5LCBDYXRob2xpYyBVbml2ZXJzaXR5LCBQb2xpY2xpbmljbyBHZW1lbGxp
LCBSb21lLCBJdGFseS48L2F1dGgtYWRkcmVzcz48dGl0bGVzPjx0aXRsZT5GcmVxdWVuY3kgYW5k
IHRpbWUgdG8gcmVsYXBzZSBhZnRlciBkaXNjb250aW51aW5nIDYtbW9udGggdGhlcmFweSB3aXRo
IElWSWcgb3IgcHVsc2VkIG1ldGh5bHByZWRuaXNvbG9uZSBpbiBDSURQPC90aXRsZT48c2Vjb25k
YXJ5LXRpdGxlPkogTmV1cm9sIE5ldXJvc3VyZyBQc3ljaGlhdHJ5PC9zZWNvbmRhcnktdGl0bGU+
PC90aXRsZXM+PHBlcmlvZGljYWw+PGZ1bGwtdGl0bGU+SiBOZXVyb2wgTmV1cm9zdXJnIFBzeWNo
aWF0cnk8L2Z1bGwtdGl0bGU+PC9wZXJpb2RpY2FsPjxwYWdlcz43MjktMzQ8L3BhZ2VzPjx2b2x1
bWU+ODY8L3ZvbHVtZT48bnVtYmVyPjc8L251bWJlcj48ZWRpdGlvbj4yMDE0LzA5LzI0PC9lZGl0
aW9uPjxrZXl3b3Jkcz48a2V5d29yZD5BbnRpLUluZmxhbW1hdG9yeSBBZ2VudHMvYWRtaW5pc3Ry
YXRpb24gJmFtcDsgZG9zYWdlLyB0aGVyYXBldXRpYyB1c2U8L2tleXdvcmQ+PGtleXdvcmQ+SHVt
YW5zPC9rZXl3b3JkPjxrZXl3b3JkPkltbXVub2dsb2J1bGlucywgSW50cmF2ZW5vdXMvYWRtaW5p
c3RyYXRpb24gJmFtcDsgZG9zYWdlLyB0aGVyYXBldXRpYyB1c2U8L2tleXdvcmQ+PGtleXdvcmQ+
SW1tdW5vbG9naWMgRmFjdG9ycy9hZG1pbmlzdHJhdGlvbiAmYW1wOyBkb3NhZ2UvIHRoZXJhcGV1
dGljIHVzZTwva2V5d29yZD48a2V5d29yZD5NZXRoeWxwcmVkbmlzb2xvbmUvYWRtaW5pc3RyYXRp
b24gJmFtcDsgZG9zYWdlLyB0aGVyYXBldXRpYyB1c2U8L2tleXdvcmQ+PGtleXdvcmQ+UG9seXJh
ZGljdWxvbmV1cm9wYXRoeSwgQ2hyb25pYyBJbmZsYW1tYXRvcnkgRGVteWVsaW5hdGluZy8gZHJ1
Zzwva2V5d29yZD48a2V5d29yZD50aGVyYXB5L2VwaWRlbWlvbG9neS9wcmV2ZW50aW9uICZhbXA7
IGNvbnRyb2w8L2tleXdvcmQ+PGtleXdvcmQ+UmVjdXJyZW5jZTwva2V5d29yZD48a2V5d29yZD5S
ZXRyb3NwZWN0aXZlIFN0dWRpZXM8L2tleXdvcmQ+PGtleXdvcmQ+VGltZSBGYWN0b3JzPC9rZXl3
b3JkPjxrZXl3b3JkPlRyZWF0bWVudCBPdXRjb21lPC9rZXl3b3JkPjxrZXl3b3JkPk5ldXJvaW1t
dW5vbG9neTwva2V5d29yZD48a2V5d29yZD5OZXVyb3BhdGh5PC9rZXl3b3JkPjxrZXl3b3JkPlN0
ZXJvaWRzPC9rZXl3b3JkPjwva2V5d29yZHM+PGRhdGVzPjx5ZWFyPjIwMTU8L3llYXI+PHB1Yi1k
YXRlcz48ZGF0ZT5KdWw8L2RhdGU+PC9wdWItZGF0ZXM+PC9kYXRlcz48aXNibj4xNDY4LTMzMFgg
KEVsZWN0cm9uaWMpJiN4RDswMDIyLTMwNTAgKExpbmtpbmcpPC9pc2JuPjxhY2Nlc3Npb24tbnVt
PjI1MjQ2NjQ1PC9hY2Nlc3Npb24tbnVtPjx1cmxzPjxyZWxhdGVkLXVybHM+PHVybD5odHRwczov
L2pubnAuYm1qLmNvbS9jb250ZW50L2pubnAvODYvNy83MjkuZnVsbC5wZGY8L3VybD48L3JlbGF0
ZWQtdXJscz48L3VybHM+PGVsZWN0cm9uaWMtcmVzb3VyY2UtbnVtPjEwLjExMzYvam5ucC0yMDEz
LTMwNzUxNTwvZWxlY3Ryb25pYy1yZXNvdXJjZS1udW0+PHJlbW90ZS1kYXRhYmFzZS1wcm92aWRl
cj5OTE08L3JlbW90ZS1kYXRhYmFzZS1wcm92aWRlcj48bGFuZ3VhZ2U+ZW5nPC9sYW5ndWFnZT48
L3JlY29yZD48L0NpdGU+PC9FbmROb3RlPgB=
</w:fldData>
              </w:fldChar>
            </w:r>
            <w:r w:rsidRPr="003B4D35">
              <w:rPr>
                <w:rFonts w:cs="Tahoma"/>
              </w:rPr>
              <w:instrText xml:space="preserve"> ADDIN EN.CITE.DATA </w:instrText>
            </w:r>
            <w:r w:rsidRPr="003B4D35">
              <w:rPr>
                <w:rFonts w:cs="Tahoma"/>
              </w:rPr>
            </w:r>
            <w:r w:rsidRPr="003B4D35">
              <w:rPr>
                <w:rFonts w:cs="Tahoma"/>
              </w:rPr>
              <w:fldChar w:fldCharType="end"/>
            </w:r>
            <w:r w:rsidRPr="003B4D35">
              <w:rPr>
                <w:rFonts w:cs="Tahoma"/>
              </w:rPr>
            </w:r>
            <w:r w:rsidRPr="003B4D35">
              <w:rPr>
                <w:rFonts w:cs="Tahoma"/>
              </w:rPr>
              <w:fldChar w:fldCharType="separate"/>
            </w:r>
            <w:r w:rsidRPr="003B4D35">
              <w:rPr>
                <w:rFonts w:cs="Tahoma"/>
                <w:noProof/>
              </w:rPr>
              <w:t>(</w:t>
            </w:r>
            <w:hyperlink w:anchor="_ENREF_55" w:tooltip="Nobile-Orazio, 2015 #1113" w:history="1">
              <w:r w:rsidRPr="003B4D35">
                <w:rPr>
                  <w:rFonts w:cs="Tahoma"/>
                  <w:noProof/>
                </w:rPr>
                <w:t>2015</w:t>
              </w:r>
            </w:hyperlink>
            <w:r w:rsidRPr="003B4D35">
              <w:rPr>
                <w:rFonts w:cs="Tahoma"/>
                <w:noProof/>
              </w:rPr>
              <w:t>)</w:t>
            </w:r>
            <w:r w:rsidRPr="003B4D35">
              <w:rPr>
                <w:rFonts w:cs="Tahoma"/>
              </w:rPr>
              <w:fldChar w:fldCharType="end"/>
            </w:r>
            <w:r w:rsidRPr="003B4D35">
              <w:rPr>
                <w:rFonts w:cs="Tahoma"/>
              </w:rPr>
              <w:t xml:space="preserve"> study, with the model time horizon extrapolated to 10 years.</w:t>
            </w:r>
          </w:p>
        </w:tc>
        <w:tc>
          <w:tcPr>
            <w:tcW w:w="707" w:type="pct"/>
            <w:tcBorders>
              <w:top w:val="single" w:sz="4" w:space="0" w:color="auto"/>
              <w:left w:val="single" w:sz="4" w:space="0" w:color="auto"/>
              <w:bottom w:val="single" w:sz="4" w:space="0" w:color="auto"/>
              <w:right w:val="single" w:sz="4" w:space="0" w:color="auto"/>
            </w:tcBorders>
            <w:noWrap/>
            <w:hideMark/>
          </w:tcPr>
          <w:p w14:paraId="13E896EE" w14:textId="77777777" w:rsidR="00B972B2" w:rsidRPr="003B4D35" w:rsidRDefault="00B972B2" w:rsidP="00B972B2">
            <w:pPr>
              <w:jc w:val="right"/>
              <w:rPr>
                <w:rFonts w:cs="Tahoma"/>
              </w:rPr>
            </w:pPr>
            <w:r w:rsidRPr="003B4D35">
              <w:rPr>
                <w:rFonts w:cs="Tahoma"/>
              </w:rPr>
              <w:t>$702,576</w:t>
            </w:r>
          </w:p>
        </w:tc>
        <w:tc>
          <w:tcPr>
            <w:tcW w:w="786" w:type="pct"/>
            <w:tcBorders>
              <w:top w:val="single" w:sz="4" w:space="0" w:color="auto"/>
              <w:left w:val="single" w:sz="4" w:space="0" w:color="auto"/>
              <w:bottom w:val="single" w:sz="4" w:space="0" w:color="auto"/>
              <w:right w:val="single" w:sz="4" w:space="0" w:color="auto"/>
            </w:tcBorders>
            <w:noWrap/>
            <w:hideMark/>
          </w:tcPr>
          <w:p w14:paraId="5CF2D4F8" w14:textId="77777777" w:rsidR="00B972B2" w:rsidRPr="003B4D35" w:rsidRDefault="00B972B2" w:rsidP="00B972B2">
            <w:pPr>
              <w:jc w:val="right"/>
              <w:rPr>
                <w:rFonts w:cs="Tahoma"/>
              </w:rPr>
            </w:pPr>
            <w:r w:rsidRPr="003B4D35">
              <w:rPr>
                <w:rFonts w:cs="Tahoma"/>
              </w:rPr>
              <w:t>0.9982</w:t>
            </w:r>
          </w:p>
        </w:tc>
        <w:tc>
          <w:tcPr>
            <w:tcW w:w="758" w:type="pct"/>
            <w:tcBorders>
              <w:top w:val="single" w:sz="4" w:space="0" w:color="auto"/>
              <w:left w:val="single" w:sz="4" w:space="0" w:color="auto"/>
              <w:bottom w:val="single" w:sz="4" w:space="0" w:color="auto"/>
              <w:right w:val="single" w:sz="4" w:space="0" w:color="auto"/>
            </w:tcBorders>
            <w:noWrap/>
            <w:hideMark/>
          </w:tcPr>
          <w:p w14:paraId="6AE103E2" w14:textId="77777777" w:rsidR="00B972B2" w:rsidRPr="003B4D35" w:rsidRDefault="00B972B2" w:rsidP="00B972B2">
            <w:pPr>
              <w:jc w:val="right"/>
              <w:rPr>
                <w:rFonts w:cs="Tahoma"/>
              </w:rPr>
            </w:pPr>
            <w:r w:rsidRPr="003B4D35">
              <w:rPr>
                <w:rFonts w:cs="Tahoma"/>
              </w:rPr>
              <w:t>$703,839</w:t>
            </w:r>
          </w:p>
        </w:tc>
      </w:tr>
      <w:tr w:rsidR="00B972B2" w:rsidRPr="003B4D35" w14:paraId="790A1B29" w14:textId="77777777" w:rsidTr="006853A3">
        <w:trPr>
          <w:cantSplit/>
          <w:trHeight w:val="300"/>
        </w:trPr>
        <w:tc>
          <w:tcPr>
            <w:tcW w:w="2749" w:type="pct"/>
            <w:tcBorders>
              <w:top w:val="single" w:sz="4" w:space="0" w:color="auto"/>
              <w:left w:val="single" w:sz="4" w:space="0" w:color="auto"/>
              <w:bottom w:val="single" w:sz="4" w:space="0" w:color="auto"/>
              <w:right w:val="single" w:sz="4" w:space="0" w:color="auto"/>
            </w:tcBorders>
            <w:noWrap/>
            <w:hideMark/>
          </w:tcPr>
          <w:p w14:paraId="36D5E46E" w14:textId="77777777" w:rsidR="00B972B2" w:rsidRPr="003B4D35" w:rsidRDefault="00B972B2" w:rsidP="00B972B2">
            <w:pPr>
              <w:rPr>
                <w:rFonts w:cs="Tahoma"/>
              </w:rPr>
            </w:pPr>
            <w:r w:rsidRPr="003B4D35">
              <w:rPr>
                <w:rFonts w:cs="Tahoma"/>
              </w:rPr>
              <w:t>Step 3 – Modelled economic evaluation</w:t>
            </w:r>
          </w:p>
          <w:p w14:paraId="46A93052" w14:textId="62550CEE" w:rsidR="00B972B2" w:rsidRPr="003B4D35" w:rsidRDefault="00B972B2" w:rsidP="00B972B2">
            <w:pPr>
              <w:rPr>
                <w:rFonts w:cs="Tahoma"/>
              </w:rPr>
            </w:pPr>
            <w:r w:rsidRPr="003B4D35">
              <w:rPr>
                <w:rFonts w:cs="Tahoma"/>
              </w:rPr>
              <w:t xml:space="preserve">Applies the dose and frequency based on the Criteria version 3 (2g/kg loading dose and 0.7g/kg maintenance dose for Ig), the best estimates of transitions for remission, relapse and adverse events as described in section C.3.2 and </w:t>
            </w:r>
            <w:r w:rsidRPr="003B4D35">
              <w:rPr>
                <w:rFonts w:cs="Tahoma"/>
              </w:rPr>
              <w:fldChar w:fldCharType="begin"/>
            </w:r>
            <w:r w:rsidRPr="003B4D35">
              <w:rPr>
                <w:rFonts w:cs="Tahoma"/>
              </w:rPr>
              <w:instrText xml:space="preserve"> REF _Ref68178130 \h </w:instrText>
            </w:r>
            <w:r w:rsidR="003B4D35">
              <w:rPr>
                <w:rFonts w:cs="Tahoma"/>
              </w:rPr>
              <w:instrText xml:space="preserve"> \* MERGEFORMAT </w:instrText>
            </w:r>
            <w:r w:rsidRPr="003B4D35">
              <w:rPr>
                <w:rFonts w:cs="Tahoma"/>
              </w:rPr>
            </w:r>
            <w:r w:rsidRPr="003B4D35">
              <w:rPr>
                <w:rFonts w:cs="Tahoma"/>
              </w:rPr>
              <w:fldChar w:fldCharType="separate"/>
            </w:r>
            <w:r w:rsidRPr="003B4D35">
              <w:rPr>
                <w:rFonts w:cs="Tahoma"/>
              </w:rPr>
              <w:t xml:space="preserve">Table </w:t>
            </w:r>
            <w:r w:rsidRPr="003B4D35">
              <w:rPr>
                <w:rFonts w:cs="Tahoma"/>
                <w:noProof/>
              </w:rPr>
              <w:t>39</w:t>
            </w:r>
            <w:r w:rsidRPr="003B4D35">
              <w:rPr>
                <w:rFonts w:cs="Tahoma"/>
              </w:rPr>
              <w:fldChar w:fldCharType="end"/>
            </w:r>
            <w:r w:rsidRPr="003B4D35">
              <w:rPr>
                <w:rFonts w:cs="Tahoma"/>
              </w:rPr>
              <w:t>, with the model time horizon of 10 years.</w:t>
            </w:r>
          </w:p>
        </w:tc>
        <w:tc>
          <w:tcPr>
            <w:tcW w:w="707" w:type="pct"/>
            <w:tcBorders>
              <w:top w:val="single" w:sz="4" w:space="0" w:color="auto"/>
              <w:left w:val="single" w:sz="4" w:space="0" w:color="auto"/>
              <w:bottom w:val="single" w:sz="4" w:space="0" w:color="auto"/>
              <w:right w:val="single" w:sz="4" w:space="0" w:color="auto"/>
            </w:tcBorders>
            <w:noWrap/>
            <w:hideMark/>
          </w:tcPr>
          <w:p w14:paraId="63AF83E4" w14:textId="77777777" w:rsidR="00B972B2" w:rsidRPr="003B4D35" w:rsidRDefault="00B972B2" w:rsidP="00B972B2">
            <w:pPr>
              <w:jc w:val="right"/>
              <w:rPr>
                <w:rFonts w:cs="Tahoma"/>
              </w:rPr>
            </w:pPr>
            <w:r w:rsidRPr="003B4D35">
              <w:rPr>
                <w:rFonts w:cs="Tahoma"/>
              </w:rPr>
              <w:t>$137,443</w:t>
            </w:r>
          </w:p>
        </w:tc>
        <w:tc>
          <w:tcPr>
            <w:tcW w:w="786" w:type="pct"/>
            <w:tcBorders>
              <w:top w:val="single" w:sz="4" w:space="0" w:color="auto"/>
              <w:left w:val="single" w:sz="4" w:space="0" w:color="auto"/>
              <w:bottom w:val="single" w:sz="4" w:space="0" w:color="auto"/>
              <w:right w:val="single" w:sz="4" w:space="0" w:color="auto"/>
            </w:tcBorders>
            <w:noWrap/>
            <w:hideMark/>
          </w:tcPr>
          <w:p w14:paraId="5F63B451" w14:textId="77777777" w:rsidR="00B972B2" w:rsidRPr="003B4D35" w:rsidRDefault="00B972B2" w:rsidP="00B972B2">
            <w:pPr>
              <w:jc w:val="right"/>
              <w:rPr>
                <w:rFonts w:cs="Tahoma"/>
              </w:rPr>
            </w:pPr>
            <w:r w:rsidRPr="003B4D35">
              <w:rPr>
                <w:rFonts w:cs="Tahoma"/>
              </w:rPr>
              <w:t>1.1840</w:t>
            </w:r>
          </w:p>
        </w:tc>
        <w:tc>
          <w:tcPr>
            <w:tcW w:w="758" w:type="pct"/>
            <w:tcBorders>
              <w:top w:val="single" w:sz="4" w:space="0" w:color="auto"/>
              <w:left w:val="single" w:sz="4" w:space="0" w:color="auto"/>
              <w:bottom w:val="single" w:sz="4" w:space="0" w:color="auto"/>
              <w:right w:val="single" w:sz="4" w:space="0" w:color="auto"/>
            </w:tcBorders>
            <w:noWrap/>
            <w:hideMark/>
          </w:tcPr>
          <w:p w14:paraId="0F09763F" w14:textId="77777777" w:rsidR="00B972B2" w:rsidRPr="003B4D35" w:rsidRDefault="00B972B2" w:rsidP="00B972B2">
            <w:pPr>
              <w:jc w:val="right"/>
              <w:rPr>
                <w:rFonts w:cs="Tahoma"/>
              </w:rPr>
            </w:pPr>
            <w:r w:rsidRPr="003B4D35">
              <w:rPr>
                <w:rFonts w:cs="Tahoma"/>
              </w:rPr>
              <w:t>$116,088</w:t>
            </w:r>
          </w:p>
        </w:tc>
      </w:tr>
    </w:tbl>
    <w:p w14:paraId="13C0F0A7" w14:textId="77777777" w:rsidR="00B972B2" w:rsidRPr="003B4D35" w:rsidRDefault="00B972B2" w:rsidP="00FD04C5">
      <w:pPr>
        <w:spacing w:after="200"/>
        <w:ind w:right="57"/>
        <w:contextualSpacing/>
        <w:rPr>
          <w:rFonts w:ascii="Arial Narrow" w:eastAsia="Calibri" w:hAnsi="Arial Narrow"/>
          <w:sz w:val="18"/>
          <w:szCs w:val="18"/>
          <w:lang w:eastAsia="en-US"/>
        </w:rPr>
      </w:pPr>
      <w:r w:rsidRPr="003B4D35">
        <w:rPr>
          <w:rFonts w:ascii="Arial Narrow" w:eastAsia="Calibri" w:hAnsi="Arial Narrow"/>
          <w:sz w:val="18"/>
          <w:szCs w:val="18"/>
          <w:lang w:eastAsia="en-US"/>
        </w:rPr>
        <w:t>ICER = incremental cost-effectiveness ratio; Ig = immunoglobulin; Inc = Incremental; QALY = quality-adjusted life years.</w:t>
      </w:r>
    </w:p>
    <w:p w14:paraId="31B2FFCF" w14:textId="2A71A95B" w:rsidR="00E61488" w:rsidRPr="003B4D35" w:rsidRDefault="000009C3" w:rsidP="00FD04C5">
      <w:pPr>
        <w:spacing w:before="120" w:after="120" w:line="312" w:lineRule="auto"/>
        <w:rPr>
          <w:rFonts w:ascii="Arial Narrow" w:hAnsi="Arial Narrow"/>
          <w:sz w:val="18"/>
          <w:szCs w:val="18"/>
        </w:rPr>
      </w:pPr>
      <w:r w:rsidRPr="003B4D35">
        <w:rPr>
          <w:rFonts w:ascii="Arial Narrow" w:hAnsi="Arial Narrow"/>
          <w:sz w:val="18"/>
          <w:szCs w:val="18"/>
        </w:rPr>
        <w:t>SOURCE: Table 45 of Mittal R, Milverton J, Schubert C, Parsons J (2021). Immunoglobulin for Chronic Inflammatory Demyelinating Polyneuropathy (CIDP). MSAC Application 1564.1, Re-submission assessment Report. Commonwealth of Australia, Canberra, ACT</w:t>
      </w:r>
    </w:p>
    <w:p w14:paraId="0F4D8647" w14:textId="0EED06AA" w:rsidR="00B972B2" w:rsidRPr="003B4D35" w:rsidRDefault="00B972B2" w:rsidP="00667472">
      <w:pPr>
        <w:pStyle w:val="Heading2"/>
      </w:pPr>
      <w:r w:rsidRPr="003B4D35">
        <w:t xml:space="preserve">Ig </w:t>
      </w:r>
      <w:r w:rsidR="004B0A47" w:rsidRPr="003B4D35">
        <w:t>versus</w:t>
      </w:r>
      <w:r w:rsidRPr="003B4D35">
        <w:t xml:space="preserve"> PE</w:t>
      </w:r>
    </w:p>
    <w:p w14:paraId="1181AC86" w14:textId="63A5AF1D" w:rsidR="00B972B2" w:rsidRPr="003B4D35" w:rsidRDefault="00B972B2" w:rsidP="00667472">
      <w:r w:rsidRPr="003B4D35">
        <w:t>There was insufficient evidence on the comparison of Ig and PE to support a finding of non-inferiority. The long-term effectiveness of PE treatment for CIDP is uncertain as the evidence was limited and of mixed quality. As such, only exploratory analyses could be conducted for this comparison.</w:t>
      </w:r>
    </w:p>
    <w:p w14:paraId="674611C3" w14:textId="12D10B22" w:rsidR="00076F94" w:rsidRPr="00076F94" w:rsidRDefault="004D73EF" w:rsidP="00076F94">
      <w:pPr>
        <w:pStyle w:val="Caption"/>
      </w:pPr>
      <w:bookmarkStart w:id="27" w:name="_Ref66457956"/>
      <w:bookmarkStart w:id="28" w:name="_Toc69305692"/>
      <w:r w:rsidRPr="00076F94">
        <w:t>Table 5</w:t>
      </w:r>
      <w:r w:rsidRPr="00076F94">
        <w:tab/>
        <w:t>Results of the stepped economic analysis: IVIg vs PE</w:t>
      </w:r>
      <w:bookmarkEnd w:id="27"/>
      <w:bookmarkEnd w:id="28"/>
    </w:p>
    <w:tbl>
      <w:tblPr>
        <w:tblStyle w:val="TableGrid11"/>
        <w:tblW w:w="5000" w:type="pct"/>
        <w:tblLayout w:type="fixed"/>
        <w:tblLook w:val="04A0" w:firstRow="1" w:lastRow="0" w:firstColumn="1" w:lastColumn="0" w:noHBand="0" w:noVBand="1"/>
        <w:tblCaption w:val="Results of the stepped economic analysis: IVIg vs PE"/>
        <w:tblDescription w:val="Results of the stepped economic analysis: IVIg vs PE"/>
      </w:tblPr>
      <w:tblGrid>
        <w:gridCol w:w="4957"/>
        <w:gridCol w:w="1275"/>
        <w:gridCol w:w="1417"/>
        <w:gridCol w:w="1367"/>
      </w:tblGrid>
      <w:tr w:rsidR="00076F94" w:rsidRPr="00076F94" w14:paraId="15A8762A" w14:textId="77777777" w:rsidTr="0035026B">
        <w:trPr>
          <w:cnfStyle w:val="100000000000" w:firstRow="1" w:lastRow="0" w:firstColumn="0" w:lastColumn="0" w:oddVBand="0" w:evenVBand="0" w:oddHBand="0" w:evenHBand="0" w:firstRowFirstColumn="0" w:firstRowLastColumn="0" w:lastRowFirstColumn="0" w:lastRowLastColumn="0"/>
          <w:cantSplit/>
          <w:trHeight w:val="116"/>
          <w:tblHeader/>
        </w:trPr>
        <w:tc>
          <w:tcPr>
            <w:tcW w:w="2749" w:type="pct"/>
            <w:tcBorders>
              <w:top w:val="single" w:sz="4" w:space="0" w:color="auto"/>
              <w:left w:val="single" w:sz="4" w:space="0" w:color="auto"/>
              <w:bottom w:val="single" w:sz="4" w:space="0" w:color="auto"/>
              <w:right w:val="single" w:sz="4" w:space="0" w:color="auto"/>
            </w:tcBorders>
            <w:noWrap/>
            <w:hideMark/>
          </w:tcPr>
          <w:p w14:paraId="176566D4" w14:textId="77777777" w:rsidR="00076F94" w:rsidRPr="00076F94" w:rsidRDefault="00076F94" w:rsidP="0035026B">
            <w:pPr>
              <w:pStyle w:val="TableHeading"/>
            </w:pPr>
          </w:p>
        </w:tc>
        <w:tc>
          <w:tcPr>
            <w:tcW w:w="707" w:type="pct"/>
            <w:tcBorders>
              <w:top w:val="single" w:sz="4" w:space="0" w:color="auto"/>
              <w:left w:val="single" w:sz="4" w:space="0" w:color="auto"/>
              <w:bottom w:val="single" w:sz="4" w:space="0" w:color="auto"/>
              <w:right w:val="single" w:sz="4" w:space="0" w:color="auto"/>
            </w:tcBorders>
            <w:noWrap/>
            <w:hideMark/>
          </w:tcPr>
          <w:p w14:paraId="28267E67" w14:textId="77777777" w:rsidR="00076F94" w:rsidRPr="00076F94" w:rsidRDefault="00076F94" w:rsidP="0035026B">
            <w:pPr>
              <w:pStyle w:val="TableHeading"/>
            </w:pPr>
            <w:r w:rsidRPr="00076F94">
              <w:t>Inc. cost</w:t>
            </w:r>
          </w:p>
        </w:tc>
        <w:tc>
          <w:tcPr>
            <w:tcW w:w="786" w:type="pct"/>
            <w:tcBorders>
              <w:top w:val="single" w:sz="4" w:space="0" w:color="auto"/>
              <w:left w:val="single" w:sz="4" w:space="0" w:color="auto"/>
              <w:bottom w:val="single" w:sz="4" w:space="0" w:color="auto"/>
              <w:right w:val="single" w:sz="4" w:space="0" w:color="auto"/>
            </w:tcBorders>
            <w:noWrap/>
            <w:hideMark/>
          </w:tcPr>
          <w:p w14:paraId="67CBEF69" w14:textId="77777777" w:rsidR="00076F94" w:rsidRPr="00076F94" w:rsidRDefault="00076F94" w:rsidP="0035026B">
            <w:pPr>
              <w:pStyle w:val="TableHeading"/>
            </w:pPr>
            <w:r w:rsidRPr="00076F94">
              <w:t>Inc. QALYs</w:t>
            </w:r>
          </w:p>
        </w:tc>
        <w:tc>
          <w:tcPr>
            <w:tcW w:w="758" w:type="pct"/>
            <w:tcBorders>
              <w:top w:val="single" w:sz="4" w:space="0" w:color="auto"/>
              <w:left w:val="single" w:sz="4" w:space="0" w:color="auto"/>
              <w:bottom w:val="single" w:sz="4" w:space="0" w:color="auto"/>
              <w:right w:val="single" w:sz="4" w:space="0" w:color="auto"/>
            </w:tcBorders>
            <w:noWrap/>
            <w:hideMark/>
          </w:tcPr>
          <w:p w14:paraId="15AC7F9D" w14:textId="77777777" w:rsidR="00076F94" w:rsidRPr="00076F94" w:rsidRDefault="00076F94" w:rsidP="0035026B">
            <w:pPr>
              <w:pStyle w:val="TableHeading"/>
            </w:pPr>
            <w:r w:rsidRPr="00076F94">
              <w:t>ICER</w:t>
            </w:r>
          </w:p>
        </w:tc>
      </w:tr>
      <w:tr w:rsidR="00076F94" w:rsidRPr="00076F94" w14:paraId="56823097" w14:textId="77777777" w:rsidTr="0035026B">
        <w:trPr>
          <w:cantSplit/>
          <w:trHeight w:val="300"/>
        </w:trPr>
        <w:tc>
          <w:tcPr>
            <w:tcW w:w="2749" w:type="pct"/>
            <w:tcBorders>
              <w:top w:val="single" w:sz="4" w:space="0" w:color="auto"/>
              <w:left w:val="single" w:sz="4" w:space="0" w:color="auto"/>
              <w:bottom w:val="single" w:sz="4" w:space="0" w:color="auto"/>
              <w:right w:val="single" w:sz="4" w:space="0" w:color="auto"/>
            </w:tcBorders>
            <w:noWrap/>
            <w:hideMark/>
          </w:tcPr>
          <w:p w14:paraId="7AC9F1B6" w14:textId="77777777" w:rsidR="00076F94" w:rsidRPr="00076F94" w:rsidRDefault="00076F94" w:rsidP="0035026B">
            <w:pPr>
              <w:pStyle w:val="Tabletext"/>
            </w:pPr>
            <w:r w:rsidRPr="00076F94">
              <w:t>Step 1 – Trial-based analysis.</w:t>
            </w:r>
          </w:p>
          <w:p w14:paraId="304AC5C2" w14:textId="77777777" w:rsidR="00076F94" w:rsidRPr="00076F94" w:rsidRDefault="00076F94" w:rsidP="0035026B">
            <w:pPr>
              <w:rPr>
                <w:rFonts w:eastAsia="Calibri"/>
                <w:lang w:eastAsia="en-US"/>
              </w:rPr>
            </w:pPr>
            <w:r w:rsidRPr="00076F94">
              <w:rPr>
                <w:rFonts w:eastAsia="Calibri"/>
                <w:lang w:eastAsia="en-US"/>
              </w:rPr>
              <w:t>IVIg: 0.4 g/kg/week for first three weeks followed by 0.2 g/kg/week for the next three weeks.</w:t>
            </w:r>
          </w:p>
          <w:p w14:paraId="3F917A05" w14:textId="77777777" w:rsidR="00076F94" w:rsidRPr="00076F94" w:rsidRDefault="00076F94" w:rsidP="0035026B">
            <w:pPr>
              <w:pStyle w:val="Tabletext"/>
            </w:pPr>
            <w:r w:rsidRPr="00076F94">
              <w:rPr>
                <w:rFonts w:eastAsia="Calibri"/>
              </w:rPr>
              <w:t xml:space="preserve">PE: Twice per week for three weeks then once a week for next three weeks </w:t>
            </w:r>
            <w:r w:rsidRPr="00076F94">
              <w:rPr>
                <w:rFonts w:eastAsia="Calibri"/>
              </w:rPr>
              <w:fldChar w:fldCharType="begin"/>
            </w:r>
            <w:r w:rsidRPr="00076F94">
              <w:rPr>
                <w:rFonts w:eastAsia="Calibri"/>
              </w:rPr>
              <w:instrText xml:space="preserve"> ADDIN EN.CITE &lt;EndNote&gt;&lt;Cite&gt;&lt;Author&gt;Dyck&lt;/Author&gt;&lt;Year&gt;1994&lt;/Year&gt;&lt;RecNum&gt;6&lt;/RecNum&gt;&lt;DisplayText&gt;(Dyck et al. 1994)&lt;/DisplayText&gt;&lt;record&gt;&lt;rec-number&gt;6&lt;/rec-number&gt;&lt;foreign-keys&gt;&lt;key app="EN" db-id="xtr5xfx2xf0wd7e0s2qvst2ietxxf0tpzr9v" timestamp="1601273176"&gt;6&lt;/key&gt;&lt;/foreign-keys&gt;&lt;ref-type name="Journal Article"&gt;17&lt;/ref-type&gt;&lt;contributors&gt;&lt;authors&gt;&lt;author&gt;Dyck, P. J.&lt;/author&gt;&lt;author&gt;Litchy, W. J.&lt;/author&gt;&lt;author&gt;Kratz, K. M.&lt;/author&gt;&lt;author&gt;Suarez, G. A.&lt;/author&gt;&lt;author&gt;Low, P. A.&lt;/author&gt;&lt;author&gt;Pineda, A. A.&lt;/author&gt;&lt;author&gt;Windebank, A. J.&lt;/author&gt;&lt;author&gt;Karnes, J. L.&lt;/author&gt;&lt;author&gt;O&amp;apos;Brien, P. C.&lt;/author&gt;&lt;/authors&gt;&lt;/contributors&gt;&lt;auth-address&gt;Department of Neurology, Mayo Clinic, Rochester, MN 55905.&lt;/auth-address&gt;&lt;titles&gt;&lt;title&gt;A plasma exchange versus immune globulin infusion trial in chronic inflammatory demyelinating polyradiculoneuropathy&lt;/title&gt;&lt;secondary-title&gt;Ann Neurol&lt;/secondary-title&gt;&lt;/titles&gt;&lt;periodical&gt;&lt;full-title&gt;Ann Neurol&lt;/full-title&gt;&lt;/periodical&gt;&lt;pages&gt;838-45&lt;/pages&gt;&lt;volume&gt;36&lt;/volume&gt;&lt;number&gt;6&lt;/number&gt;&lt;edition&gt;1994/12/01&lt;/edition&gt;&lt;keywords&gt;&lt;keyword&gt;Adult&lt;/keyword&gt;&lt;keyword&gt;Aged&lt;/keyword&gt;&lt;keyword&gt;Chronic Disease&lt;/keyword&gt;&lt;keyword&gt;Demyelinating Diseases/ therapy&lt;/keyword&gt;&lt;keyword&gt;Female&lt;/keyword&gt;&lt;keyword&gt;Humans&lt;/keyword&gt;&lt;keyword&gt;Immunoglobulins, Intravenous/ therapeutic use&lt;/keyword&gt;&lt;keyword&gt;Male&lt;/keyword&gt;&lt;keyword&gt;Middle Aged&lt;/keyword&gt;&lt;keyword&gt;Plasma Exchange&lt;/keyword&gt;&lt;keyword&gt;Polyradiculoneuropathy/ therapy&lt;/keyword&gt;&lt;/keywords&gt;&lt;dates&gt;&lt;year&gt;1994&lt;/year&gt;&lt;pub-dates&gt;&lt;date&gt;Dec&lt;/date&gt;&lt;/pub-dates&gt;&lt;/dates&gt;&lt;isbn&gt;0364-5134 (Print)&amp;#xD;0364-5134 (Linking)&lt;/isbn&gt;&lt;accession-num&gt;7998769&lt;/accession-num&gt;&lt;urls&gt;&lt;related-urls&gt;&lt;url&gt;https://onlinelibrary.wiley.com/doi/pdfdirect/10.1002/ana.410360607?download=true&lt;/url&gt;&lt;/related-urls&gt;&lt;/urls&gt;&lt;electronic-resource-num&gt;10.1002/ana.410360607&lt;/electronic-resource-num&gt;&lt;remote-database-provider&gt;NLM&lt;/remote-database-provider&gt;&lt;language&gt;eng&lt;/language&gt;&lt;/record&gt;&lt;/Cite&gt;&lt;/EndNote&gt;</w:instrText>
            </w:r>
            <w:r w:rsidRPr="00076F94">
              <w:rPr>
                <w:rFonts w:eastAsia="Calibri"/>
              </w:rPr>
              <w:fldChar w:fldCharType="separate"/>
            </w:r>
            <w:r w:rsidRPr="00076F94">
              <w:rPr>
                <w:rFonts w:eastAsia="Calibri"/>
                <w:noProof/>
              </w:rPr>
              <w:t>(</w:t>
            </w:r>
            <w:hyperlink w:anchor="_ENREF_17" w:tooltip="Dyck, 1994 #6" w:history="1">
              <w:r w:rsidRPr="00076F94">
                <w:rPr>
                  <w:rFonts w:eastAsia="Calibri"/>
                  <w:noProof/>
                </w:rPr>
                <w:t>Dyck et al. 1994</w:t>
              </w:r>
            </w:hyperlink>
            <w:r w:rsidRPr="00076F94">
              <w:rPr>
                <w:rFonts w:eastAsia="Calibri"/>
                <w:noProof/>
              </w:rPr>
              <w:t>)</w:t>
            </w:r>
            <w:r w:rsidRPr="00076F94">
              <w:rPr>
                <w:rFonts w:eastAsia="Calibri"/>
              </w:rPr>
              <w:fldChar w:fldCharType="end"/>
            </w:r>
          </w:p>
        </w:tc>
        <w:tc>
          <w:tcPr>
            <w:tcW w:w="707" w:type="pct"/>
            <w:tcBorders>
              <w:top w:val="single" w:sz="4" w:space="0" w:color="auto"/>
              <w:left w:val="single" w:sz="4" w:space="0" w:color="auto"/>
              <w:bottom w:val="single" w:sz="4" w:space="0" w:color="auto"/>
              <w:right w:val="single" w:sz="4" w:space="0" w:color="auto"/>
            </w:tcBorders>
            <w:noWrap/>
            <w:hideMark/>
          </w:tcPr>
          <w:p w14:paraId="4B02E3CA" w14:textId="77777777" w:rsidR="00076F94" w:rsidRPr="00076F94" w:rsidRDefault="00076F94" w:rsidP="0035026B">
            <w:pPr>
              <w:pStyle w:val="Tabletext"/>
              <w:jc w:val="right"/>
            </w:pPr>
            <w:r w:rsidRPr="00076F94">
              <w:t>–$5,074</w:t>
            </w:r>
          </w:p>
        </w:tc>
        <w:tc>
          <w:tcPr>
            <w:tcW w:w="786" w:type="pct"/>
            <w:tcBorders>
              <w:top w:val="single" w:sz="4" w:space="0" w:color="auto"/>
              <w:left w:val="single" w:sz="4" w:space="0" w:color="auto"/>
              <w:bottom w:val="single" w:sz="4" w:space="0" w:color="auto"/>
              <w:right w:val="single" w:sz="4" w:space="0" w:color="auto"/>
            </w:tcBorders>
            <w:noWrap/>
            <w:hideMark/>
          </w:tcPr>
          <w:p w14:paraId="48E98B48" w14:textId="77777777" w:rsidR="00076F94" w:rsidRPr="00076F94" w:rsidRDefault="00076F94" w:rsidP="0035026B">
            <w:pPr>
              <w:pStyle w:val="Tabletext"/>
              <w:jc w:val="right"/>
            </w:pPr>
            <w:r w:rsidRPr="00076F94">
              <w:t>-</w:t>
            </w:r>
          </w:p>
        </w:tc>
        <w:tc>
          <w:tcPr>
            <w:tcW w:w="758" w:type="pct"/>
            <w:tcBorders>
              <w:top w:val="single" w:sz="4" w:space="0" w:color="auto"/>
              <w:left w:val="single" w:sz="4" w:space="0" w:color="auto"/>
              <w:bottom w:val="single" w:sz="4" w:space="0" w:color="auto"/>
              <w:right w:val="single" w:sz="4" w:space="0" w:color="auto"/>
            </w:tcBorders>
            <w:noWrap/>
            <w:hideMark/>
          </w:tcPr>
          <w:p w14:paraId="42912D43" w14:textId="77777777" w:rsidR="00076F94" w:rsidRPr="00076F94" w:rsidRDefault="00076F94" w:rsidP="0035026B">
            <w:pPr>
              <w:pStyle w:val="Tabletext"/>
              <w:jc w:val="right"/>
            </w:pPr>
            <w:r w:rsidRPr="00076F94">
              <w:t>-</w:t>
            </w:r>
          </w:p>
        </w:tc>
      </w:tr>
      <w:tr w:rsidR="00076F94" w:rsidRPr="00076F94" w14:paraId="1B8847CB" w14:textId="77777777" w:rsidTr="0035026B">
        <w:trPr>
          <w:cantSplit/>
          <w:trHeight w:val="300"/>
        </w:trPr>
        <w:tc>
          <w:tcPr>
            <w:tcW w:w="2749" w:type="pct"/>
            <w:tcBorders>
              <w:top w:val="single" w:sz="4" w:space="0" w:color="auto"/>
              <w:left w:val="single" w:sz="4" w:space="0" w:color="auto"/>
              <w:bottom w:val="single" w:sz="4" w:space="0" w:color="auto"/>
              <w:right w:val="single" w:sz="4" w:space="0" w:color="auto"/>
            </w:tcBorders>
            <w:noWrap/>
            <w:hideMark/>
          </w:tcPr>
          <w:p w14:paraId="5B8EF51C" w14:textId="77777777" w:rsidR="00076F94" w:rsidRPr="00076F94" w:rsidRDefault="00076F94" w:rsidP="0035026B">
            <w:pPr>
              <w:pStyle w:val="Tabletext"/>
            </w:pPr>
            <w:r w:rsidRPr="00076F94">
              <w:t>Step 2 – Modelled economic evaluation</w:t>
            </w:r>
          </w:p>
          <w:p w14:paraId="165E0E5D" w14:textId="4D402568" w:rsidR="00076F94" w:rsidRPr="00076F94" w:rsidRDefault="00076F94" w:rsidP="0035026B">
            <w:pPr>
              <w:pStyle w:val="Tabletext"/>
            </w:pPr>
            <w:r w:rsidRPr="00076F94">
              <w:t xml:space="preserve">Applies the dose and frequency based on the Criteria V3 for Ig and for PE from Gwathmey et al </w:t>
            </w:r>
            <w:r w:rsidRPr="00076F94">
              <w:fldChar w:fldCharType="begin"/>
            </w:r>
            <w:r w:rsidRPr="00076F94">
              <w:instrText xml:space="preserve"> ADDIN EN.CITE &lt;EndNote&gt;&lt;Cite ExcludeAuth="1"&gt;&lt;Author&gt;Gwathmey&lt;/Author&gt;&lt;Year&gt;2020&lt;/Year&gt;&lt;RecNum&gt;489&lt;/RecNum&gt;&lt;DisplayText&gt;(2020)&lt;/DisplayText&gt;&lt;record&gt;&lt;rec-number&gt;489&lt;/rec-number&gt;&lt;foreign-keys&gt;&lt;key app="EN" db-id="xtr5xfx2xf0wd7e0s2qvst2ietxxf0tpzr9v" timestamp="1602225824"&gt;489&lt;/key&gt;&lt;/foreign-keys&gt;&lt;ref-type name="Journal Article"&gt;17&lt;/ref-type&gt;&lt;contributors&gt;&lt;authors&gt;&lt;author&gt;Gwathmey, K.&lt;/author&gt;&lt;/authors&gt;&lt;/contributors&gt;&lt;titles&gt;&lt;title&gt;Chronic Inflammatory Demyelinating Polyradiculoneuropathy and Its Variants&lt;/title&gt;&lt;secondary-title&gt;Continuum (Minneap Minn)&lt;/secondary-title&gt;&lt;/titles&gt;&lt;periodical&gt;&lt;full-title&gt;Continuum (Minneap Minn)&lt;/full-title&gt;&lt;/periodical&gt;&lt;pages&gt;1205-1223&lt;/pages&gt;&lt;volume&gt;26&lt;/volume&gt;&lt;number&gt;5&lt;/number&gt;&lt;edition&gt;2020/10/02&lt;/edition&gt;&lt;dates&gt;&lt;year&gt;2020&lt;/year&gt;&lt;pub-dates&gt;&lt;date&gt;Oct&lt;/date&gt;&lt;/pub-dates&gt;&lt;/dates&gt;&lt;isbn&gt;1538-6899 (Electronic)&amp;#xD;1080-2371 (Linking)&lt;/isbn&gt;&lt;accession-num&gt;33002999&lt;/accession-num&gt;&lt;urls&gt;&lt;/urls&gt;&lt;electronic-resource-num&gt;10.1212/con.0000000000000907&lt;/electronic-resource-num&gt;&lt;remote-database-provider&gt;NLM&lt;/remote-database-provider&gt;&lt;language&gt;eng&lt;/language&gt;&lt;/record&gt;&lt;/Cite&gt;&lt;/EndNote&gt;</w:instrText>
            </w:r>
            <w:r w:rsidRPr="00076F94">
              <w:fldChar w:fldCharType="separate"/>
            </w:r>
            <w:r w:rsidRPr="00076F94">
              <w:rPr>
                <w:noProof/>
              </w:rPr>
              <w:t>(</w:t>
            </w:r>
            <w:hyperlink w:anchor="_ENREF_22" w:tooltip="Gwathmey, 2020 #489" w:history="1">
              <w:r w:rsidRPr="00076F94">
                <w:rPr>
                  <w:noProof/>
                </w:rPr>
                <w:t>2020</w:t>
              </w:r>
            </w:hyperlink>
            <w:r w:rsidRPr="00076F94">
              <w:rPr>
                <w:noProof/>
              </w:rPr>
              <w:t>)</w:t>
            </w:r>
            <w:r w:rsidRPr="00076F94">
              <w:fldChar w:fldCharType="end"/>
            </w:r>
            <w:r w:rsidRPr="00076F94">
              <w:t xml:space="preserve"> (</w:t>
            </w:r>
            <w:r w:rsidRPr="00076F94">
              <w:fldChar w:fldCharType="begin"/>
            </w:r>
            <w:r w:rsidRPr="00076F94">
              <w:instrText xml:space="preserve"> REF _Ref65086945 \h  \* MERGEFORMAT </w:instrText>
            </w:r>
            <w:r w:rsidRPr="00076F94">
              <w:fldChar w:fldCharType="separate"/>
            </w:r>
            <w:r w:rsidRPr="00076F94">
              <w:t xml:space="preserve">Table </w:t>
            </w:r>
            <w:r w:rsidRPr="00076F94">
              <w:rPr>
                <w:noProof/>
              </w:rPr>
              <w:t>28</w:t>
            </w:r>
            <w:r w:rsidRPr="00076F94">
              <w:fldChar w:fldCharType="end"/>
            </w:r>
            <w:r w:rsidRPr="00076F94">
              <w:t xml:space="preserve">), the best estimates of transitions for remission, relapse and adverse events as described in section C.3.2 and </w:t>
            </w:r>
            <w:r w:rsidRPr="00076F94">
              <w:fldChar w:fldCharType="begin"/>
            </w:r>
            <w:r w:rsidRPr="00076F94">
              <w:instrText xml:space="preserve"> REF _Ref65856839 \h  \* MERGEFORMAT </w:instrText>
            </w:r>
            <w:r w:rsidRPr="00076F94">
              <w:fldChar w:fldCharType="separate"/>
            </w:r>
            <w:r w:rsidRPr="00076F94">
              <w:t xml:space="preserve">Table </w:t>
            </w:r>
            <w:r w:rsidRPr="00076F94">
              <w:rPr>
                <w:noProof/>
              </w:rPr>
              <w:t>31</w:t>
            </w:r>
            <w:r w:rsidRPr="00076F94">
              <w:fldChar w:fldCharType="end"/>
            </w:r>
            <w:r w:rsidRPr="00076F94">
              <w:t>, with the model time horizon of 10 years.</w:t>
            </w:r>
          </w:p>
        </w:tc>
        <w:tc>
          <w:tcPr>
            <w:tcW w:w="707" w:type="pct"/>
            <w:tcBorders>
              <w:top w:val="single" w:sz="4" w:space="0" w:color="auto"/>
              <w:left w:val="single" w:sz="4" w:space="0" w:color="auto"/>
              <w:bottom w:val="single" w:sz="4" w:space="0" w:color="auto"/>
              <w:right w:val="single" w:sz="4" w:space="0" w:color="auto"/>
            </w:tcBorders>
            <w:noWrap/>
          </w:tcPr>
          <w:p w14:paraId="3159BB6F" w14:textId="77777777" w:rsidR="00076F94" w:rsidRPr="00076F94" w:rsidRDefault="00076F94" w:rsidP="0035026B">
            <w:pPr>
              <w:pStyle w:val="Tabletext"/>
              <w:jc w:val="right"/>
            </w:pPr>
            <w:r w:rsidRPr="00076F94">
              <w:t>$68,372</w:t>
            </w:r>
          </w:p>
        </w:tc>
        <w:tc>
          <w:tcPr>
            <w:tcW w:w="786" w:type="pct"/>
            <w:tcBorders>
              <w:top w:val="single" w:sz="4" w:space="0" w:color="auto"/>
              <w:left w:val="single" w:sz="4" w:space="0" w:color="auto"/>
              <w:bottom w:val="single" w:sz="4" w:space="0" w:color="auto"/>
              <w:right w:val="single" w:sz="4" w:space="0" w:color="auto"/>
            </w:tcBorders>
            <w:noWrap/>
          </w:tcPr>
          <w:p w14:paraId="5A786D43" w14:textId="77777777" w:rsidR="00076F94" w:rsidRPr="00076F94" w:rsidRDefault="00076F94" w:rsidP="0035026B">
            <w:pPr>
              <w:pStyle w:val="Tabletext"/>
              <w:jc w:val="right"/>
            </w:pPr>
            <w:r w:rsidRPr="00076F94">
              <w:t>0.5316</w:t>
            </w:r>
          </w:p>
        </w:tc>
        <w:tc>
          <w:tcPr>
            <w:tcW w:w="758" w:type="pct"/>
            <w:tcBorders>
              <w:top w:val="single" w:sz="4" w:space="0" w:color="auto"/>
              <w:left w:val="single" w:sz="4" w:space="0" w:color="auto"/>
              <w:bottom w:val="single" w:sz="4" w:space="0" w:color="auto"/>
              <w:right w:val="single" w:sz="4" w:space="0" w:color="auto"/>
            </w:tcBorders>
            <w:noWrap/>
          </w:tcPr>
          <w:p w14:paraId="5904784F" w14:textId="77777777" w:rsidR="00076F94" w:rsidRPr="00076F94" w:rsidRDefault="00076F94" w:rsidP="0035026B">
            <w:pPr>
              <w:pStyle w:val="Tabletext"/>
              <w:jc w:val="right"/>
            </w:pPr>
            <w:r w:rsidRPr="00076F94">
              <w:t>$128,614</w:t>
            </w:r>
          </w:p>
        </w:tc>
      </w:tr>
    </w:tbl>
    <w:p w14:paraId="5636E919" w14:textId="77777777" w:rsidR="00076F94" w:rsidRPr="00076F94" w:rsidRDefault="00076F94" w:rsidP="00076F94">
      <w:pPr>
        <w:spacing w:after="200"/>
        <w:ind w:left="57" w:right="57"/>
        <w:contextualSpacing/>
        <w:rPr>
          <w:rFonts w:ascii="Arial Narrow" w:eastAsia="Calibri" w:hAnsi="Arial Narrow"/>
          <w:sz w:val="18"/>
          <w:szCs w:val="18"/>
        </w:rPr>
      </w:pPr>
      <w:r w:rsidRPr="00076F94">
        <w:rPr>
          <w:rFonts w:ascii="Arial Narrow" w:eastAsia="Calibri" w:hAnsi="Arial Narrow"/>
          <w:sz w:val="18"/>
          <w:szCs w:val="18"/>
        </w:rPr>
        <w:t>ICER = incremental cost-effectiveness ratio; Ig = immunoglobulin; Inc = Incremental; PE = plasma exchange; QALY = quality-adjusted life years.</w:t>
      </w:r>
    </w:p>
    <w:p w14:paraId="3ABF6473" w14:textId="553BB641" w:rsidR="00076F94" w:rsidRPr="003B4D35" w:rsidRDefault="00076F94" w:rsidP="008B6093">
      <w:pPr>
        <w:spacing w:before="120" w:after="120"/>
        <w:rPr>
          <w:rFonts w:ascii="Arial Narrow" w:eastAsia="Calibri" w:hAnsi="Arial Narrow"/>
          <w:sz w:val="18"/>
          <w:szCs w:val="18"/>
          <w:lang w:eastAsia="en-US"/>
        </w:rPr>
      </w:pPr>
      <w:r w:rsidRPr="00076F94">
        <w:rPr>
          <w:rFonts w:ascii="Arial Narrow" w:eastAsia="Calibri" w:hAnsi="Arial Narrow"/>
          <w:sz w:val="18"/>
          <w:szCs w:val="18"/>
          <w:lang w:eastAsia="en-US"/>
        </w:rPr>
        <w:t>SOURCE: Table 51 (</w:t>
      </w:r>
      <w:r w:rsidRPr="00076F94">
        <w:rPr>
          <w:rFonts w:ascii="Arial Narrow" w:eastAsia="Calibri" w:hAnsi="Arial Narrow"/>
          <w:b/>
          <w:bCs/>
          <w:sz w:val="18"/>
          <w:szCs w:val="18"/>
          <w:lang w:eastAsia="en-US"/>
        </w:rPr>
        <w:t>corrected</w:t>
      </w:r>
      <w:r w:rsidRPr="00076F94">
        <w:rPr>
          <w:rFonts w:ascii="Arial Narrow" w:eastAsia="Calibri" w:hAnsi="Arial Narrow"/>
          <w:sz w:val="18"/>
          <w:szCs w:val="18"/>
          <w:lang w:eastAsia="en-US"/>
        </w:rPr>
        <w:t xml:space="preserve"> as per Erratum) of Mittal R, Milverton J, Schubert C, Parsons J (2021). Immunoglobulin for Chronic Inflammatory Demyelinating Polyneuropathy (CIDP). MSAC Application 1564.1, Re-submission assessment Report. Commonwealth of Australia, Canberra, ACT</w:t>
      </w:r>
    </w:p>
    <w:p w14:paraId="75B5A030" w14:textId="32DD2389" w:rsidR="00B972B2" w:rsidRPr="003B4D35" w:rsidRDefault="00B972B2" w:rsidP="008B6093">
      <w:pPr>
        <w:pStyle w:val="Heading2"/>
      </w:pPr>
      <w:r w:rsidRPr="003B4D35">
        <w:lastRenderedPageBreak/>
        <w:t xml:space="preserve">Ig </w:t>
      </w:r>
      <w:r w:rsidR="004B0A47" w:rsidRPr="003B4D35">
        <w:t>versus</w:t>
      </w:r>
      <w:r w:rsidRPr="003B4D35">
        <w:t xml:space="preserve"> placebo in</w:t>
      </w:r>
      <w:r w:rsidR="005764BC">
        <w:t xml:space="preserve"> corticosteroid</w:t>
      </w:r>
      <w:r w:rsidRPr="003B4D35">
        <w:t xml:space="preserve"> resistant subgroup</w:t>
      </w:r>
    </w:p>
    <w:p w14:paraId="6F9F3E47" w14:textId="663BD076" w:rsidR="00DE16C3" w:rsidRPr="003B4D35" w:rsidRDefault="00DE16C3" w:rsidP="00667472">
      <w:r w:rsidRPr="003B4D35">
        <w:t>There was insufficient evidence on the comparison of Ig and placebo in</w:t>
      </w:r>
      <w:r w:rsidR="005764BC">
        <w:t xml:space="preserve"> corticosteroid</w:t>
      </w:r>
      <w:r w:rsidRPr="003B4D35">
        <w:t xml:space="preserve"> resistant population.</w:t>
      </w:r>
      <w:r w:rsidR="001B6086" w:rsidRPr="003B4D35">
        <w:t xml:space="preserve"> Data from Ig versus placebo study (Hughes et al. 2008) are used for the trial-based analysis.</w:t>
      </w:r>
    </w:p>
    <w:p w14:paraId="4663C8FC" w14:textId="02FB5F75" w:rsidR="00DE16C3" w:rsidRPr="003B4D35" w:rsidRDefault="004D73EF" w:rsidP="004D73EF">
      <w:pPr>
        <w:pStyle w:val="Caption"/>
      </w:pPr>
      <w:bookmarkStart w:id="29" w:name="_Ref66478758"/>
      <w:bookmarkStart w:id="30" w:name="_Toc69305697"/>
      <w:r w:rsidRPr="003B4D35">
        <w:t>Table 6</w:t>
      </w:r>
      <w:r w:rsidRPr="003B4D35">
        <w:tab/>
        <w:t>Results of the stepped economic analysis: Ig vs best supportive care</w:t>
      </w:r>
      <w:bookmarkEnd w:id="29"/>
      <w:bookmarkEnd w:id="30"/>
    </w:p>
    <w:tbl>
      <w:tblPr>
        <w:tblStyle w:val="TableGrid114"/>
        <w:tblW w:w="5000" w:type="pct"/>
        <w:tblInd w:w="0" w:type="dxa"/>
        <w:tblLayout w:type="fixed"/>
        <w:tblLook w:val="04A0" w:firstRow="1" w:lastRow="0" w:firstColumn="1" w:lastColumn="0" w:noHBand="0" w:noVBand="1"/>
        <w:tblCaption w:val="Results of the stepped economic analysis: IVIg vs best supportive care"/>
        <w:tblDescription w:val="Results of the stepped economic analysis: IVIg vs best supportive care"/>
      </w:tblPr>
      <w:tblGrid>
        <w:gridCol w:w="4957"/>
        <w:gridCol w:w="1275"/>
        <w:gridCol w:w="1417"/>
        <w:gridCol w:w="1367"/>
      </w:tblGrid>
      <w:tr w:rsidR="00DE16C3" w:rsidRPr="003B4D35" w14:paraId="501FC270" w14:textId="77777777" w:rsidTr="006853A3">
        <w:trPr>
          <w:cnfStyle w:val="100000000000" w:firstRow="1" w:lastRow="0" w:firstColumn="0" w:lastColumn="0" w:oddVBand="0" w:evenVBand="0" w:oddHBand="0" w:evenHBand="0" w:firstRowFirstColumn="0" w:firstRowLastColumn="0" w:lastRowFirstColumn="0" w:lastRowLastColumn="0"/>
          <w:cantSplit/>
          <w:trHeight w:val="116"/>
          <w:tblHeader/>
        </w:trPr>
        <w:tc>
          <w:tcPr>
            <w:tcW w:w="2749" w:type="pct"/>
            <w:tcBorders>
              <w:top w:val="single" w:sz="4" w:space="0" w:color="auto"/>
              <w:left w:val="single" w:sz="4" w:space="0" w:color="auto"/>
              <w:bottom w:val="single" w:sz="4" w:space="0" w:color="auto"/>
              <w:right w:val="single" w:sz="4" w:space="0" w:color="auto"/>
            </w:tcBorders>
            <w:noWrap/>
            <w:hideMark/>
          </w:tcPr>
          <w:p w14:paraId="7D22502C" w14:textId="77777777" w:rsidR="00DE16C3" w:rsidRPr="003B4D35" w:rsidRDefault="00DE16C3" w:rsidP="00DE16C3">
            <w:pPr>
              <w:keepNext/>
              <w:rPr>
                <w:rFonts w:ascii="Arial Narrow" w:hAnsi="Arial Narrow" w:cs="Tahoma"/>
                <w:b/>
              </w:rPr>
            </w:pPr>
          </w:p>
        </w:tc>
        <w:tc>
          <w:tcPr>
            <w:tcW w:w="707" w:type="pct"/>
            <w:tcBorders>
              <w:top w:val="single" w:sz="4" w:space="0" w:color="auto"/>
              <w:left w:val="single" w:sz="4" w:space="0" w:color="auto"/>
              <w:bottom w:val="single" w:sz="4" w:space="0" w:color="auto"/>
              <w:right w:val="single" w:sz="4" w:space="0" w:color="auto"/>
            </w:tcBorders>
            <w:noWrap/>
            <w:hideMark/>
          </w:tcPr>
          <w:p w14:paraId="286AA604" w14:textId="77777777" w:rsidR="00DE16C3" w:rsidRPr="003B4D35" w:rsidRDefault="00DE16C3" w:rsidP="00DE16C3">
            <w:pPr>
              <w:keepNext/>
              <w:rPr>
                <w:rFonts w:ascii="Arial Narrow" w:hAnsi="Arial Narrow" w:cs="Tahoma"/>
                <w:b/>
              </w:rPr>
            </w:pPr>
            <w:r w:rsidRPr="003B4D35">
              <w:rPr>
                <w:rFonts w:ascii="Arial Narrow" w:hAnsi="Arial Narrow" w:cs="Tahoma"/>
                <w:b/>
              </w:rPr>
              <w:t>Inc. cost</w:t>
            </w:r>
          </w:p>
        </w:tc>
        <w:tc>
          <w:tcPr>
            <w:tcW w:w="786" w:type="pct"/>
            <w:tcBorders>
              <w:top w:val="single" w:sz="4" w:space="0" w:color="auto"/>
              <w:left w:val="single" w:sz="4" w:space="0" w:color="auto"/>
              <w:bottom w:val="single" w:sz="4" w:space="0" w:color="auto"/>
              <w:right w:val="single" w:sz="4" w:space="0" w:color="auto"/>
            </w:tcBorders>
            <w:noWrap/>
            <w:hideMark/>
          </w:tcPr>
          <w:p w14:paraId="1E6FAF03" w14:textId="77777777" w:rsidR="00DE16C3" w:rsidRPr="003B4D35" w:rsidRDefault="00DE16C3" w:rsidP="00DE16C3">
            <w:pPr>
              <w:keepNext/>
              <w:rPr>
                <w:rFonts w:ascii="Arial Narrow" w:hAnsi="Arial Narrow" w:cs="Tahoma"/>
                <w:b/>
              </w:rPr>
            </w:pPr>
            <w:r w:rsidRPr="003B4D35">
              <w:rPr>
                <w:rFonts w:ascii="Arial Narrow" w:hAnsi="Arial Narrow" w:cs="Tahoma"/>
                <w:b/>
              </w:rPr>
              <w:t>Inc. QALYs</w:t>
            </w:r>
          </w:p>
        </w:tc>
        <w:tc>
          <w:tcPr>
            <w:tcW w:w="758" w:type="pct"/>
            <w:tcBorders>
              <w:top w:val="single" w:sz="4" w:space="0" w:color="auto"/>
              <w:left w:val="single" w:sz="4" w:space="0" w:color="auto"/>
              <w:bottom w:val="single" w:sz="4" w:space="0" w:color="auto"/>
              <w:right w:val="single" w:sz="4" w:space="0" w:color="auto"/>
            </w:tcBorders>
            <w:noWrap/>
            <w:hideMark/>
          </w:tcPr>
          <w:p w14:paraId="3D99CB79" w14:textId="77777777" w:rsidR="00DE16C3" w:rsidRPr="003B4D35" w:rsidRDefault="00DE16C3" w:rsidP="00DE16C3">
            <w:pPr>
              <w:keepNext/>
              <w:rPr>
                <w:rFonts w:ascii="Arial Narrow" w:hAnsi="Arial Narrow" w:cs="Tahoma"/>
                <w:b/>
              </w:rPr>
            </w:pPr>
            <w:r w:rsidRPr="003B4D35">
              <w:rPr>
                <w:rFonts w:ascii="Arial Narrow" w:hAnsi="Arial Narrow" w:cs="Tahoma"/>
                <w:b/>
              </w:rPr>
              <w:t>ICER</w:t>
            </w:r>
          </w:p>
        </w:tc>
      </w:tr>
      <w:tr w:rsidR="00DE16C3" w:rsidRPr="003B4D35" w14:paraId="3B5B81DE" w14:textId="77777777" w:rsidTr="006853A3">
        <w:trPr>
          <w:cantSplit/>
          <w:trHeight w:val="300"/>
        </w:trPr>
        <w:tc>
          <w:tcPr>
            <w:tcW w:w="2749" w:type="pct"/>
            <w:tcBorders>
              <w:top w:val="single" w:sz="4" w:space="0" w:color="auto"/>
              <w:left w:val="single" w:sz="4" w:space="0" w:color="auto"/>
              <w:bottom w:val="single" w:sz="4" w:space="0" w:color="auto"/>
              <w:right w:val="single" w:sz="4" w:space="0" w:color="auto"/>
            </w:tcBorders>
            <w:noWrap/>
            <w:hideMark/>
          </w:tcPr>
          <w:p w14:paraId="6D732896" w14:textId="77777777" w:rsidR="00DE16C3" w:rsidRPr="003B4D35" w:rsidRDefault="00DE16C3" w:rsidP="00DE16C3">
            <w:pPr>
              <w:rPr>
                <w:rFonts w:cs="Tahoma"/>
              </w:rPr>
            </w:pPr>
            <w:r w:rsidRPr="003B4D35">
              <w:rPr>
                <w:rFonts w:cs="Tahoma"/>
              </w:rPr>
              <w:t>Step 1 – Trial-based analysis.</w:t>
            </w:r>
          </w:p>
          <w:p w14:paraId="75E903E4" w14:textId="77777777" w:rsidR="00DE16C3" w:rsidRPr="003B4D35" w:rsidRDefault="00DE16C3" w:rsidP="00DE16C3">
            <w:pPr>
              <w:rPr>
                <w:rFonts w:eastAsia="Calibri" w:cs="Tahoma"/>
                <w:lang w:eastAsia="en-US"/>
              </w:rPr>
            </w:pPr>
            <w:r w:rsidRPr="003B4D35">
              <w:rPr>
                <w:rFonts w:eastAsia="Calibri" w:cs="Tahoma"/>
                <w:lang w:eastAsia="en-US"/>
              </w:rPr>
              <w:t>IVIg: Baseline loading dose of 2.0 g/kg over 2–4 d, followed by a maintenance infusion of 1 g/kg over 1–2 d every 3 wk for 24 wk.</w:t>
            </w:r>
          </w:p>
          <w:p w14:paraId="07473658" w14:textId="77777777" w:rsidR="00DE16C3" w:rsidRPr="003B4D35" w:rsidRDefault="00DE16C3" w:rsidP="00DE16C3">
            <w:pPr>
              <w:rPr>
                <w:rFonts w:cs="Tahoma"/>
              </w:rPr>
            </w:pPr>
            <w:r w:rsidRPr="003B4D35">
              <w:rPr>
                <w:rFonts w:eastAsia="Calibri" w:cs="Tahoma"/>
                <w:lang w:eastAsia="en-US"/>
              </w:rPr>
              <w:t xml:space="preserve">Placebo (0.1% albumin) </w:t>
            </w:r>
            <w:r w:rsidRPr="003B4D35">
              <w:rPr>
                <w:rFonts w:eastAsia="Calibri" w:cs="Tahoma"/>
                <w:lang w:eastAsia="en-US"/>
              </w:rPr>
              <w:fldChar w:fldCharType="begin">
                <w:fldData xml:space="preserve">PEVuZE5vdGU+PENpdGU+PEF1dGhvcj5IdWdoZXM8L0F1dGhvcj48WWVhcj4yMDA4PC9ZZWFyPjxS
ZWNOdW0+MTIwNTwvUmVjTnVtPjxEaXNwbGF5VGV4dD4oSHVnaGVzIGV0IGFsLiAyMDA4KTwvRGlz
cGxheVRleHQ+PHJlY29yZD48cmVjLW51bWJlcj4xMjA1PC9yZWMtbnVtYmVyPjxmb3JlaWduLWtl
eXM+PGtleSBhcHA9IkVOIiBkYi1pZD0ieHRyNXhmeDJ4ZjB3ZDdlMHMycXZzdDJpZXR4eGYwdHB6
cjl2IiB0aW1lc3RhbXA9IjE2MDIyMjYwNDgiPjEyMDU8L2tleT48L2ZvcmVpZ24ta2V5cz48cmVm
LXR5cGUgbmFtZT0iSm91cm5hbCBBcnRpY2xlIj4xNzwvcmVmLXR5cGU+PGNvbnRyaWJ1dG9ycz48
YXV0aG9ycz48YXV0aG9yPkh1Z2hlcywgUi4gQS48L2F1dGhvcj48YXV0aG9yPkRvbm9mcmlvLCBQ
LjwvYXV0aG9yPjxhdXRob3I+QnJpbCwgVi48L2F1dGhvcj48YXV0aG9yPkRhbGFrYXMsIE0uIEMu
PC9hdXRob3I+PGF1dGhvcj5EZW5nLCBDLjwvYXV0aG9yPjxhdXRob3I+SGFubmEsIEsuPC9hdXRo
b3I+PGF1dGhvcj5IYXJ0dW5nLCBILiBQLjwvYXV0aG9yPjxhdXRob3I+TGF0b3YsIE4uPC9hdXRo
b3I+PGF1dGhvcj5NZXJraWVzLCBJLiBTLjwvYXV0aG9yPjxhdXRob3I+dmFuIERvb3JuLCBQLiBB
LjwvYXV0aG9yPjwvYXV0aG9ycz48L2NvbnRyaWJ1dG9ycz48YXV0aC1hZGRyZXNzPkRlcGFydG1l
bnQgb2YgQ2xpbmljYWwgTmV1cm9zY2llbmNlLCBLaW5nJmFwb3M7cyBDb2xsZWdlIExvbmRvbiwg
R3V5JmFwb3M7cyBIb3NwaXRhbCwgTG9uZG9uLCBVSy4gcmljaGFyZC5hLmh1Z2hlc0BrY2wuYWMu
dWs8L2F1dGgtYWRkcmVzcz48dGl0bGVzPjx0aXRsZT5JbnRyYXZlbm91cyBpbW11bmUgZ2xvYnVs
aW4gKDEwJSBjYXByeWxhdGUtY2hyb21hdG9ncmFwaHkgcHVyaWZpZWQpIGZvciB0aGUgdHJlYXRt
ZW50IG9mIGNocm9uaWMgaW5mbGFtbWF0b3J5IGRlbXllbGluYXRpbmcgcG9seXJhZGljdWxvbmV1
cm9wYXRoeSAoSUNFIHN0dWR5KTogYSByYW5kb21pc2VkIHBsYWNlYm8tY29udHJvbGxlZCB0cmlh
bDwvdGl0bGU+PHNlY29uZGFyeS10aXRsZT5MYW5jZXQgTmV1cm9sPC9zZWNvbmRhcnktdGl0bGU+
PC90aXRsZXM+PHBlcmlvZGljYWw+PGZ1bGwtdGl0bGU+TGFuY2V0IE5ldXJvbDwvZnVsbC10aXRs
ZT48L3BlcmlvZGljYWw+PHBhZ2VzPjEzNi00NDwvcGFnZXM+PHZvbHVtZT43PC92b2x1bWU+PG51
bWJlcj4yPC9udW1iZXI+PGVkaXRpb24+MjAwOC8wMS8wODwvZWRpdGlvbj48a2V5d29yZHM+PGtl
eXdvcmQ+QWRvbGVzY2VudDwva2V5d29yZD48a2V5d29yZD5BZHVsdDwva2V5d29yZD48a2V5d29y
ZD5BZ2VkPC9rZXl3b3JkPjxrZXl3b3JkPkFnZWQsIDgwIGFuZCBvdmVyPC9rZXl3b3JkPjxrZXl3
b3JkPkNhcHJ5bGF0ZXM8L2tleXdvcmQ+PGtleXdvcmQ+Q2hyb21hdG9ncmFwaHk8L2tleXdvcmQ+
PGtleXdvcmQ+Q3Jvc3MtT3ZlciBTdHVkaWVzPC9rZXl3b3JkPjxrZXl3b3JkPkRpc2FiaWxpdHkg
RXZhbHVhdGlvbjwva2V5d29yZD48a2V5d29yZD5Eb3VibGUtQmxpbmQgTWV0aG9kPC9rZXl3b3Jk
PjxrZXl3b3JkPkVuZHBvaW50IERldGVybWluYXRpb248L2tleXdvcmQ+PGtleXdvcmQ+RmVtYWxl
PC9rZXl3b3JkPjxrZXl3b3JkPkh1bWFuczwva2V5d29yZD48a2V5d29yZD5JbW11bm9nbG9idWxp
bnMsIEludHJhdmVub3VzL2lzb2xhdGlvbiAmYW1wOyBwdXJpZmljYXRpb24vIHRoZXJhcGV1dGlj
IHVzZTwva2V5d29yZD48a2V5d29yZD5NYWxlPC9rZXl3b3JkPjxrZXl3b3JkPk1pZGRsZSBBZ2Vk
PC9rZXl3b3JkPjxrZXl3b3JkPlBvbHlyYWRpY3Vsb25ldXJvcGF0aHksIENocm9uaWMgSW5mbGFt
bWF0b3J5IERlbXllbGluYXRpbmcvIHRoZXJhcHk8L2tleXdvcmQ+PGtleXdvcmQ+UmVjdXJyZW5j
ZTwva2V5d29yZD48a2V5d29yZD5SZXNlYXJjaCBEZXNpZ248L2tleXdvcmQ+PGtleXdvcmQ+VHJl
YXRtZW50IE91dGNvbWU8L2tleXdvcmQ+PC9rZXl3b3Jkcz48ZGF0ZXM+PHllYXI+MjAwODwveWVh
cj48cHViLWRhdGVzPjxkYXRlPkZlYjwvZGF0ZT48L3B1Yi1kYXRlcz48L2RhdGVzPjxpc2JuPjE0
NzQtNDQyMiAoUHJpbnQpJiN4RDsxNDc0LTQ0MjIgKExpbmtpbmcpPC9pc2JuPjxhY2Nlc3Npb24t
bnVtPjE4MTc4NTI1PC9hY2Nlc3Npb24tbnVtPjx1cmxzPjwvdXJscz48ZWxlY3Ryb25pYy1yZXNv
dXJjZS1udW0+MTAuMTAxNi9zMTQ3NC00NDIyKDA3KTcwMzI5LTA8L2VsZWN0cm9uaWMtcmVzb3Vy
Y2UtbnVtPjxyZW1vdGUtZGF0YWJhc2UtcHJvdmlkZXI+TkxNPC9yZW1vdGUtZGF0YWJhc2UtcHJv
dmlkZXI+PGxhbmd1YWdlPmVuZzwvbGFuZ3VhZ2U+PC9yZWNvcmQ+PC9DaXRlPjwvRW5kTm90ZT5=
</w:fldData>
              </w:fldChar>
            </w:r>
            <w:r w:rsidRPr="003B4D35">
              <w:rPr>
                <w:rFonts w:eastAsia="Calibri" w:cs="Tahoma"/>
                <w:lang w:eastAsia="en-US"/>
              </w:rPr>
              <w:instrText xml:space="preserve"> ADDIN EN.CITE </w:instrText>
            </w:r>
            <w:r w:rsidRPr="003B4D35">
              <w:rPr>
                <w:rFonts w:eastAsia="Calibri" w:cs="Tahoma"/>
                <w:lang w:eastAsia="en-US"/>
              </w:rPr>
              <w:fldChar w:fldCharType="begin">
                <w:fldData xml:space="preserve">PEVuZE5vdGU+PENpdGU+PEF1dGhvcj5IdWdoZXM8L0F1dGhvcj48WWVhcj4yMDA4PC9ZZWFyPjxS
ZWNOdW0+MTIwNTwvUmVjTnVtPjxEaXNwbGF5VGV4dD4oSHVnaGVzIGV0IGFsLiAyMDA4KTwvRGlz
cGxheVRleHQ+PHJlY29yZD48cmVjLW51bWJlcj4xMjA1PC9yZWMtbnVtYmVyPjxmb3JlaWduLWtl
eXM+PGtleSBhcHA9IkVOIiBkYi1pZD0ieHRyNXhmeDJ4ZjB3ZDdlMHMycXZzdDJpZXR4eGYwdHB6
cjl2IiB0aW1lc3RhbXA9IjE2MDIyMjYwNDgiPjEyMDU8L2tleT48L2ZvcmVpZ24ta2V5cz48cmVm
LXR5cGUgbmFtZT0iSm91cm5hbCBBcnRpY2xlIj4xNzwvcmVmLXR5cGU+PGNvbnRyaWJ1dG9ycz48
YXV0aG9ycz48YXV0aG9yPkh1Z2hlcywgUi4gQS48L2F1dGhvcj48YXV0aG9yPkRvbm9mcmlvLCBQ
LjwvYXV0aG9yPjxhdXRob3I+QnJpbCwgVi48L2F1dGhvcj48YXV0aG9yPkRhbGFrYXMsIE0uIEMu
PC9hdXRob3I+PGF1dGhvcj5EZW5nLCBDLjwvYXV0aG9yPjxhdXRob3I+SGFubmEsIEsuPC9hdXRo
b3I+PGF1dGhvcj5IYXJ0dW5nLCBILiBQLjwvYXV0aG9yPjxhdXRob3I+TGF0b3YsIE4uPC9hdXRo
b3I+PGF1dGhvcj5NZXJraWVzLCBJLiBTLjwvYXV0aG9yPjxhdXRob3I+dmFuIERvb3JuLCBQLiBB
LjwvYXV0aG9yPjwvYXV0aG9ycz48L2NvbnRyaWJ1dG9ycz48YXV0aC1hZGRyZXNzPkRlcGFydG1l
bnQgb2YgQ2xpbmljYWwgTmV1cm9zY2llbmNlLCBLaW5nJmFwb3M7cyBDb2xsZWdlIExvbmRvbiwg
R3V5JmFwb3M7cyBIb3NwaXRhbCwgTG9uZG9uLCBVSy4gcmljaGFyZC5hLmh1Z2hlc0BrY2wuYWMu
dWs8L2F1dGgtYWRkcmVzcz48dGl0bGVzPjx0aXRsZT5JbnRyYXZlbm91cyBpbW11bmUgZ2xvYnVs
aW4gKDEwJSBjYXByeWxhdGUtY2hyb21hdG9ncmFwaHkgcHVyaWZpZWQpIGZvciB0aGUgdHJlYXRt
ZW50IG9mIGNocm9uaWMgaW5mbGFtbWF0b3J5IGRlbXllbGluYXRpbmcgcG9seXJhZGljdWxvbmV1
cm9wYXRoeSAoSUNFIHN0dWR5KTogYSByYW5kb21pc2VkIHBsYWNlYm8tY29udHJvbGxlZCB0cmlh
bDwvdGl0bGU+PHNlY29uZGFyeS10aXRsZT5MYW5jZXQgTmV1cm9sPC9zZWNvbmRhcnktdGl0bGU+
PC90aXRsZXM+PHBlcmlvZGljYWw+PGZ1bGwtdGl0bGU+TGFuY2V0IE5ldXJvbDwvZnVsbC10aXRs
ZT48L3BlcmlvZGljYWw+PHBhZ2VzPjEzNi00NDwvcGFnZXM+PHZvbHVtZT43PC92b2x1bWU+PG51
bWJlcj4yPC9udW1iZXI+PGVkaXRpb24+MjAwOC8wMS8wODwvZWRpdGlvbj48a2V5d29yZHM+PGtl
eXdvcmQ+QWRvbGVzY2VudDwva2V5d29yZD48a2V5d29yZD5BZHVsdDwva2V5d29yZD48a2V5d29y
ZD5BZ2VkPC9rZXl3b3JkPjxrZXl3b3JkPkFnZWQsIDgwIGFuZCBvdmVyPC9rZXl3b3JkPjxrZXl3
b3JkPkNhcHJ5bGF0ZXM8L2tleXdvcmQ+PGtleXdvcmQ+Q2hyb21hdG9ncmFwaHk8L2tleXdvcmQ+
PGtleXdvcmQ+Q3Jvc3MtT3ZlciBTdHVkaWVzPC9rZXl3b3JkPjxrZXl3b3JkPkRpc2FiaWxpdHkg
RXZhbHVhdGlvbjwva2V5d29yZD48a2V5d29yZD5Eb3VibGUtQmxpbmQgTWV0aG9kPC9rZXl3b3Jk
PjxrZXl3b3JkPkVuZHBvaW50IERldGVybWluYXRpb248L2tleXdvcmQ+PGtleXdvcmQ+RmVtYWxl
PC9rZXl3b3JkPjxrZXl3b3JkPkh1bWFuczwva2V5d29yZD48a2V5d29yZD5JbW11bm9nbG9idWxp
bnMsIEludHJhdmVub3VzL2lzb2xhdGlvbiAmYW1wOyBwdXJpZmljYXRpb24vIHRoZXJhcGV1dGlj
IHVzZTwva2V5d29yZD48a2V5d29yZD5NYWxlPC9rZXl3b3JkPjxrZXl3b3JkPk1pZGRsZSBBZ2Vk
PC9rZXl3b3JkPjxrZXl3b3JkPlBvbHlyYWRpY3Vsb25ldXJvcGF0aHksIENocm9uaWMgSW5mbGFt
bWF0b3J5IERlbXllbGluYXRpbmcvIHRoZXJhcHk8L2tleXdvcmQ+PGtleXdvcmQ+UmVjdXJyZW5j
ZTwva2V5d29yZD48a2V5d29yZD5SZXNlYXJjaCBEZXNpZ248L2tleXdvcmQ+PGtleXdvcmQ+VHJl
YXRtZW50IE91dGNvbWU8L2tleXdvcmQ+PC9rZXl3b3Jkcz48ZGF0ZXM+PHllYXI+MjAwODwveWVh
cj48cHViLWRhdGVzPjxkYXRlPkZlYjwvZGF0ZT48L3B1Yi1kYXRlcz48L2RhdGVzPjxpc2JuPjE0
NzQtNDQyMiAoUHJpbnQpJiN4RDsxNDc0LTQ0MjIgKExpbmtpbmcpPC9pc2JuPjxhY2Nlc3Npb24t
bnVtPjE4MTc4NTI1PC9hY2Nlc3Npb24tbnVtPjx1cmxzPjwvdXJscz48ZWxlY3Ryb25pYy1yZXNv
dXJjZS1udW0+MTAuMTAxNi9zMTQ3NC00NDIyKDA3KTcwMzI5LTA8L2VsZWN0cm9uaWMtcmVzb3Vy
Y2UtbnVtPjxyZW1vdGUtZGF0YWJhc2UtcHJvdmlkZXI+TkxNPC9yZW1vdGUtZGF0YWJhc2UtcHJv
dmlkZXI+PGxhbmd1YWdlPmVuZzwvbGFuZ3VhZ2U+PC9yZWNvcmQ+PC9DaXRlPjwvRW5kTm90ZT5=
</w:fldData>
              </w:fldChar>
            </w:r>
            <w:r w:rsidRPr="003B4D35">
              <w:rPr>
                <w:rFonts w:eastAsia="Calibri" w:cs="Tahoma"/>
                <w:lang w:eastAsia="en-US"/>
              </w:rPr>
              <w:instrText xml:space="preserve"> ADDIN EN.CITE.DATA </w:instrText>
            </w:r>
            <w:r w:rsidRPr="003B4D35">
              <w:rPr>
                <w:rFonts w:eastAsia="Calibri" w:cs="Tahoma"/>
                <w:lang w:eastAsia="en-US"/>
              </w:rPr>
            </w:r>
            <w:r w:rsidRPr="003B4D35">
              <w:rPr>
                <w:rFonts w:eastAsia="Calibri" w:cs="Tahoma"/>
                <w:lang w:eastAsia="en-US"/>
              </w:rPr>
              <w:fldChar w:fldCharType="end"/>
            </w:r>
            <w:r w:rsidRPr="003B4D35">
              <w:rPr>
                <w:rFonts w:eastAsia="Calibri" w:cs="Tahoma"/>
                <w:lang w:eastAsia="en-US"/>
              </w:rPr>
            </w:r>
            <w:r w:rsidRPr="003B4D35">
              <w:rPr>
                <w:rFonts w:eastAsia="Calibri" w:cs="Tahoma"/>
                <w:lang w:eastAsia="en-US"/>
              </w:rPr>
              <w:fldChar w:fldCharType="separate"/>
            </w:r>
            <w:r w:rsidRPr="003B4D35">
              <w:rPr>
                <w:rFonts w:eastAsia="Calibri" w:cs="Tahoma"/>
                <w:noProof/>
                <w:lang w:eastAsia="en-US"/>
              </w:rPr>
              <w:t>(</w:t>
            </w:r>
            <w:hyperlink w:anchor="_ENREF_28" w:tooltip="Hughes, 2008 #1205" w:history="1">
              <w:r w:rsidRPr="003B4D35">
                <w:rPr>
                  <w:rFonts w:eastAsia="Calibri" w:cs="Tahoma"/>
                  <w:noProof/>
                  <w:lang w:eastAsia="en-US"/>
                </w:rPr>
                <w:t>Hughes et al. 2008</w:t>
              </w:r>
            </w:hyperlink>
            <w:r w:rsidRPr="003B4D35">
              <w:rPr>
                <w:rFonts w:eastAsia="Calibri" w:cs="Tahoma"/>
                <w:noProof/>
                <w:lang w:eastAsia="en-US"/>
              </w:rPr>
              <w:t>)</w:t>
            </w:r>
            <w:r w:rsidRPr="003B4D35">
              <w:rPr>
                <w:rFonts w:eastAsia="Calibri" w:cs="Tahoma"/>
                <w:lang w:eastAsia="en-US"/>
              </w:rPr>
              <w:fldChar w:fldCharType="end"/>
            </w:r>
          </w:p>
        </w:tc>
        <w:tc>
          <w:tcPr>
            <w:tcW w:w="707" w:type="pct"/>
            <w:tcBorders>
              <w:top w:val="single" w:sz="4" w:space="0" w:color="auto"/>
              <w:left w:val="single" w:sz="4" w:space="0" w:color="auto"/>
              <w:bottom w:val="single" w:sz="4" w:space="0" w:color="auto"/>
              <w:right w:val="single" w:sz="4" w:space="0" w:color="auto"/>
            </w:tcBorders>
            <w:noWrap/>
          </w:tcPr>
          <w:p w14:paraId="51FC92D4" w14:textId="77777777" w:rsidR="00DE16C3" w:rsidRPr="003B4D35" w:rsidRDefault="00DE16C3" w:rsidP="00DE16C3">
            <w:pPr>
              <w:jc w:val="right"/>
              <w:rPr>
                <w:rFonts w:cs="Tahoma"/>
              </w:rPr>
            </w:pPr>
            <w:r w:rsidRPr="003B4D35">
              <w:rPr>
                <w:rFonts w:cs="Tahoma"/>
              </w:rPr>
              <w:t>$40,873</w:t>
            </w:r>
          </w:p>
        </w:tc>
        <w:tc>
          <w:tcPr>
            <w:tcW w:w="786" w:type="pct"/>
            <w:tcBorders>
              <w:top w:val="single" w:sz="4" w:space="0" w:color="auto"/>
              <w:left w:val="single" w:sz="4" w:space="0" w:color="auto"/>
              <w:bottom w:val="single" w:sz="4" w:space="0" w:color="auto"/>
              <w:right w:val="single" w:sz="4" w:space="0" w:color="auto"/>
            </w:tcBorders>
            <w:noWrap/>
          </w:tcPr>
          <w:p w14:paraId="6199A615" w14:textId="77777777" w:rsidR="00DE16C3" w:rsidRPr="003B4D35" w:rsidRDefault="00DE16C3" w:rsidP="00DE16C3">
            <w:pPr>
              <w:jc w:val="right"/>
              <w:rPr>
                <w:rFonts w:cs="Tahoma"/>
              </w:rPr>
            </w:pPr>
            <w:r w:rsidRPr="003B4D35">
              <w:rPr>
                <w:rFonts w:cs="Tahoma"/>
              </w:rPr>
              <w:t>0.1266</w:t>
            </w:r>
          </w:p>
        </w:tc>
        <w:tc>
          <w:tcPr>
            <w:tcW w:w="758" w:type="pct"/>
            <w:tcBorders>
              <w:top w:val="single" w:sz="4" w:space="0" w:color="auto"/>
              <w:left w:val="single" w:sz="4" w:space="0" w:color="auto"/>
              <w:bottom w:val="single" w:sz="4" w:space="0" w:color="auto"/>
              <w:right w:val="single" w:sz="4" w:space="0" w:color="auto"/>
            </w:tcBorders>
            <w:noWrap/>
          </w:tcPr>
          <w:p w14:paraId="5E855004" w14:textId="77777777" w:rsidR="00DE16C3" w:rsidRPr="003B4D35" w:rsidRDefault="00DE16C3" w:rsidP="00DE16C3">
            <w:pPr>
              <w:jc w:val="right"/>
              <w:rPr>
                <w:rFonts w:cs="Tahoma"/>
              </w:rPr>
            </w:pPr>
            <w:r w:rsidRPr="003B4D35">
              <w:rPr>
                <w:rFonts w:cs="Tahoma"/>
              </w:rPr>
              <w:t>$322,801</w:t>
            </w:r>
          </w:p>
        </w:tc>
      </w:tr>
      <w:tr w:rsidR="00DE16C3" w:rsidRPr="003B4D35" w14:paraId="29DC87A3" w14:textId="77777777" w:rsidTr="006853A3">
        <w:trPr>
          <w:cantSplit/>
          <w:trHeight w:val="300"/>
        </w:trPr>
        <w:tc>
          <w:tcPr>
            <w:tcW w:w="2749" w:type="pct"/>
            <w:tcBorders>
              <w:top w:val="single" w:sz="4" w:space="0" w:color="auto"/>
              <w:left w:val="single" w:sz="4" w:space="0" w:color="auto"/>
              <w:bottom w:val="single" w:sz="4" w:space="0" w:color="auto"/>
              <w:right w:val="single" w:sz="4" w:space="0" w:color="auto"/>
            </w:tcBorders>
            <w:noWrap/>
            <w:hideMark/>
          </w:tcPr>
          <w:p w14:paraId="40920860" w14:textId="77777777" w:rsidR="00DE16C3" w:rsidRPr="003B4D35" w:rsidRDefault="00DE16C3" w:rsidP="00DE16C3">
            <w:pPr>
              <w:rPr>
                <w:rFonts w:cs="Tahoma"/>
              </w:rPr>
            </w:pPr>
            <w:r w:rsidRPr="003B4D35">
              <w:rPr>
                <w:rFonts w:cs="Tahoma"/>
              </w:rPr>
              <w:t>Step 2 – Modelled economic evaluation</w:t>
            </w:r>
          </w:p>
          <w:p w14:paraId="3D5825D7" w14:textId="116AA8C6" w:rsidR="00DE16C3" w:rsidRPr="003B4D35" w:rsidRDefault="00DE16C3" w:rsidP="00DE16C3">
            <w:pPr>
              <w:rPr>
                <w:rFonts w:cs="Tahoma"/>
              </w:rPr>
            </w:pPr>
            <w:r w:rsidRPr="003B4D35">
              <w:rPr>
                <w:rFonts w:cs="Tahoma"/>
              </w:rPr>
              <w:t xml:space="preserve">Applies the dose and frequency based on the Criteria version 3 for Ig and no treatment for placebo, the best estimates of transitions for remission, relapse and adverse events as described in section C.3.2 and </w:t>
            </w:r>
            <w:r w:rsidRPr="003B4D35">
              <w:rPr>
                <w:rFonts w:cs="Tahoma"/>
              </w:rPr>
              <w:fldChar w:fldCharType="begin"/>
            </w:r>
            <w:r w:rsidRPr="003B4D35">
              <w:rPr>
                <w:rFonts w:cs="Tahoma"/>
              </w:rPr>
              <w:instrText xml:space="preserve"> REF _Ref65856839 \h </w:instrText>
            </w:r>
            <w:r w:rsidR="003B4D35">
              <w:rPr>
                <w:rFonts w:cs="Tahoma"/>
              </w:rPr>
              <w:instrText xml:space="preserve"> \* MERGEFORMAT </w:instrText>
            </w:r>
            <w:r w:rsidRPr="003B4D35">
              <w:rPr>
                <w:rFonts w:cs="Tahoma"/>
              </w:rPr>
            </w:r>
            <w:r w:rsidRPr="003B4D35">
              <w:rPr>
                <w:rFonts w:cs="Tahoma"/>
              </w:rPr>
              <w:fldChar w:fldCharType="separate"/>
            </w:r>
            <w:r w:rsidRPr="003B4D35">
              <w:rPr>
                <w:rFonts w:cs="Tahoma"/>
              </w:rPr>
              <w:t xml:space="preserve">Table </w:t>
            </w:r>
            <w:r w:rsidRPr="003B4D35">
              <w:rPr>
                <w:rFonts w:cs="Tahoma"/>
                <w:noProof/>
              </w:rPr>
              <w:t>31</w:t>
            </w:r>
            <w:r w:rsidRPr="003B4D35">
              <w:rPr>
                <w:rFonts w:cs="Tahoma"/>
              </w:rPr>
              <w:fldChar w:fldCharType="end"/>
            </w:r>
            <w:r w:rsidRPr="003B4D35">
              <w:rPr>
                <w:rFonts w:cs="Tahoma"/>
              </w:rPr>
              <w:t>, with the model time horizon of 10 years.</w:t>
            </w:r>
          </w:p>
        </w:tc>
        <w:tc>
          <w:tcPr>
            <w:tcW w:w="707" w:type="pct"/>
            <w:tcBorders>
              <w:top w:val="single" w:sz="4" w:space="0" w:color="auto"/>
              <w:left w:val="single" w:sz="4" w:space="0" w:color="auto"/>
              <w:bottom w:val="single" w:sz="4" w:space="0" w:color="auto"/>
              <w:right w:val="single" w:sz="4" w:space="0" w:color="auto"/>
            </w:tcBorders>
            <w:noWrap/>
          </w:tcPr>
          <w:p w14:paraId="79B07036" w14:textId="77777777" w:rsidR="00DE16C3" w:rsidRPr="003B4D35" w:rsidRDefault="00DE16C3" w:rsidP="00DE16C3">
            <w:pPr>
              <w:jc w:val="right"/>
              <w:rPr>
                <w:rFonts w:cs="Tahoma"/>
              </w:rPr>
            </w:pPr>
            <w:r w:rsidRPr="003B4D35">
              <w:rPr>
                <w:rFonts w:cs="Tahoma"/>
              </w:rPr>
              <w:t>$159,573</w:t>
            </w:r>
          </w:p>
        </w:tc>
        <w:tc>
          <w:tcPr>
            <w:tcW w:w="786" w:type="pct"/>
            <w:tcBorders>
              <w:top w:val="single" w:sz="4" w:space="0" w:color="auto"/>
              <w:left w:val="single" w:sz="4" w:space="0" w:color="auto"/>
              <w:bottom w:val="single" w:sz="4" w:space="0" w:color="auto"/>
              <w:right w:val="single" w:sz="4" w:space="0" w:color="auto"/>
            </w:tcBorders>
            <w:noWrap/>
          </w:tcPr>
          <w:p w14:paraId="00CDAFEC" w14:textId="77777777" w:rsidR="00DE16C3" w:rsidRPr="003B4D35" w:rsidRDefault="00DE16C3" w:rsidP="00DE16C3">
            <w:pPr>
              <w:jc w:val="right"/>
              <w:rPr>
                <w:rFonts w:cs="Tahoma"/>
              </w:rPr>
            </w:pPr>
            <w:r w:rsidRPr="003B4D35">
              <w:rPr>
                <w:rFonts w:cs="Tahoma"/>
              </w:rPr>
              <w:t>1.7162</w:t>
            </w:r>
          </w:p>
        </w:tc>
        <w:tc>
          <w:tcPr>
            <w:tcW w:w="758" w:type="pct"/>
            <w:tcBorders>
              <w:top w:val="single" w:sz="4" w:space="0" w:color="auto"/>
              <w:left w:val="single" w:sz="4" w:space="0" w:color="auto"/>
              <w:bottom w:val="single" w:sz="4" w:space="0" w:color="auto"/>
              <w:right w:val="single" w:sz="4" w:space="0" w:color="auto"/>
            </w:tcBorders>
            <w:noWrap/>
          </w:tcPr>
          <w:p w14:paraId="6DE29E37" w14:textId="77777777" w:rsidR="00DE16C3" w:rsidRPr="003B4D35" w:rsidRDefault="00DE16C3" w:rsidP="00DE16C3">
            <w:pPr>
              <w:jc w:val="right"/>
              <w:rPr>
                <w:rFonts w:cs="Tahoma"/>
              </w:rPr>
            </w:pPr>
            <w:r w:rsidRPr="003B4D35">
              <w:rPr>
                <w:rFonts w:cs="Tahoma"/>
              </w:rPr>
              <w:t>$92,983</w:t>
            </w:r>
          </w:p>
        </w:tc>
      </w:tr>
    </w:tbl>
    <w:p w14:paraId="0C4C4D90" w14:textId="77777777" w:rsidR="00DE16C3" w:rsidRPr="003B4D35" w:rsidRDefault="00DE16C3" w:rsidP="00DE16C3">
      <w:pPr>
        <w:spacing w:after="200"/>
        <w:ind w:left="57" w:right="57"/>
        <w:contextualSpacing/>
        <w:rPr>
          <w:rFonts w:ascii="Arial Narrow" w:eastAsia="Calibri" w:hAnsi="Arial Narrow"/>
          <w:sz w:val="18"/>
          <w:szCs w:val="18"/>
          <w:lang w:eastAsia="en-US"/>
        </w:rPr>
      </w:pPr>
      <w:r w:rsidRPr="003B4D35">
        <w:rPr>
          <w:rFonts w:ascii="Arial Narrow" w:eastAsia="Calibri" w:hAnsi="Arial Narrow"/>
          <w:sz w:val="18"/>
          <w:szCs w:val="18"/>
          <w:lang w:eastAsia="en-US"/>
        </w:rPr>
        <w:t>ICER = incremental cost-effectiveness ratio; Ig = immunoglobulin; Inc = Incremental; PE = plasma exchange; QALY = quality-adjusted life years.</w:t>
      </w:r>
    </w:p>
    <w:p w14:paraId="0591A9C7" w14:textId="3C54F30D" w:rsidR="000009C3" w:rsidRPr="003B4D35" w:rsidRDefault="000009C3" w:rsidP="008B6093">
      <w:pPr>
        <w:spacing w:before="120" w:after="120"/>
        <w:rPr>
          <w:rFonts w:ascii="Arial Narrow" w:eastAsia="Calibri" w:hAnsi="Arial Narrow"/>
          <w:sz w:val="18"/>
          <w:szCs w:val="18"/>
          <w:lang w:eastAsia="en-US"/>
        </w:rPr>
      </w:pPr>
      <w:r w:rsidRPr="00076F94">
        <w:rPr>
          <w:rFonts w:ascii="Arial Narrow" w:eastAsia="Calibri" w:hAnsi="Arial Narrow"/>
          <w:bCs/>
          <w:sz w:val="18"/>
          <w:szCs w:val="18"/>
          <w:lang w:eastAsia="en-US"/>
        </w:rPr>
        <w:t>SOURCE</w:t>
      </w:r>
      <w:r w:rsidRPr="003B4D35">
        <w:rPr>
          <w:rFonts w:ascii="Arial Narrow" w:eastAsia="Calibri" w:hAnsi="Arial Narrow"/>
          <w:b/>
          <w:sz w:val="18"/>
          <w:szCs w:val="18"/>
          <w:lang w:eastAsia="en-US"/>
        </w:rPr>
        <w:t>:</w:t>
      </w:r>
      <w:r w:rsidRPr="003B4D35">
        <w:rPr>
          <w:rFonts w:ascii="Arial Narrow" w:eastAsia="Calibri" w:hAnsi="Arial Narrow"/>
          <w:sz w:val="18"/>
          <w:szCs w:val="18"/>
          <w:lang w:eastAsia="en-US"/>
        </w:rPr>
        <w:t xml:space="preserve"> Table 56 of Mittal R, Milverton J, Schubert C, Parsons J (2021). Immunoglobulin for Chronic Inflammatory Demyelinating Polyneuropathy (CIDP). MSAC Application 1564.1, Re-submission assessment Report. Commonwealth of Australia, Canberra, ACT</w:t>
      </w:r>
    </w:p>
    <w:p w14:paraId="15381063" w14:textId="744512DB" w:rsidR="00DE16C3" w:rsidRPr="003B4D35" w:rsidRDefault="003136DF" w:rsidP="008B6093">
      <w:r w:rsidRPr="003B4D35">
        <w:t xml:space="preserve">Transition probabilities used in the economic models and relevant sources are described in Table 39 Section D.4 of the updated DCAR. Section D.6 presents sensitivity analyses using upper and lower bound of the parameter values found in the studies. </w:t>
      </w:r>
    </w:p>
    <w:p w14:paraId="4519492F" w14:textId="1085872B" w:rsidR="00136969" w:rsidRPr="008B6093" w:rsidRDefault="00065623" w:rsidP="008B6093">
      <w:pPr>
        <w:pStyle w:val="Heading1"/>
        <w:rPr>
          <w:rFonts w:ascii="Arial" w:hAnsi="Arial" w:cs="Arial"/>
        </w:rPr>
      </w:pPr>
      <w:r w:rsidRPr="008B6093">
        <w:rPr>
          <w:rFonts w:ascii="Arial" w:hAnsi="Arial" w:cs="Arial"/>
        </w:rPr>
        <w:t>Financial/budgetary impacts</w:t>
      </w:r>
    </w:p>
    <w:p w14:paraId="398061C4" w14:textId="34C7E530" w:rsidR="003B02B8" w:rsidRPr="003B4D35" w:rsidRDefault="00B31EDD" w:rsidP="008B6093">
      <w:r w:rsidRPr="003B4D35">
        <w:t xml:space="preserve">The financial implications and predicted use of Ig in patients with CIDP were estimated for a </w:t>
      </w:r>
      <w:bookmarkStart w:id="31" w:name="_Hlk74915941"/>
      <w:r w:rsidRPr="003B4D35">
        <w:t xml:space="preserve">5-year period from </w:t>
      </w:r>
      <w:r w:rsidR="00FC74F3" w:rsidRPr="003B4D35">
        <w:t>2021-22</w:t>
      </w:r>
      <w:r w:rsidRPr="003B4D35">
        <w:t xml:space="preserve"> to </w:t>
      </w:r>
      <w:r w:rsidR="00FC74F3" w:rsidRPr="003B4D35">
        <w:t>2025-26</w:t>
      </w:r>
      <w:r w:rsidRPr="003B4D35">
        <w:t>, using a market-based approach</w:t>
      </w:r>
      <w:bookmarkEnd w:id="31"/>
      <w:r w:rsidRPr="003B4D35">
        <w:t>.</w:t>
      </w:r>
      <w:r w:rsidR="00FC74F3" w:rsidRPr="003B4D35">
        <w:t xml:space="preserve"> This was based on current utilisation of Ig products in patients with CIDP. As data available on utilisation were only available for use under the Criteria V2 or when patients were transitioning to the Criteria V3, the impact of transitioning to the Criteria V3 could not be captured in the analysis. There is also uncertainty as to whether the trends observed in the past would continue in the future.</w:t>
      </w:r>
    </w:p>
    <w:p w14:paraId="7A58DD6C" w14:textId="092CBF94" w:rsidR="00FC74F3" w:rsidRPr="003B4D35" w:rsidRDefault="00674A96" w:rsidP="008B6093">
      <w:r w:rsidRPr="003B4D35">
        <w:t xml:space="preserve">The total number of patients with CIDP receiving Ig has increased from 1,551 in 2011–12 to 2,250 in 2015–16 and 2,712 in 2019–20. The rate of growth for CIDP patients were 3.4% and 1.1% for the years 2018–19 and 2019–20 respectively. It is uncertain if this reduction in growth rate </w:t>
      </w:r>
      <w:r w:rsidR="00B92D1F" w:rsidRPr="003B4D35">
        <w:t>can be</w:t>
      </w:r>
      <w:r w:rsidRPr="003B4D35">
        <w:t xml:space="preserve"> </w:t>
      </w:r>
      <w:r w:rsidR="00800624" w:rsidRPr="003B4D35">
        <w:t xml:space="preserve">wholly </w:t>
      </w:r>
      <w:r w:rsidRPr="003B4D35">
        <w:t xml:space="preserve">attributed to the introduction of Version 3 Criteria or </w:t>
      </w:r>
      <w:r w:rsidR="00800624" w:rsidRPr="003B4D35">
        <w:t xml:space="preserve">if numbers of </w:t>
      </w:r>
      <w:r w:rsidRPr="003B4D35">
        <w:t>patient switching from alternate therapies have stabilised</w:t>
      </w:r>
      <w:r w:rsidR="005D7FED" w:rsidRPr="003B4D35">
        <w:t>.</w:t>
      </w:r>
    </w:p>
    <w:p w14:paraId="449AF3CF" w14:textId="51303DF7" w:rsidR="00B31EDD" w:rsidRPr="003B4D35" w:rsidRDefault="00486D86" w:rsidP="008B6093">
      <w:r w:rsidRPr="003B4D35">
        <w:t>Consistent with previous Reviews of Immunoglobulin, t</w:t>
      </w:r>
      <w:r w:rsidR="00B31EDD" w:rsidRPr="003B4D35">
        <w:t xml:space="preserve">he cost per gram of Ig used in the base case analysis is $60.41. This cost was provided by the Applicant to inform the economic and financial analyses and had been estimated retrospectively based on the reported total domestic product cost in 2017/18 ($195 million) minus domestic SCIg product costs ($4 million) in that same year, divided by the number of IVIg domestic grams issued (3,161,673) as published in the National Blood Authority (NBA) report on the Issues and Use of Ig in 2017/18 </w:t>
      </w:r>
      <w:r w:rsidR="00B31EDD" w:rsidRPr="003B4D35">
        <w:fldChar w:fldCharType="begin"/>
      </w:r>
      <w:r w:rsidR="00B31EDD" w:rsidRPr="003B4D35">
        <w:instrText xml:space="preserve"> ADDIN EN.CITE &lt;EndNote&gt;&lt;Cite&gt;&lt;Author&gt;NBA&lt;/Author&gt;&lt;Year&gt;2018&lt;/Year&gt;&lt;RecNum&gt;1948&lt;/RecNum&gt;&lt;DisplayText&gt;(NBA 2018)&lt;/DisplayText&gt;&lt;record&gt;&lt;rec-number&gt;1948&lt;/rec-number&gt;&lt;foreign-keys&gt;&lt;key app="EN" db-id="xtr5xfx2xf0wd7e0s2qvst2ietxxf0tpzr9v" timestamp="1614134979"&gt;1948&lt;/key&gt;&lt;/foreign-keys&gt;&lt;ref-type name="Report"&gt;27&lt;/ref-type&gt;&lt;contributors&gt;&lt;authors&gt;&lt;author&gt;NBA&lt;/author&gt;&lt;/authors&gt;&lt;tertiary-authors&gt;&lt;author&gt;Union Offset Printers&lt;/author&gt;&lt;/tertiary-authors&gt;&lt;/contributors&gt;&lt;titles&gt;&lt;title&gt;National Blood Authority Annual Report 2017-18&lt;/title&gt;&lt;/titles&gt;&lt;dates&gt;&lt;year&gt;2018&lt;/year&gt;&lt;pub-dates&gt;&lt;date&gt;2 October 2018&lt;/date&gt;&lt;/pub-dates&gt;&lt;/dates&gt;&lt;publisher&gt;National Blood Authority&lt;/publisher&gt;&lt;urls&gt;&lt;related-urls&gt;&lt;url&gt;www.blood.gov.au/about-nba&lt;/url&gt;&lt;/related-urls&gt;&lt;/urls&gt;&lt;access-date&gt;18 January 2021&lt;/access-date&gt;&lt;/record&gt;&lt;/Cite&gt;&lt;/EndNote&gt;</w:instrText>
      </w:r>
      <w:r w:rsidR="00B31EDD" w:rsidRPr="003B4D35">
        <w:fldChar w:fldCharType="separate"/>
      </w:r>
      <w:r w:rsidR="00B31EDD" w:rsidRPr="003B4D35">
        <w:t>(</w:t>
      </w:r>
      <w:hyperlink w:anchor="_ENREF_48" w:tooltip="NBA, 2018 #1948" w:history="1">
        <w:r w:rsidR="00B31EDD" w:rsidRPr="003B4D35">
          <w:t>NBA 2018</w:t>
        </w:r>
      </w:hyperlink>
      <w:r w:rsidR="00B31EDD" w:rsidRPr="003B4D35">
        <w:t>)</w:t>
      </w:r>
      <w:r w:rsidR="00B31EDD" w:rsidRPr="003B4D35">
        <w:fldChar w:fldCharType="end"/>
      </w:r>
      <w:r w:rsidR="00B31EDD" w:rsidRPr="003B4D35">
        <w:t xml:space="preserve"> (see also </w:t>
      </w:r>
      <w:r w:rsidR="00B31EDD" w:rsidRPr="003B4D35">
        <w:fldChar w:fldCharType="begin"/>
      </w:r>
      <w:r w:rsidR="00B31EDD" w:rsidRPr="003B4D35">
        <w:instrText xml:space="preserve"> REF _Ref13214532 \h  \* MERGEFORMAT </w:instrText>
      </w:r>
      <w:r w:rsidR="00B31EDD" w:rsidRPr="003B4D35">
        <w:fldChar w:fldCharType="separate"/>
      </w:r>
      <w:r w:rsidR="00B31EDD" w:rsidRPr="003B4D35">
        <w:t>Table 80</w:t>
      </w:r>
      <w:r w:rsidR="00B31EDD" w:rsidRPr="003B4D35">
        <w:fldChar w:fldCharType="end"/>
      </w:r>
      <w:r w:rsidR="00B31EDD" w:rsidRPr="003B4D35">
        <w:t>, Appendix G). Additional analyses will be presented assuming:</w:t>
      </w:r>
    </w:p>
    <w:p w14:paraId="078818C8" w14:textId="77777777" w:rsidR="00B31EDD" w:rsidRPr="003B4D35" w:rsidRDefault="00B31EDD" w:rsidP="00A368F8">
      <w:pPr>
        <w:numPr>
          <w:ilvl w:val="0"/>
          <w:numId w:val="16"/>
        </w:numPr>
      </w:pPr>
      <w:r w:rsidRPr="003B4D35">
        <w:t>The highest cost per gram of Ig (i.e. domestic IVIg, including the cost of plasma fractionation), $140.18</w:t>
      </w:r>
    </w:p>
    <w:p w14:paraId="0B2B5633" w14:textId="77777777" w:rsidR="00B31EDD" w:rsidRPr="003B4D35" w:rsidRDefault="00B31EDD" w:rsidP="00A368F8">
      <w:pPr>
        <w:numPr>
          <w:ilvl w:val="0"/>
          <w:numId w:val="16"/>
        </w:numPr>
      </w:pPr>
      <w:r w:rsidRPr="003B4D35">
        <w:lastRenderedPageBreak/>
        <w:t>The lowest cost per gram of Ig (i.e. imported IVIg), $44.94</w:t>
      </w:r>
    </w:p>
    <w:p w14:paraId="18969615" w14:textId="4073B5F2" w:rsidR="00B31EDD" w:rsidRPr="003B4D35" w:rsidRDefault="00B31EDD" w:rsidP="005D7FED">
      <w:pPr>
        <w:numPr>
          <w:ilvl w:val="0"/>
          <w:numId w:val="16"/>
        </w:numPr>
      </w:pPr>
      <w:r w:rsidRPr="003B4D35">
        <w:t>The weighted average cost per gram of Ig across all indications, $94.51.</w:t>
      </w:r>
    </w:p>
    <w:p w14:paraId="755AC744" w14:textId="43016572" w:rsidR="00FC74F3" w:rsidRPr="003B4D35" w:rsidRDefault="00FC74F3" w:rsidP="005D7FED">
      <w:pPr>
        <w:pStyle w:val="BodyTextSTD"/>
        <w:spacing w:line="240" w:lineRule="auto"/>
        <w:jc w:val="left"/>
        <w:rPr>
          <w:rFonts w:ascii="Times New Roman" w:hAnsi="Times New Roman" w:cs="Times New Roman"/>
          <w:sz w:val="24"/>
          <w:szCs w:val="20"/>
        </w:rPr>
      </w:pPr>
      <w:r w:rsidRPr="003B4D35">
        <w:rPr>
          <w:rFonts w:ascii="Times New Roman" w:hAnsi="Times New Roman" w:cs="Times New Roman"/>
          <w:sz w:val="24"/>
          <w:szCs w:val="20"/>
        </w:rPr>
        <w:t>Projected costs of Ig therapy for CIDP are presented in</w:t>
      </w:r>
      <w:r w:rsidR="004D73EF" w:rsidRPr="003B4D35">
        <w:rPr>
          <w:rFonts w:ascii="Times New Roman" w:hAnsi="Times New Roman" w:cs="Times New Roman"/>
          <w:sz w:val="24"/>
          <w:szCs w:val="20"/>
        </w:rPr>
        <w:t xml:space="preserve"> Table 7</w:t>
      </w:r>
      <w:r w:rsidRPr="003B4D35">
        <w:rPr>
          <w:rFonts w:ascii="Times New Roman" w:hAnsi="Times New Roman" w:cs="Times New Roman"/>
          <w:sz w:val="24"/>
          <w:szCs w:val="20"/>
        </w:rPr>
        <w:t>.</w:t>
      </w:r>
    </w:p>
    <w:p w14:paraId="7D556228" w14:textId="270640AF" w:rsidR="00486D86" w:rsidRPr="003B4D35" w:rsidRDefault="004D73EF" w:rsidP="004D73EF">
      <w:pPr>
        <w:pStyle w:val="Caption"/>
      </w:pPr>
      <w:bookmarkStart w:id="32" w:name="_Ref9939196"/>
      <w:bookmarkStart w:id="33" w:name="_Toc13645599"/>
      <w:bookmarkStart w:id="34" w:name="_Toc15561993"/>
      <w:bookmarkStart w:id="35" w:name="_Toc23768943"/>
      <w:bookmarkStart w:id="36" w:name="_Toc69305709"/>
      <w:r w:rsidRPr="003B4D35">
        <w:t>Table 7</w:t>
      </w:r>
      <w:r w:rsidRPr="003B4D35">
        <w:tab/>
        <w:t>Projected cost of Ig for CIDP, 2021–22 to 2025–26</w:t>
      </w:r>
      <w:bookmarkEnd w:id="32"/>
      <w:bookmarkEnd w:id="33"/>
      <w:bookmarkEnd w:id="34"/>
      <w:bookmarkEnd w:id="35"/>
      <w:bookmarkEnd w:id="36"/>
    </w:p>
    <w:tbl>
      <w:tblPr>
        <w:tblStyle w:val="TableGrid17"/>
        <w:tblW w:w="5000" w:type="pct"/>
        <w:tblLayout w:type="fixed"/>
        <w:tblLook w:val="04A0" w:firstRow="1" w:lastRow="0" w:firstColumn="1" w:lastColumn="0" w:noHBand="0" w:noVBand="1"/>
        <w:tblCaption w:val="Expected cost of Ig for CIDP, 2021–22 to 2025–26"/>
        <w:tblDescription w:val="Expected cost of Ig for CIDP, 2021–22 to 2025–26"/>
      </w:tblPr>
      <w:tblGrid>
        <w:gridCol w:w="2829"/>
        <w:gridCol w:w="1237"/>
        <w:gridCol w:w="1237"/>
        <w:gridCol w:w="1237"/>
        <w:gridCol w:w="1237"/>
        <w:gridCol w:w="1239"/>
      </w:tblGrid>
      <w:tr w:rsidR="00486D86" w:rsidRPr="003B4D35" w14:paraId="0E068689" w14:textId="77777777" w:rsidTr="004F45F9">
        <w:trPr>
          <w:cnfStyle w:val="100000000000" w:firstRow="1" w:lastRow="0" w:firstColumn="0" w:lastColumn="0" w:oddVBand="0" w:evenVBand="0" w:oddHBand="0" w:evenHBand="0" w:firstRowFirstColumn="0" w:firstRowLastColumn="0" w:lastRowFirstColumn="0" w:lastRowLastColumn="0"/>
          <w:cantSplit/>
          <w:trHeight w:val="300"/>
          <w:tblHeader/>
        </w:trPr>
        <w:tc>
          <w:tcPr>
            <w:tcW w:w="1569" w:type="pct"/>
            <w:noWrap/>
            <w:hideMark/>
          </w:tcPr>
          <w:p w14:paraId="4FA3A266" w14:textId="77777777" w:rsidR="00486D86" w:rsidRPr="003B4D35" w:rsidRDefault="00486D86" w:rsidP="00486D86">
            <w:pPr>
              <w:keepNext/>
              <w:rPr>
                <w:rFonts w:ascii="Arial Narrow" w:hAnsi="Arial Narrow" w:cs="Tahoma"/>
                <w:b/>
              </w:rPr>
            </w:pPr>
          </w:p>
        </w:tc>
        <w:tc>
          <w:tcPr>
            <w:tcW w:w="686" w:type="pct"/>
            <w:noWrap/>
            <w:hideMark/>
          </w:tcPr>
          <w:p w14:paraId="539A0549" w14:textId="77777777" w:rsidR="00486D86" w:rsidRPr="003B4D35" w:rsidRDefault="00486D86" w:rsidP="00486D86">
            <w:pPr>
              <w:keepNext/>
              <w:rPr>
                <w:rFonts w:ascii="Arial Narrow" w:hAnsi="Arial Narrow" w:cs="Tahoma"/>
                <w:b/>
              </w:rPr>
            </w:pPr>
            <w:r w:rsidRPr="003B4D35">
              <w:rPr>
                <w:rFonts w:ascii="Arial Narrow" w:hAnsi="Arial Narrow" w:cs="Tahoma"/>
                <w:b/>
              </w:rPr>
              <w:t>2021–22</w:t>
            </w:r>
          </w:p>
        </w:tc>
        <w:tc>
          <w:tcPr>
            <w:tcW w:w="686" w:type="pct"/>
            <w:noWrap/>
            <w:hideMark/>
          </w:tcPr>
          <w:p w14:paraId="56C9A061" w14:textId="77777777" w:rsidR="00486D86" w:rsidRPr="003B4D35" w:rsidRDefault="00486D86" w:rsidP="00486D86">
            <w:pPr>
              <w:keepNext/>
              <w:rPr>
                <w:rFonts w:ascii="Arial Narrow" w:hAnsi="Arial Narrow" w:cs="Tahoma"/>
                <w:b/>
              </w:rPr>
            </w:pPr>
            <w:r w:rsidRPr="003B4D35">
              <w:rPr>
                <w:rFonts w:ascii="Arial Narrow" w:hAnsi="Arial Narrow" w:cs="Tahoma"/>
                <w:b/>
              </w:rPr>
              <w:t>2022–23</w:t>
            </w:r>
          </w:p>
        </w:tc>
        <w:tc>
          <w:tcPr>
            <w:tcW w:w="686" w:type="pct"/>
            <w:noWrap/>
            <w:hideMark/>
          </w:tcPr>
          <w:p w14:paraId="101A816F" w14:textId="77777777" w:rsidR="00486D86" w:rsidRPr="003B4D35" w:rsidRDefault="00486D86" w:rsidP="00486D86">
            <w:pPr>
              <w:keepNext/>
              <w:rPr>
                <w:rFonts w:ascii="Arial Narrow" w:hAnsi="Arial Narrow" w:cs="Tahoma"/>
                <w:b/>
              </w:rPr>
            </w:pPr>
            <w:r w:rsidRPr="003B4D35">
              <w:rPr>
                <w:rFonts w:ascii="Arial Narrow" w:hAnsi="Arial Narrow" w:cs="Tahoma"/>
                <w:b/>
              </w:rPr>
              <w:t>2023–24</w:t>
            </w:r>
          </w:p>
        </w:tc>
        <w:tc>
          <w:tcPr>
            <w:tcW w:w="686" w:type="pct"/>
            <w:noWrap/>
            <w:hideMark/>
          </w:tcPr>
          <w:p w14:paraId="63E42AC8" w14:textId="77777777" w:rsidR="00486D86" w:rsidRPr="003B4D35" w:rsidRDefault="00486D86" w:rsidP="00486D86">
            <w:pPr>
              <w:keepNext/>
              <w:rPr>
                <w:rFonts w:ascii="Arial Narrow" w:hAnsi="Arial Narrow" w:cs="Tahoma"/>
                <w:b/>
              </w:rPr>
            </w:pPr>
            <w:r w:rsidRPr="003B4D35">
              <w:rPr>
                <w:rFonts w:ascii="Arial Narrow" w:hAnsi="Arial Narrow" w:cs="Tahoma"/>
                <w:b/>
              </w:rPr>
              <w:t>2024–25</w:t>
            </w:r>
          </w:p>
        </w:tc>
        <w:tc>
          <w:tcPr>
            <w:tcW w:w="687" w:type="pct"/>
            <w:noWrap/>
            <w:hideMark/>
          </w:tcPr>
          <w:p w14:paraId="434A21FC" w14:textId="77777777" w:rsidR="00486D86" w:rsidRPr="003B4D35" w:rsidRDefault="00486D86" w:rsidP="00486D86">
            <w:pPr>
              <w:keepNext/>
              <w:rPr>
                <w:rFonts w:ascii="Arial Narrow" w:hAnsi="Arial Narrow" w:cs="Tahoma"/>
                <w:b/>
              </w:rPr>
            </w:pPr>
            <w:r w:rsidRPr="003B4D35">
              <w:rPr>
                <w:rFonts w:ascii="Arial Narrow" w:hAnsi="Arial Narrow" w:cs="Tahoma"/>
                <w:b/>
              </w:rPr>
              <w:t>2025–26</w:t>
            </w:r>
          </w:p>
        </w:tc>
      </w:tr>
      <w:tr w:rsidR="00486D86" w:rsidRPr="003B4D35" w14:paraId="636563E7" w14:textId="77777777" w:rsidTr="004F45F9">
        <w:trPr>
          <w:cantSplit/>
          <w:trHeight w:val="300"/>
        </w:trPr>
        <w:tc>
          <w:tcPr>
            <w:tcW w:w="1569" w:type="pct"/>
            <w:tcBorders>
              <w:top w:val="nil"/>
              <w:left w:val="single" w:sz="8" w:space="0" w:color="auto"/>
              <w:bottom w:val="single" w:sz="4" w:space="0" w:color="auto"/>
              <w:right w:val="single" w:sz="8" w:space="0" w:color="auto"/>
            </w:tcBorders>
            <w:shd w:val="clear" w:color="auto" w:fill="auto"/>
            <w:noWrap/>
            <w:vAlign w:val="center"/>
            <w:hideMark/>
          </w:tcPr>
          <w:p w14:paraId="2B63DBE9" w14:textId="77777777" w:rsidR="00486D86" w:rsidRPr="003B4D35" w:rsidRDefault="00486D86" w:rsidP="00486D86">
            <w:pPr>
              <w:rPr>
                <w:rFonts w:cs="Tahoma"/>
              </w:rPr>
            </w:pPr>
            <w:r w:rsidRPr="003B4D35">
              <w:rPr>
                <w:rFonts w:cs="Tahoma"/>
                <w:color w:val="000000"/>
              </w:rPr>
              <w:t>Cost per gram of Ig</w:t>
            </w:r>
          </w:p>
        </w:tc>
        <w:tc>
          <w:tcPr>
            <w:tcW w:w="686" w:type="pct"/>
            <w:tcBorders>
              <w:bottom w:val="single" w:sz="4" w:space="0" w:color="auto"/>
            </w:tcBorders>
            <w:noWrap/>
            <w:hideMark/>
          </w:tcPr>
          <w:p w14:paraId="30F83E94" w14:textId="77777777" w:rsidR="00486D86" w:rsidRPr="003B4D35" w:rsidRDefault="00486D86" w:rsidP="00486D86">
            <w:pPr>
              <w:jc w:val="right"/>
              <w:rPr>
                <w:rFonts w:cs="Tahoma"/>
              </w:rPr>
            </w:pPr>
            <w:r w:rsidRPr="003B4D35">
              <w:rPr>
                <w:rFonts w:cs="Tahoma"/>
              </w:rPr>
              <w:t>$60.41</w:t>
            </w:r>
          </w:p>
        </w:tc>
        <w:tc>
          <w:tcPr>
            <w:tcW w:w="686" w:type="pct"/>
            <w:tcBorders>
              <w:bottom w:val="single" w:sz="4" w:space="0" w:color="auto"/>
            </w:tcBorders>
            <w:noWrap/>
            <w:hideMark/>
          </w:tcPr>
          <w:p w14:paraId="3E8591CD" w14:textId="77777777" w:rsidR="00486D86" w:rsidRPr="003B4D35" w:rsidRDefault="00486D86" w:rsidP="00486D86">
            <w:pPr>
              <w:jc w:val="right"/>
              <w:rPr>
                <w:rFonts w:cs="Tahoma"/>
              </w:rPr>
            </w:pPr>
            <w:r w:rsidRPr="003B4D35">
              <w:rPr>
                <w:rFonts w:cs="Tahoma"/>
              </w:rPr>
              <w:t>$60.41</w:t>
            </w:r>
          </w:p>
        </w:tc>
        <w:tc>
          <w:tcPr>
            <w:tcW w:w="686" w:type="pct"/>
            <w:tcBorders>
              <w:bottom w:val="single" w:sz="4" w:space="0" w:color="auto"/>
            </w:tcBorders>
            <w:noWrap/>
            <w:hideMark/>
          </w:tcPr>
          <w:p w14:paraId="25373DBD" w14:textId="77777777" w:rsidR="00486D86" w:rsidRPr="003B4D35" w:rsidRDefault="00486D86" w:rsidP="00486D86">
            <w:pPr>
              <w:jc w:val="right"/>
              <w:rPr>
                <w:rFonts w:cs="Tahoma"/>
              </w:rPr>
            </w:pPr>
            <w:r w:rsidRPr="003B4D35">
              <w:rPr>
                <w:rFonts w:cs="Tahoma"/>
              </w:rPr>
              <w:t>$60.41</w:t>
            </w:r>
          </w:p>
        </w:tc>
        <w:tc>
          <w:tcPr>
            <w:tcW w:w="686" w:type="pct"/>
            <w:tcBorders>
              <w:bottom w:val="single" w:sz="4" w:space="0" w:color="auto"/>
            </w:tcBorders>
            <w:noWrap/>
            <w:hideMark/>
          </w:tcPr>
          <w:p w14:paraId="53485473" w14:textId="77777777" w:rsidR="00486D86" w:rsidRPr="003B4D35" w:rsidRDefault="00486D86" w:rsidP="00486D86">
            <w:pPr>
              <w:jc w:val="right"/>
              <w:rPr>
                <w:rFonts w:cs="Tahoma"/>
              </w:rPr>
            </w:pPr>
            <w:r w:rsidRPr="003B4D35">
              <w:rPr>
                <w:rFonts w:cs="Tahoma"/>
              </w:rPr>
              <w:t>$60.41</w:t>
            </w:r>
          </w:p>
        </w:tc>
        <w:tc>
          <w:tcPr>
            <w:tcW w:w="687" w:type="pct"/>
            <w:tcBorders>
              <w:bottom w:val="single" w:sz="4" w:space="0" w:color="auto"/>
            </w:tcBorders>
            <w:noWrap/>
            <w:hideMark/>
          </w:tcPr>
          <w:p w14:paraId="18DCA2FC" w14:textId="77777777" w:rsidR="00486D86" w:rsidRPr="003B4D35" w:rsidRDefault="00486D86" w:rsidP="00486D86">
            <w:pPr>
              <w:jc w:val="right"/>
              <w:rPr>
                <w:rFonts w:cs="Tahoma"/>
              </w:rPr>
            </w:pPr>
            <w:r w:rsidRPr="003B4D35">
              <w:rPr>
                <w:rFonts w:cs="Tahoma"/>
              </w:rPr>
              <w:t>$60.41</w:t>
            </w:r>
          </w:p>
        </w:tc>
      </w:tr>
      <w:tr w:rsidR="00486D86" w:rsidRPr="003B4D35" w14:paraId="21AEE586" w14:textId="77777777" w:rsidTr="004F45F9">
        <w:trPr>
          <w:cantSplit/>
          <w:trHeight w:val="30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68443" w14:textId="77777777" w:rsidR="00486D86" w:rsidRPr="003B4D35" w:rsidRDefault="00486D86" w:rsidP="00486D86">
            <w:pPr>
              <w:rPr>
                <w:rFonts w:cs="Tahoma"/>
                <w:color w:val="000000"/>
              </w:rPr>
            </w:pPr>
            <w:r w:rsidRPr="003B4D35">
              <w:rPr>
                <w:rFonts w:cs="Tahoma"/>
                <w:color w:val="000000"/>
              </w:rPr>
              <w:t>Total number of patients</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4BFCD508" w14:textId="77777777" w:rsidR="00486D86" w:rsidRPr="003B4D35" w:rsidRDefault="00486D86" w:rsidP="00486D86">
            <w:pPr>
              <w:jc w:val="right"/>
              <w:rPr>
                <w:rFonts w:cs="Tahoma"/>
                <w:color w:val="000000"/>
              </w:rPr>
            </w:pPr>
            <w:r w:rsidRPr="003B4D35">
              <w:rPr>
                <w:rFonts w:cs="Tahoma"/>
              </w:rPr>
              <w:t>2,934</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3D8573D1" w14:textId="77777777" w:rsidR="00486D86" w:rsidRPr="003B4D35" w:rsidRDefault="00486D86" w:rsidP="00486D86">
            <w:pPr>
              <w:jc w:val="right"/>
              <w:rPr>
                <w:rFonts w:cs="Tahoma"/>
                <w:color w:val="000000"/>
              </w:rPr>
            </w:pPr>
            <w:r w:rsidRPr="003B4D35">
              <w:rPr>
                <w:rFonts w:cs="Tahoma"/>
              </w:rPr>
              <w:t>3,003</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43B8DF95" w14:textId="77777777" w:rsidR="00486D86" w:rsidRPr="003B4D35" w:rsidRDefault="00486D86" w:rsidP="00486D86">
            <w:pPr>
              <w:jc w:val="right"/>
              <w:rPr>
                <w:rFonts w:cs="Tahoma"/>
                <w:color w:val="000000"/>
              </w:rPr>
            </w:pPr>
            <w:r w:rsidRPr="003B4D35">
              <w:rPr>
                <w:rFonts w:cs="Tahoma"/>
              </w:rPr>
              <w:t>3,059</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26663BFC" w14:textId="77777777" w:rsidR="00486D86" w:rsidRPr="003B4D35" w:rsidRDefault="00486D86" w:rsidP="00486D86">
            <w:pPr>
              <w:jc w:val="right"/>
              <w:rPr>
                <w:rFonts w:cs="Tahoma"/>
                <w:color w:val="000000"/>
              </w:rPr>
            </w:pPr>
            <w:r w:rsidRPr="003B4D35">
              <w:rPr>
                <w:rFonts w:cs="Tahoma"/>
              </w:rPr>
              <w:t>3,102</w:t>
            </w:r>
          </w:p>
        </w:tc>
        <w:tc>
          <w:tcPr>
            <w:tcW w:w="687" w:type="pct"/>
            <w:tcBorders>
              <w:top w:val="single" w:sz="4" w:space="0" w:color="auto"/>
              <w:left w:val="single" w:sz="4" w:space="0" w:color="auto"/>
              <w:bottom w:val="single" w:sz="4" w:space="0" w:color="auto"/>
              <w:right w:val="single" w:sz="4" w:space="0" w:color="auto"/>
            </w:tcBorders>
            <w:shd w:val="clear" w:color="auto" w:fill="auto"/>
            <w:noWrap/>
          </w:tcPr>
          <w:p w14:paraId="3B17F8C1" w14:textId="77777777" w:rsidR="00486D86" w:rsidRPr="003B4D35" w:rsidRDefault="00486D86" w:rsidP="00486D86">
            <w:pPr>
              <w:jc w:val="right"/>
              <w:rPr>
                <w:rFonts w:cs="Tahoma"/>
                <w:color w:val="000000"/>
              </w:rPr>
            </w:pPr>
            <w:r w:rsidRPr="003B4D35">
              <w:rPr>
                <w:rFonts w:cs="Tahoma"/>
              </w:rPr>
              <w:t>3,133</w:t>
            </w:r>
          </w:p>
        </w:tc>
      </w:tr>
      <w:tr w:rsidR="00486D86" w:rsidRPr="003B4D35" w14:paraId="3EF5E7A8" w14:textId="77777777" w:rsidTr="004F45F9">
        <w:trPr>
          <w:cantSplit/>
          <w:trHeight w:val="30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FE40" w14:textId="77777777" w:rsidR="00486D86" w:rsidRPr="003B4D35" w:rsidRDefault="00486D86" w:rsidP="00486D86">
            <w:pPr>
              <w:rPr>
                <w:rFonts w:cs="Tahoma"/>
                <w:color w:val="000000"/>
              </w:rPr>
            </w:pPr>
            <w:r w:rsidRPr="003B4D35">
              <w:rPr>
                <w:rFonts w:cs="Tahoma"/>
                <w:color w:val="000000"/>
              </w:rPr>
              <w:t>Total number of Ig grams issued</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40D1BC69" w14:textId="77777777" w:rsidR="00486D86" w:rsidRPr="003B4D35" w:rsidRDefault="00486D86" w:rsidP="00486D86">
            <w:pPr>
              <w:jc w:val="right"/>
              <w:rPr>
                <w:rFonts w:cs="Tahoma"/>
                <w:color w:val="000000"/>
              </w:rPr>
            </w:pPr>
            <w:r w:rsidRPr="003B4D35">
              <w:rPr>
                <w:rFonts w:cs="Tahoma"/>
              </w:rPr>
              <w:t>1,661,542</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4935D5D8" w14:textId="77777777" w:rsidR="00486D86" w:rsidRPr="003B4D35" w:rsidRDefault="00486D86" w:rsidP="00486D86">
            <w:pPr>
              <w:jc w:val="right"/>
              <w:rPr>
                <w:rFonts w:cs="Tahoma"/>
                <w:color w:val="000000"/>
              </w:rPr>
            </w:pPr>
            <w:r w:rsidRPr="003B4D35">
              <w:rPr>
                <w:rFonts w:cs="Tahoma"/>
              </w:rPr>
              <w:t>1,758,705</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3159A72C" w14:textId="77777777" w:rsidR="00486D86" w:rsidRPr="003B4D35" w:rsidRDefault="00486D86" w:rsidP="00486D86">
            <w:pPr>
              <w:jc w:val="right"/>
              <w:rPr>
                <w:rFonts w:cs="Tahoma"/>
                <w:color w:val="000000"/>
              </w:rPr>
            </w:pPr>
            <w:r w:rsidRPr="003B4D35">
              <w:rPr>
                <w:rFonts w:cs="Tahoma"/>
              </w:rPr>
              <w:t>1,855,868</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576F0572" w14:textId="77777777" w:rsidR="00486D86" w:rsidRPr="003B4D35" w:rsidRDefault="00486D86" w:rsidP="00486D86">
            <w:pPr>
              <w:jc w:val="right"/>
              <w:rPr>
                <w:rFonts w:cs="Tahoma"/>
                <w:color w:val="000000"/>
              </w:rPr>
            </w:pPr>
            <w:r w:rsidRPr="003B4D35">
              <w:rPr>
                <w:rFonts w:cs="Tahoma"/>
              </w:rPr>
              <w:t>1,953,031</w:t>
            </w:r>
          </w:p>
        </w:tc>
        <w:tc>
          <w:tcPr>
            <w:tcW w:w="687" w:type="pct"/>
            <w:tcBorders>
              <w:top w:val="single" w:sz="4" w:space="0" w:color="auto"/>
              <w:left w:val="single" w:sz="4" w:space="0" w:color="auto"/>
              <w:bottom w:val="single" w:sz="4" w:space="0" w:color="auto"/>
              <w:right w:val="single" w:sz="4" w:space="0" w:color="auto"/>
            </w:tcBorders>
            <w:shd w:val="clear" w:color="auto" w:fill="auto"/>
            <w:noWrap/>
          </w:tcPr>
          <w:p w14:paraId="5930C4AC" w14:textId="77777777" w:rsidR="00486D86" w:rsidRPr="003B4D35" w:rsidRDefault="00486D86" w:rsidP="00486D86">
            <w:pPr>
              <w:jc w:val="right"/>
              <w:rPr>
                <w:rFonts w:cs="Tahoma"/>
                <w:color w:val="000000"/>
              </w:rPr>
            </w:pPr>
            <w:r w:rsidRPr="003B4D35">
              <w:rPr>
                <w:rFonts w:cs="Tahoma"/>
              </w:rPr>
              <w:t>2,050,194</w:t>
            </w:r>
          </w:p>
        </w:tc>
      </w:tr>
      <w:tr w:rsidR="00486D86" w:rsidRPr="003B4D35" w14:paraId="04D9A307" w14:textId="77777777" w:rsidTr="004F45F9">
        <w:trPr>
          <w:cantSplit/>
          <w:trHeight w:val="30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4E474" w14:textId="77777777" w:rsidR="00486D86" w:rsidRPr="003B4D35" w:rsidRDefault="00486D86" w:rsidP="00486D86">
            <w:pPr>
              <w:rPr>
                <w:rFonts w:cs="Tahoma"/>
                <w:color w:val="000000"/>
              </w:rPr>
            </w:pPr>
            <w:r w:rsidRPr="003B4D35">
              <w:rPr>
                <w:rFonts w:cs="Tahoma"/>
                <w:color w:val="000000"/>
              </w:rPr>
              <w:t>Total cost of Ig</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6E7D40D5" w14:textId="77777777" w:rsidR="00486D86" w:rsidRPr="003B4D35" w:rsidRDefault="00486D86" w:rsidP="00486D86">
            <w:pPr>
              <w:jc w:val="right"/>
              <w:rPr>
                <w:rFonts w:cs="Tahoma"/>
                <w:color w:val="000000"/>
              </w:rPr>
            </w:pPr>
            <w:r w:rsidRPr="003B4D35">
              <w:rPr>
                <w:rFonts w:cs="Tahoma"/>
              </w:rPr>
              <w:t>$100,373,758</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562D0D9C" w14:textId="77777777" w:rsidR="00486D86" w:rsidRPr="003B4D35" w:rsidRDefault="00486D86" w:rsidP="00486D86">
            <w:pPr>
              <w:jc w:val="right"/>
              <w:rPr>
                <w:rFonts w:cs="Tahoma"/>
                <w:color w:val="000000"/>
              </w:rPr>
            </w:pPr>
            <w:r w:rsidRPr="003B4D35">
              <w:rPr>
                <w:rFonts w:cs="Tahoma"/>
              </w:rPr>
              <w:t>$106,243,380</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196FF89C" w14:textId="77777777" w:rsidR="00486D86" w:rsidRPr="003B4D35" w:rsidRDefault="00486D86" w:rsidP="00486D86">
            <w:pPr>
              <w:jc w:val="right"/>
              <w:rPr>
                <w:rFonts w:cs="Tahoma"/>
                <w:color w:val="000000"/>
              </w:rPr>
            </w:pPr>
            <w:r w:rsidRPr="003B4D35">
              <w:rPr>
                <w:rFonts w:cs="Tahoma"/>
              </w:rPr>
              <w:t>$112,113,002</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77A13177" w14:textId="77777777" w:rsidR="00486D86" w:rsidRPr="003B4D35" w:rsidRDefault="00486D86" w:rsidP="00486D86">
            <w:pPr>
              <w:jc w:val="right"/>
              <w:rPr>
                <w:rFonts w:cs="Tahoma"/>
                <w:color w:val="000000"/>
              </w:rPr>
            </w:pPr>
            <w:r w:rsidRPr="003B4D35">
              <w:rPr>
                <w:rFonts w:cs="Tahoma"/>
              </w:rPr>
              <w:t>$117,982,625</w:t>
            </w:r>
          </w:p>
        </w:tc>
        <w:tc>
          <w:tcPr>
            <w:tcW w:w="687" w:type="pct"/>
            <w:tcBorders>
              <w:top w:val="single" w:sz="4" w:space="0" w:color="auto"/>
              <w:left w:val="single" w:sz="4" w:space="0" w:color="auto"/>
              <w:bottom w:val="single" w:sz="4" w:space="0" w:color="auto"/>
              <w:right w:val="single" w:sz="4" w:space="0" w:color="auto"/>
            </w:tcBorders>
            <w:shd w:val="clear" w:color="auto" w:fill="auto"/>
            <w:noWrap/>
          </w:tcPr>
          <w:p w14:paraId="7DF3964A" w14:textId="77777777" w:rsidR="00486D86" w:rsidRPr="003B4D35" w:rsidRDefault="00486D86" w:rsidP="00486D86">
            <w:pPr>
              <w:jc w:val="right"/>
              <w:rPr>
                <w:rFonts w:cs="Tahoma"/>
                <w:color w:val="000000"/>
              </w:rPr>
            </w:pPr>
            <w:r w:rsidRPr="003B4D35">
              <w:rPr>
                <w:rFonts w:cs="Tahoma"/>
              </w:rPr>
              <w:t>$123,852,247</w:t>
            </w:r>
          </w:p>
        </w:tc>
      </w:tr>
      <w:tr w:rsidR="00486D86" w:rsidRPr="003B4D35" w14:paraId="7A43960F" w14:textId="77777777" w:rsidTr="004F45F9">
        <w:trPr>
          <w:cantSplit/>
          <w:trHeight w:val="30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E6B0" w14:textId="77777777" w:rsidR="00486D86" w:rsidRPr="003B4D35" w:rsidRDefault="00486D86" w:rsidP="00486D86">
            <w:pPr>
              <w:rPr>
                <w:rFonts w:cs="Tahoma"/>
                <w:color w:val="000000"/>
              </w:rPr>
            </w:pPr>
            <w:r w:rsidRPr="003B4D35">
              <w:rPr>
                <w:rFonts w:cs="Tahoma"/>
                <w:color w:val="000000"/>
              </w:rPr>
              <w:t xml:space="preserve">Cost of Ig to the Commonwealth </w:t>
            </w:r>
            <w:r w:rsidRPr="003B4D35">
              <w:rPr>
                <w:rFonts w:cs="Tahoma"/>
                <w:color w:val="000000"/>
                <w:vertAlign w:val="superscript"/>
              </w:rPr>
              <w:t>a</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1051A8AF" w14:textId="77777777" w:rsidR="00486D86" w:rsidRPr="003B4D35" w:rsidRDefault="00486D86" w:rsidP="00486D86">
            <w:pPr>
              <w:jc w:val="right"/>
              <w:rPr>
                <w:rFonts w:cs="Tahoma"/>
                <w:color w:val="000000"/>
              </w:rPr>
            </w:pPr>
            <w:r w:rsidRPr="003B4D35">
              <w:rPr>
                <w:rFonts w:cs="Tahoma"/>
              </w:rPr>
              <w:t>$63,235,467</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27C104A3" w14:textId="77777777" w:rsidR="00486D86" w:rsidRPr="003B4D35" w:rsidRDefault="00486D86" w:rsidP="00486D86">
            <w:pPr>
              <w:jc w:val="right"/>
              <w:rPr>
                <w:rFonts w:cs="Tahoma"/>
                <w:color w:val="000000"/>
              </w:rPr>
            </w:pPr>
            <w:r w:rsidRPr="003B4D35">
              <w:rPr>
                <w:rFonts w:cs="Tahoma"/>
              </w:rPr>
              <w:t>$66,933,329</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32DBAA7F" w14:textId="77777777" w:rsidR="00486D86" w:rsidRPr="003B4D35" w:rsidRDefault="00486D86" w:rsidP="00486D86">
            <w:pPr>
              <w:jc w:val="right"/>
              <w:rPr>
                <w:rFonts w:cs="Tahoma"/>
                <w:color w:val="000000"/>
              </w:rPr>
            </w:pPr>
            <w:r w:rsidRPr="003B4D35">
              <w:rPr>
                <w:rFonts w:cs="Tahoma"/>
              </w:rPr>
              <w:t>$70,631,191</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30289657" w14:textId="77777777" w:rsidR="00486D86" w:rsidRPr="003B4D35" w:rsidRDefault="00486D86" w:rsidP="00486D86">
            <w:pPr>
              <w:jc w:val="right"/>
              <w:rPr>
                <w:rFonts w:cs="Tahoma"/>
                <w:color w:val="000000"/>
              </w:rPr>
            </w:pPr>
            <w:r w:rsidRPr="003B4D35">
              <w:rPr>
                <w:rFonts w:cs="Tahoma"/>
              </w:rPr>
              <w:t>$74,329,054</w:t>
            </w:r>
          </w:p>
        </w:tc>
        <w:tc>
          <w:tcPr>
            <w:tcW w:w="687" w:type="pct"/>
            <w:tcBorders>
              <w:top w:val="single" w:sz="4" w:space="0" w:color="auto"/>
              <w:left w:val="single" w:sz="4" w:space="0" w:color="auto"/>
              <w:bottom w:val="single" w:sz="4" w:space="0" w:color="auto"/>
              <w:right w:val="single" w:sz="4" w:space="0" w:color="auto"/>
            </w:tcBorders>
            <w:shd w:val="clear" w:color="auto" w:fill="auto"/>
            <w:noWrap/>
          </w:tcPr>
          <w:p w14:paraId="201C5708" w14:textId="77777777" w:rsidR="00486D86" w:rsidRPr="003B4D35" w:rsidRDefault="00486D86" w:rsidP="00486D86">
            <w:pPr>
              <w:jc w:val="right"/>
              <w:rPr>
                <w:rFonts w:cs="Tahoma"/>
                <w:color w:val="000000"/>
              </w:rPr>
            </w:pPr>
            <w:r w:rsidRPr="003B4D35">
              <w:rPr>
                <w:rFonts w:cs="Tahoma"/>
              </w:rPr>
              <w:t>$78,026,916</w:t>
            </w:r>
          </w:p>
        </w:tc>
      </w:tr>
      <w:tr w:rsidR="00486D86" w:rsidRPr="003B4D35" w14:paraId="7F2F464D" w14:textId="77777777" w:rsidTr="004F45F9">
        <w:trPr>
          <w:cantSplit/>
          <w:trHeight w:val="30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0BA95" w14:textId="77777777" w:rsidR="00486D86" w:rsidRPr="003B4D35" w:rsidRDefault="00486D86" w:rsidP="00486D86">
            <w:pPr>
              <w:rPr>
                <w:rFonts w:cs="Tahoma"/>
                <w:color w:val="000000"/>
              </w:rPr>
            </w:pPr>
            <w:r w:rsidRPr="003B4D35">
              <w:rPr>
                <w:rFonts w:cs="Tahoma"/>
                <w:color w:val="000000"/>
              </w:rPr>
              <w:t xml:space="preserve">Cost of Ig to the States </w:t>
            </w:r>
            <w:r w:rsidRPr="003B4D35">
              <w:rPr>
                <w:rFonts w:cs="Tahoma"/>
                <w:color w:val="000000"/>
                <w:vertAlign w:val="superscript"/>
              </w:rPr>
              <w:t>a</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0162A6CC" w14:textId="77777777" w:rsidR="00486D86" w:rsidRPr="003B4D35" w:rsidRDefault="00486D86" w:rsidP="00486D86">
            <w:pPr>
              <w:jc w:val="right"/>
              <w:rPr>
                <w:rFonts w:cs="Tahoma"/>
                <w:color w:val="000000"/>
              </w:rPr>
            </w:pPr>
            <w:r w:rsidRPr="003B4D35">
              <w:rPr>
                <w:rFonts w:cs="Tahoma"/>
              </w:rPr>
              <w:t>$37,138,290</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40A58A38" w14:textId="77777777" w:rsidR="00486D86" w:rsidRPr="003B4D35" w:rsidRDefault="00486D86" w:rsidP="00486D86">
            <w:pPr>
              <w:jc w:val="right"/>
              <w:rPr>
                <w:rFonts w:cs="Tahoma"/>
                <w:color w:val="000000"/>
              </w:rPr>
            </w:pPr>
            <w:r w:rsidRPr="003B4D35">
              <w:rPr>
                <w:rFonts w:cs="Tahoma"/>
              </w:rPr>
              <w:t>$39,310,051</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29B46355" w14:textId="77777777" w:rsidR="00486D86" w:rsidRPr="003B4D35" w:rsidRDefault="00486D86" w:rsidP="00486D86">
            <w:pPr>
              <w:jc w:val="right"/>
              <w:rPr>
                <w:rFonts w:cs="Tahoma"/>
                <w:color w:val="000000"/>
              </w:rPr>
            </w:pPr>
            <w:r w:rsidRPr="003B4D35">
              <w:rPr>
                <w:rFonts w:cs="Tahoma"/>
              </w:rPr>
              <w:t>$41,481,811</w:t>
            </w:r>
          </w:p>
        </w:tc>
        <w:tc>
          <w:tcPr>
            <w:tcW w:w="686" w:type="pct"/>
            <w:tcBorders>
              <w:top w:val="single" w:sz="4" w:space="0" w:color="auto"/>
              <w:left w:val="single" w:sz="4" w:space="0" w:color="auto"/>
              <w:bottom w:val="single" w:sz="4" w:space="0" w:color="auto"/>
              <w:right w:val="single" w:sz="4" w:space="0" w:color="auto"/>
            </w:tcBorders>
            <w:shd w:val="clear" w:color="auto" w:fill="auto"/>
            <w:noWrap/>
          </w:tcPr>
          <w:p w14:paraId="085382C8" w14:textId="77777777" w:rsidR="00486D86" w:rsidRPr="003B4D35" w:rsidRDefault="00486D86" w:rsidP="00486D86">
            <w:pPr>
              <w:jc w:val="right"/>
              <w:rPr>
                <w:rFonts w:cs="Tahoma"/>
                <w:color w:val="000000"/>
              </w:rPr>
            </w:pPr>
            <w:r w:rsidRPr="003B4D35">
              <w:rPr>
                <w:rFonts w:cs="Tahoma"/>
              </w:rPr>
              <w:t>$43,653,571</w:t>
            </w:r>
          </w:p>
        </w:tc>
        <w:tc>
          <w:tcPr>
            <w:tcW w:w="687" w:type="pct"/>
            <w:tcBorders>
              <w:top w:val="single" w:sz="4" w:space="0" w:color="auto"/>
              <w:left w:val="single" w:sz="4" w:space="0" w:color="auto"/>
              <w:bottom w:val="single" w:sz="4" w:space="0" w:color="auto"/>
              <w:right w:val="single" w:sz="4" w:space="0" w:color="auto"/>
            </w:tcBorders>
            <w:shd w:val="clear" w:color="auto" w:fill="auto"/>
            <w:noWrap/>
          </w:tcPr>
          <w:p w14:paraId="06CCF067" w14:textId="77777777" w:rsidR="00486D86" w:rsidRPr="003B4D35" w:rsidRDefault="00486D86" w:rsidP="00486D86">
            <w:pPr>
              <w:jc w:val="right"/>
              <w:rPr>
                <w:rFonts w:cs="Tahoma"/>
                <w:color w:val="000000"/>
              </w:rPr>
            </w:pPr>
            <w:r w:rsidRPr="003B4D35">
              <w:rPr>
                <w:rFonts w:cs="Tahoma"/>
              </w:rPr>
              <w:t>$45,825,331</w:t>
            </w:r>
          </w:p>
        </w:tc>
      </w:tr>
    </w:tbl>
    <w:p w14:paraId="53A90297" w14:textId="77777777" w:rsidR="00486D86" w:rsidRPr="003B4D35" w:rsidRDefault="00486D86" w:rsidP="00610126">
      <w:pPr>
        <w:ind w:right="57"/>
        <w:contextualSpacing/>
        <w:rPr>
          <w:rFonts w:ascii="Arial Narrow" w:eastAsia="Calibri" w:hAnsi="Arial Narrow"/>
          <w:sz w:val="18"/>
          <w:szCs w:val="18"/>
          <w:vertAlign w:val="superscript"/>
          <w:lang w:eastAsia="en-US"/>
        </w:rPr>
      </w:pPr>
      <w:r w:rsidRPr="003B4D35">
        <w:rPr>
          <w:rFonts w:ascii="Arial Narrow" w:eastAsia="Calibri" w:hAnsi="Arial Narrow"/>
          <w:sz w:val="18"/>
          <w:szCs w:val="18"/>
          <w:lang w:eastAsia="en-US"/>
        </w:rPr>
        <w:t>CIDP = chronic inflammatory demyelinating polyneuropathy; Ig =immunoglobulin</w:t>
      </w:r>
      <w:r w:rsidRPr="003B4D35">
        <w:rPr>
          <w:rFonts w:ascii="Arial Narrow" w:eastAsia="Calibri" w:hAnsi="Arial Narrow"/>
          <w:sz w:val="18"/>
          <w:szCs w:val="18"/>
          <w:vertAlign w:val="superscript"/>
          <w:lang w:eastAsia="en-US"/>
        </w:rPr>
        <w:t xml:space="preserve"> </w:t>
      </w:r>
    </w:p>
    <w:p w14:paraId="15D53632" w14:textId="77777777" w:rsidR="00486D86" w:rsidRPr="003B4D35" w:rsidRDefault="00486D86" w:rsidP="00610126">
      <w:pPr>
        <w:ind w:right="57"/>
        <w:contextualSpacing/>
        <w:rPr>
          <w:rFonts w:ascii="Arial Narrow" w:eastAsia="Calibri" w:hAnsi="Arial Narrow"/>
          <w:sz w:val="18"/>
          <w:szCs w:val="18"/>
          <w:lang w:eastAsia="en-US"/>
        </w:rPr>
      </w:pPr>
      <w:r w:rsidRPr="003B4D35">
        <w:rPr>
          <w:rFonts w:ascii="Arial Narrow" w:eastAsia="Calibri" w:hAnsi="Arial Narrow"/>
          <w:sz w:val="18"/>
          <w:szCs w:val="18"/>
          <w:vertAlign w:val="superscript"/>
          <w:lang w:eastAsia="en-US"/>
        </w:rPr>
        <w:t>a</w:t>
      </w:r>
      <w:r w:rsidRPr="003B4D35">
        <w:rPr>
          <w:rFonts w:ascii="Arial Narrow" w:eastAsia="Calibri" w:hAnsi="Arial Narrow"/>
          <w:sz w:val="18"/>
          <w:szCs w:val="18"/>
          <w:lang w:eastAsia="en-US"/>
        </w:rPr>
        <w:t xml:space="preserve"> Under the National Blood Agreement, products are funded 63% by the Commonwealth and 37% by the states and territories.</w:t>
      </w:r>
    </w:p>
    <w:p w14:paraId="3C3BBFB4" w14:textId="46BA66B6" w:rsidR="006E131E" w:rsidRPr="003B4D35" w:rsidRDefault="006E131E" w:rsidP="008B6093">
      <w:pPr>
        <w:rPr>
          <w:rFonts w:ascii="Arial Narrow" w:hAnsi="Arial Narrow"/>
          <w:sz w:val="18"/>
          <w:szCs w:val="18"/>
        </w:rPr>
      </w:pPr>
      <w:r w:rsidRPr="003B4D35">
        <w:rPr>
          <w:rFonts w:ascii="Arial Narrow" w:hAnsi="Arial Narrow"/>
          <w:sz w:val="18"/>
          <w:szCs w:val="18"/>
        </w:rPr>
        <w:t>SOURCE: Table 68 of Mittal R, Milverton J, Schubert C, Parsons J (2021). Immunoglobulin for Chronic Inflammatory Demyelinating Polyneuropathy (CIDP). MSAC Application 1564.1, Re-submission assessment Report. Commonwealth of Australia, Canberra, ACT</w:t>
      </w:r>
    </w:p>
    <w:p w14:paraId="1990C649" w14:textId="4E88432D" w:rsidR="00FC74F3" w:rsidRPr="003B4D35" w:rsidRDefault="00FC74F3" w:rsidP="008B6093">
      <w:r w:rsidRPr="003B4D35">
        <w:t>The net financial implications for government budgets associated with the funding of Ig for CIDP are presented in</w:t>
      </w:r>
      <w:r w:rsidR="004D73EF" w:rsidRPr="003B4D35">
        <w:t xml:space="preserve"> Table 8</w:t>
      </w:r>
      <w:r w:rsidRPr="003B4D35">
        <w:t>.</w:t>
      </w:r>
    </w:p>
    <w:p w14:paraId="15E9168B" w14:textId="79E61C28" w:rsidR="00461523" w:rsidRPr="003B4D35" w:rsidRDefault="00461523" w:rsidP="008B6093">
      <w:pPr>
        <w:pStyle w:val="Caption"/>
        <w:spacing w:after="0"/>
      </w:pPr>
      <w:bookmarkStart w:id="37" w:name="_Ref13664229"/>
      <w:bookmarkStart w:id="38" w:name="_Toc14348907"/>
      <w:bookmarkStart w:id="39" w:name="_Toc14429613"/>
      <w:bookmarkStart w:id="40" w:name="_Toc16671671"/>
      <w:bookmarkStart w:id="41" w:name="_Toc69305713"/>
      <w:r w:rsidRPr="003B4D35">
        <w:t>Table</w:t>
      </w:r>
      <w:bookmarkEnd w:id="37"/>
      <w:r w:rsidR="004D73EF" w:rsidRPr="003B4D35">
        <w:t xml:space="preserve"> </w:t>
      </w:r>
      <w:r w:rsidR="004D73EF" w:rsidRPr="003B4D35">
        <w:rPr>
          <w:noProof/>
        </w:rPr>
        <w:t>8</w:t>
      </w:r>
      <w:r w:rsidRPr="003B4D35">
        <w:tab/>
        <w:t xml:space="preserve">Net financial implications to government associated with Ig for </w:t>
      </w:r>
      <w:bookmarkEnd w:id="38"/>
      <w:bookmarkEnd w:id="39"/>
      <w:bookmarkEnd w:id="40"/>
      <w:r w:rsidRPr="003B4D35">
        <w:t>CIDP</w:t>
      </w:r>
      <w:bookmarkEnd w:id="41"/>
    </w:p>
    <w:tbl>
      <w:tblPr>
        <w:tblStyle w:val="TableGrid1"/>
        <w:tblW w:w="5000" w:type="pct"/>
        <w:tblLayout w:type="fixed"/>
        <w:tblLook w:val="04A0" w:firstRow="1" w:lastRow="0" w:firstColumn="1" w:lastColumn="0" w:noHBand="0" w:noVBand="1"/>
        <w:tblCaption w:val="Net financial implications to government associated with Ig for CIDP"/>
        <w:tblDescription w:val="Net financial implications to government associated with Ig for CIDP"/>
      </w:tblPr>
      <w:tblGrid>
        <w:gridCol w:w="2829"/>
        <w:gridCol w:w="1237"/>
        <w:gridCol w:w="1237"/>
        <w:gridCol w:w="1237"/>
        <w:gridCol w:w="1237"/>
        <w:gridCol w:w="1239"/>
      </w:tblGrid>
      <w:tr w:rsidR="00461523" w:rsidRPr="003B4D35" w14:paraId="33B956B3" w14:textId="77777777" w:rsidTr="004F45F9">
        <w:trPr>
          <w:trHeight w:val="300"/>
          <w:tblHeader/>
        </w:trPr>
        <w:tc>
          <w:tcPr>
            <w:tcW w:w="1569" w:type="pct"/>
            <w:tcBorders>
              <w:bottom w:val="single" w:sz="4" w:space="0" w:color="auto"/>
            </w:tcBorders>
            <w:noWrap/>
          </w:tcPr>
          <w:p w14:paraId="2A128A78" w14:textId="77777777" w:rsidR="00461523" w:rsidRPr="003B4D35" w:rsidRDefault="00461523" w:rsidP="004F45F9">
            <w:pPr>
              <w:pStyle w:val="TableHeading"/>
              <w:jc w:val="center"/>
            </w:pPr>
          </w:p>
        </w:tc>
        <w:tc>
          <w:tcPr>
            <w:tcW w:w="686" w:type="pct"/>
            <w:tcBorders>
              <w:bottom w:val="single" w:sz="4" w:space="0" w:color="auto"/>
            </w:tcBorders>
            <w:noWrap/>
          </w:tcPr>
          <w:p w14:paraId="2456EB5F" w14:textId="77777777" w:rsidR="00461523" w:rsidRPr="003B4D35" w:rsidRDefault="00461523" w:rsidP="004F45F9">
            <w:pPr>
              <w:pStyle w:val="TableHeading"/>
              <w:jc w:val="center"/>
            </w:pPr>
            <w:r w:rsidRPr="003B4D35">
              <w:t>2021–22</w:t>
            </w:r>
          </w:p>
        </w:tc>
        <w:tc>
          <w:tcPr>
            <w:tcW w:w="686" w:type="pct"/>
            <w:tcBorders>
              <w:bottom w:val="single" w:sz="4" w:space="0" w:color="auto"/>
            </w:tcBorders>
            <w:noWrap/>
          </w:tcPr>
          <w:p w14:paraId="359063D2" w14:textId="77777777" w:rsidR="00461523" w:rsidRPr="003B4D35" w:rsidRDefault="00461523" w:rsidP="004F45F9">
            <w:pPr>
              <w:pStyle w:val="TableHeading"/>
              <w:jc w:val="center"/>
            </w:pPr>
            <w:r w:rsidRPr="003B4D35">
              <w:t>2022–23</w:t>
            </w:r>
          </w:p>
        </w:tc>
        <w:tc>
          <w:tcPr>
            <w:tcW w:w="686" w:type="pct"/>
            <w:tcBorders>
              <w:bottom w:val="single" w:sz="4" w:space="0" w:color="auto"/>
            </w:tcBorders>
            <w:noWrap/>
          </w:tcPr>
          <w:p w14:paraId="7F522DA0" w14:textId="77777777" w:rsidR="00461523" w:rsidRPr="003B4D35" w:rsidRDefault="00461523" w:rsidP="004F45F9">
            <w:pPr>
              <w:pStyle w:val="TableHeading"/>
              <w:jc w:val="center"/>
              <w:rPr>
                <w:rFonts w:ascii="Times New Roman" w:hAnsi="Times New Roman" w:cs="Times New Roman"/>
              </w:rPr>
            </w:pPr>
            <w:r w:rsidRPr="003B4D35">
              <w:t>2023–24</w:t>
            </w:r>
          </w:p>
        </w:tc>
        <w:tc>
          <w:tcPr>
            <w:tcW w:w="686" w:type="pct"/>
            <w:tcBorders>
              <w:bottom w:val="single" w:sz="4" w:space="0" w:color="auto"/>
            </w:tcBorders>
            <w:noWrap/>
          </w:tcPr>
          <w:p w14:paraId="0EAD5820" w14:textId="77777777" w:rsidR="00461523" w:rsidRPr="003B4D35" w:rsidRDefault="00461523" w:rsidP="004F45F9">
            <w:pPr>
              <w:pStyle w:val="TableHeading"/>
              <w:jc w:val="center"/>
              <w:rPr>
                <w:rFonts w:ascii="Times New Roman" w:hAnsi="Times New Roman" w:cs="Times New Roman"/>
              </w:rPr>
            </w:pPr>
            <w:r w:rsidRPr="003B4D35">
              <w:t>2024–25</w:t>
            </w:r>
          </w:p>
        </w:tc>
        <w:tc>
          <w:tcPr>
            <w:tcW w:w="687" w:type="pct"/>
            <w:tcBorders>
              <w:bottom w:val="single" w:sz="4" w:space="0" w:color="auto"/>
            </w:tcBorders>
            <w:noWrap/>
          </w:tcPr>
          <w:p w14:paraId="2B1A86FD" w14:textId="77777777" w:rsidR="00461523" w:rsidRPr="003B4D35" w:rsidRDefault="00461523" w:rsidP="004F45F9">
            <w:pPr>
              <w:pStyle w:val="TableHeading"/>
              <w:jc w:val="center"/>
              <w:rPr>
                <w:rFonts w:ascii="Times New Roman" w:hAnsi="Times New Roman" w:cs="Times New Roman"/>
              </w:rPr>
            </w:pPr>
            <w:r w:rsidRPr="003B4D35">
              <w:t>2025–26</w:t>
            </w:r>
          </w:p>
        </w:tc>
      </w:tr>
      <w:tr w:rsidR="00461523" w:rsidRPr="003B4D35" w14:paraId="1C72391F" w14:textId="77777777" w:rsidTr="004F45F9">
        <w:trPr>
          <w:trHeight w:val="300"/>
        </w:trPr>
        <w:tc>
          <w:tcPr>
            <w:tcW w:w="1569" w:type="pct"/>
            <w:tcBorders>
              <w:bottom w:val="nil"/>
            </w:tcBorders>
            <w:noWrap/>
          </w:tcPr>
          <w:p w14:paraId="683FF31B" w14:textId="77777777" w:rsidR="00461523" w:rsidRPr="003B4D35" w:rsidRDefault="00461523" w:rsidP="004F45F9">
            <w:pPr>
              <w:pStyle w:val="TableHeading"/>
            </w:pPr>
            <w:bookmarkStart w:id="42" w:name="_Hlk13665069"/>
            <w:r w:rsidRPr="003B4D35">
              <w:t>Cost of Ig</w:t>
            </w:r>
          </w:p>
        </w:tc>
        <w:tc>
          <w:tcPr>
            <w:tcW w:w="686" w:type="pct"/>
            <w:tcBorders>
              <w:bottom w:val="nil"/>
            </w:tcBorders>
            <w:noWrap/>
          </w:tcPr>
          <w:p w14:paraId="785E4A17" w14:textId="77777777" w:rsidR="00461523" w:rsidRPr="003B4D35" w:rsidRDefault="00461523" w:rsidP="004F45F9">
            <w:pPr>
              <w:pStyle w:val="TableHeading"/>
              <w:keepNext w:val="0"/>
              <w:jc w:val="right"/>
            </w:pPr>
            <w:r w:rsidRPr="003B4D35">
              <w:t>$100,373,758</w:t>
            </w:r>
          </w:p>
        </w:tc>
        <w:tc>
          <w:tcPr>
            <w:tcW w:w="686" w:type="pct"/>
            <w:tcBorders>
              <w:bottom w:val="nil"/>
            </w:tcBorders>
            <w:noWrap/>
          </w:tcPr>
          <w:p w14:paraId="544D5B27" w14:textId="77777777" w:rsidR="00461523" w:rsidRPr="003B4D35" w:rsidRDefault="00461523" w:rsidP="004F45F9">
            <w:pPr>
              <w:pStyle w:val="TableHeading"/>
              <w:keepNext w:val="0"/>
              <w:jc w:val="right"/>
            </w:pPr>
            <w:r w:rsidRPr="003B4D35">
              <w:t>$106,243,380</w:t>
            </w:r>
          </w:p>
        </w:tc>
        <w:tc>
          <w:tcPr>
            <w:tcW w:w="686" w:type="pct"/>
            <w:tcBorders>
              <w:bottom w:val="nil"/>
            </w:tcBorders>
            <w:noWrap/>
          </w:tcPr>
          <w:p w14:paraId="36AEB851" w14:textId="77777777" w:rsidR="00461523" w:rsidRPr="003B4D35" w:rsidRDefault="00461523" w:rsidP="004F45F9">
            <w:pPr>
              <w:pStyle w:val="TableHeading"/>
              <w:keepNext w:val="0"/>
              <w:jc w:val="right"/>
            </w:pPr>
            <w:r w:rsidRPr="003B4D35">
              <w:t>$112,113,002</w:t>
            </w:r>
          </w:p>
        </w:tc>
        <w:tc>
          <w:tcPr>
            <w:tcW w:w="686" w:type="pct"/>
            <w:tcBorders>
              <w:bottom w:val="nil"/>
            </w:tcBorders>
            <w:noWrap/>
          </w:tcPr>
          <w:p w14:paraId="67E1CA66" w14:textId="77777777" w:rsidR="00461523" w:rsidRPr="003B4D35" w:rsidRDefault="00461523" w:rsidP="004F45F9">
            <w:pPr>
              <w:pStyle w:val="TableHeading"/>
              <w:keepNext w:val="0"/>
              <w:jc w:val="right"/>
            </w:pPr>
            <w:r w:rsidRPr="003B4D35">
              <w:t>$117,982,625</w:t>
            </w:r>
          </w:p>
        </w:tc>
        <w:tc>
          <w:tcPr>
            <w:tcW w:w="687" w:type="pct"/>
            <w:tcBorders>
              <w:bottom w:val="nil"/>
            </w:tcBorders>
            <w:noWrap/>
          </w:tcPr>
          <w:p w14:paraId="5C1E9620" w14:textId="77777777" w:rsidR="00461523" w:rsidRPr="003B4D35" w:rsidRDefault="00461523" w:rsidP="004F45F9">
            <w:pPr>
              <w:pStyle w:val="TableHeading"/>
              <w:keepNext w:val="0"/>
              <w:jc w:val="right"/>
            </w:pPr>
            <w:r w:rsidRPr="003B4D35">
              <w:t>$123,852,247</w:t>
            </w:r>
          </w:p>
        </w:tc>
      </w:tr>
      <w:tr w:rsidR="00461523" w:rsidRPr="003B4D35" w14:paraId="6F7105F1" w14:textId="77777777" w:rsidTr="004F45F9">
        <w:trPr>
          <w:trHeight w:val="300"/>
        </w:trPr>
        <w:tc>
          <w:tcPr>
            <w:tcW w:w="1569" w:type="pct"/>
            <w:tcBorders>
              <w:top w:val="nil"/>
              <w:bottom w:val="nil"/>
            </w:tcBorders>
            <w:noWrap/>
          </w:tcPr>
          <w:p w14:paraId="65061886" w14:textId="77777777" w:rsidR="00461523" w:rsidRPr="003B4D35" w:rsidRDefault="00461523" w:rsidP="004F45F9">
            <w:pPr>
              <w:pStyle w:val="TableHeading"/>
              <w:rPr>
                <w:b w:val="0"/>
              </w:rPr>
            </w:pPr>
            <w:r w:rsidRPr="003B4D35">
              <w:rPr>
                <w:b w:val="0"/>
              </w:rPr>
              <w:t>Cost of Ig to the Commonwealth</w:t>
            </w:r>
          </w:p>
        </w:tc>
        <w:tc>
          <w:tcPr>
            <w:tcW w:w="686" w:type="pct"/>
            <w:tcBorders>
              <w:top w:val="nil"/>
              <w:bottom w:val="nil"/>
            </w:tcBorders>
            <w:noWrap/>
          </w:tcPr>
          <w:p w14:paraId="35E7CAB6" w14:textId="77777777" w:rsidR="00461523" w:rsidRPr="003B4D35" w:rsidRDefault="00461523" w:rsidP="004F45F9">
            <w:pPr>
              <w:pStyle w:val="TableHeading"/>
              <w:keepNext w:val="0"/>
              <w:jc w:val="right"/>
              <w:rPr>
                <w:b w:val="0"/>
              </w:rPr>
            </w:pPr>
            <w:r w:rsidRPr="003B4D35">
              <w:rPr>
                <w:b w:val="0"/>
              </w:rPr>
              <w:t>$63,235,467</w:t>
            </w:r>
          </w:p>
        </w:tc>
        <w:tc>
          <w:tcPr>
            <w:tcW w:w="686" w:type="pct"/>
            <w:tcBorders>
              <w:top w:val="nil"/>
              <w:bottom w:val="nil"/>
            </w:tcBorders>
            <w:noWrap/>
          </w:tcPr>
          <w:p w14:paraId="18586F87" w14:textId="77777777" w:rsidR="00461523" w:rsidRPr="003B4D35" w:rsidRDefault="00461523" w:rsidP="004F45F9">
            <w:pPr>
              <w:pStyle w:val="TableHeading"/>
              <w:keepNext w:val="0"/>
              <w:jc w:val="right"/>
              <w:rPr>
                <w:b w:val="0"/>
              </w:rPr>
            </w:pPr>
            <w:r w:rsidRPr="003B4D35">
              <w:rPr>
                <w:b w:val="0"/>
              </w:rPr>
              <w:t>$66,933,329</w:t>
            </w:r>
          </w:p>
        </w:tc>
        <w:tc>
          <w:tcPr>
            <w:tcW w:w="686" w:type="pct"/>
            <w:tcBorders>
              <w:top w:val="nil"/>
              <w:bottom w:val="nil"/>
            </w:tcBorders>
            <w:noWrap/>
          </w:tcPr>
          <w:p w14:paraId="13BB457E" w14:textId="77777777" w:rsidR="00461523" w:rsidRPr="003B4D35" w:rsidRDefault="00461523" w:rsidP="004F45F9">
            <w:pPr>
              <w:pStyle w:val="TableHeading"/>
              <w:keepNext w:val="0"/>
              <w:jc w:val="right"/>
              <w:rPr>
                <w:b w:val="0"/>
              </w:rPr>
            </w:pPr>
            <w:r w:rsidRPr="003B4D35">
              <w:rPr>
                <w:b w:val="0"/>
              </w:rPr>
              <w:t>$70,631,191</w:t>
            </w:r>
          </w:p>
        </w:tc>
        <w:tc>
          <w:tcPr>
            <w:tcW w:w="686" w:type="pct"/>
            <w:tcBorders>
              <w:top w:val="nil"/>
              <w:bottom w:val="nil"/>
            </w:tcBorders>
            <w:noWrap/>
          </w:tcPr>
          <w:p w14:paraId="1265B623" w14:textId="77777777" w:rsidR="00461523" w:rsidRPr="003B4D35" w:rsidRDefault="00461523" w:rsidP="004F45F9">
            <w:pPr>
              <w:pStyle w:val="TableHeading"/>
              <w:keepNext w:val="0"/>
              <w:jc w:val="right"/>
              <w:rPr>
                <w:b w:val="0"/>
              </w:rPr>
            </w:pPr>
            <w:r w:rsidRPr="003B4D35">
              <w:rPr>
                <w:b w:val="0"/>
              </w:rPr>
              <w:t>$74,329,054</w:t>
            </w:r>
          </w:p>
        </w:tc>
        <w:tc>
          <w:tcPr>
            <w:tcW w:w="687" w:type="pct"/>
            <w:tcBorders>
              <w:top w:val="nil"/>
              <w:bottom w:val="nil"/>
            </w:tcBorders>
            <w:noWrap/>
          </w:tcPr>
          <w:p w14:paraId="63091B81" w14:textId="77777777" w:rsidR="00461523" w:rsidRPr="003B4D35" w:rsidRDefault="00461523" w:rsidP="004F45F9">
            <w:pPr>
              <w:pStyle w:val="TableHeading"/>
              <w:keepNext w:val="0"/>
              <w:jc w:val="right"/>
              <w:rPr>
                <w:b w:val="0"/>
              </w:rPr>
            </w:pPr>
            <w:r w:rsidRPr="003B4D35">
              <w:rPr>
                <w:b w:val="0"/>
              </w:rPr>
              <w:t>$78,026,916</w:t>
            </w:r>
          </w:p>
        </w:tc>
      </w:tr>
      <w:tr w:rsidR="00461523" w:rsidRPr="003B4D35" w14:paraId="51D4771E" w14:textId="77777777" w:rsidTr="004F45F9">
        <w:trPr>
          <w:trHeight w:val="300"/>
        </w:trPr>
        <w:tc>
          <w:tcPr>
            <w:tcW w:w="1569" w:type="pct"/>
            <w:tcBorders>
              <w:top w:val="nil"/>
              <w:bottom w:val="single" w:sz="4" w:space="0" w:color="auto"/>
            </w:tcBorders>
            <w:noWrap/>
          </w:tcPr>
          <w:p w14:paraId="5DFDE5D6" w14:textId="77777777" w:rsidR="00461523" w:rsidRPr="003B4D35" w:rsidRDefault="00461523" w:rsidP="004F45F9">
            <w:pPr>
              <w:pStyle w:val="TableHeading"/>
              <w:keepNext w:val="0"/>
              <w:rPr>
                <w:b w:val="0"/>
              </w:rPr>
            </w:pPr>
            <w:r w:rsidRPr="003B4D35">
              <w:rPr>
                <w:b w:val="0"/>
              </w:rPr>
              <w:t>Cost of Ig to the States</w:t>
            </w:r>
          </w:p>
        </w:tc>
        <w:tc>
          <w:tcPr>
            <w:tcW w:w="686" w:type="pct"/>
            <w:tcBorders>
              <w:top w:val="nil"/>
              <w:bottom w:val="single" w:sz="4" w:space="0" w:color="auto"/>
            </w:tcBorders>
            <w:noWrap/>
          </w:tcPr>
          <w:p w14:paraId="7067232C" w14:textId="77777777" w:rsidR="00461523" w:rsidRPr="003B4D35" w:rsidRDefault="00461523" w:rsidP="004F45F9">
            <w:pPr>
              <w:pStyle w:val="TableHeading"/>
              <w:keepNext w:val="0"/>
              <w:jc w:val="right"/>
              <w:rPr>
                <w:b w:val="0"/>
              </w:rPr>
            </w:pPr>
            <w:r w:rsidRPr="003B4D35">
              <w:rPr>
                <w:b w:val="0"/>
              </w:rPr>
              <w:t>$37,138,290</w:t>
            </w:r>
          </w:p>
        </w:tc>
        <w:tc>
          <w:tcPr>
            <w:tcW w:w="686" w:type="pct"/>
            <w:tcBorders>
              <w:top w:val="nil"/>
              <w:bottom w:val="single" w:sz="4" w:space="0" w:color="auto"/>
            </w:tcBorders>
            <w:noWrap/>
          </w:tcPr>
          <w:p w14:paraId="3FBD466C" w14:textId="77777777" w:rsidR="00461523" w:rsidRPr="003B4D35" w:rsidRDefault="00461523" w:rsidP="004F45F9">
            <w:pPr>
              <w:pStyle w:val="TableHeading"/>
              <w:keepNext w:val="0"/>
              <w:jc w:val="right"/>
              <w:rPr>
                <w:b w:val="0"/>
              </w:rPr>
            </w:pPr>
            <w:r w:rsidRPr="003B4D35">
              <w:rPr>
                <w:b w:val="0"/>
              </w:rPr>
              <w:t>$39,310,051</w:t>
            </w:r>
          </w:p>
        </w:tc>
        <w:tc>
          <w:tcPr>
            <w:tcW w:w="686" w:type="pct"/>
            <w:tcBorders>
              <w:top w:val="nil"/>
              <w:bottom w:val="single" w:sz="4" w:space="0" w:color="auto"/>
            </w:tcBorders>
            <w:noWrap/>
          </w:tcPr>
          <w:p w14:paraId="5B436564" w14:textId="77777777" w:rsidR="00461523" w:rsidRPr="003B4D35" w:rsidRDefault="00461523" w:rsidP="004F45F9">
            <w:pPr>
              <w:pStyle w:val="TableHeading"/>
              <w:keepNext w:val="0"/>
              <w:jc w:val="right"/>
              <w:rPr>
                <w:b w:val="0"/>
              </w:rPr>
            </w:pPr>
            <w:r w:rsidRPr="003B4D35">
              <w:rPr>
                <w:b w:val="0"/>
              </w:rPr>
              <w:t>$41,481,811</w:t>
            </w:r>
          </w:p>
        </w:tc>
        <w:tc>
          <w:tcPr>
            <w:tcW w:w="686" w:type="pct"/>
            <w:tcBorders>
              <w:top w:val="nil"/>
              <w:bottom w:val="single" w:sz="4" w:space="0" w:color="auto"/>
            </w:tcBorders>
            <w:noWrap/>
          </w:tcPr>
          <w:p w14:paraId="43958418" w14:textId="77777777" w:rsidR="00461523" w:rsidRPr="003B4D35" w:rsidRDefault="00461523" w:rsidP="004F45F9">
            <w:pPr>
              <w:pStyle w:val="TableHeading"/>
              <w:keepNext w:val="0"/>
              <w:jc w:val="right"/>
              <w:rPr>
                <w:b w:val="0"/>
              </w:rPr>
            </w:pPr>
            <w:r w:rsidRPr="003B4D35">
              <w:rPr>
                <w:b w:val="0"/>
              </w:rPr>
              <w:t>$43,653,571</w:t>
            </w:r>
          </w:p>
        </w:tc>
        <w:tc>
          <w:tcPr>
            <w:tcW w:w="687" w:type="pct"/>
            <w:tcBorders>
              <w:top w:val="nil"/>
              <w:bottom w:val="single" w:sz="4" w:space="0" w:color="auto"/>
            </w:tcBorders>
            <w:noWrap/>
          </w:tcPr>
          <w:p w14:paraId="59F97398" w14:textId="77777777" w:rsidR="00461523" w:rsidRPr="003B4D35" w:rsidRDefault="00461523" w:rsidP="004F45F9">
            <w:pPr>
              <w:pStyle w:val="TableHeading"/>
              <w:keepNext w:val="0"/>
              <w:jc w:val="right"/>
              <w:rPr>
                <w:b w:val="0"/>
              </w:rPr>
            </w:pPr>
            <w:r w:rsidRPr="003B4D35">
              <w:rPr>
                <w:b w:val="0"/>
              </w:rPr>
              <w:t>$45,825,331</w:t>
            </w:r>
          </w:p>
        </w:tc>
      </w:tr>
      <w:tr w:rsidR="00461523" w:rsidRPr="003B4D35" w14:paraId="7A481D54" w14:textId="77777777" w:rsidTr="004F45F9">
        <w:trPr>
          <w:trHeight w:val="300"/>
        </w:trPr>
        <w:tc>
          <w:tcPr>
            <w:tcW w:w="1569" w:type="pct"/>
            <w:tcBorders>
              <w:top w:val="nil"/>
              <w:bottom w:val="single" w:sz="4" w:space="0" w:color="auto"/>
            </w:tcBorders>
            <w:noWrap/>
          </w:tcPr>
          <w:p w14:paraId="5EEA9F20" w14:textId="77777777" w:rsidR="00461523" w:rsidRPr="003B4D35" w:rsidRDefault="00461523" w:rsidP="004F45F9">
            <w:pPr>
              <w:pStyle w:val="TableHeading"/>
              <w:keepNext w:val="0"/>
              <w:rPr>
                <w:b w:val="0"/>
              </w:rPr>
            </w:pPr>
            <w:r w:rsidRPr="003B4D35">
              <w:rPr>
                <w:b w:val="0"/>
              </w:rPr>
              <w:t>Cost of Ig administration to the States</w:t>
            </w:r>
          </w:p>
        </w:tc>
        <w:tc>
          <w:tcPr>
            <w:tcW w:w="686" w:type="pct"/>
            <w:tcBorders>
              <w:top w:val="nil"/>
              <w:bottom w:val="single" w:sz="4" w:space="0" w:color="auto"/>
            </w:tcBorders>
            <w:noWrap/>
          </w:tcPr>
          <w:p w14:paraId="69E777AC" w14:textId="77777777" w:rsidR="00461523" w:rsidRPr="003B4D35" w:rsidRDefault="00461523" w:rsidP="004F45F9">
            <w:pPr>
              <w:pStyle w:val="TableHeading"/>
              <w:keepNext w:val="0"/>
              <w:jc w:val="right"/>
              <w:rPr>
                <w:b w:val="0"/>
              </w:rPr>
            </w:pPr>
            <w:r w:rsidRPr="003B4D35">
              <w:rPr>
                <w:b w:val="0"/>
              </w:rPr>
              <w:t>$27,807,744</w:t>
            </w:r>
          </w:p>
        </w:tc>
        <w:tc>
          <w:tcPr>
            <w:tcW w:w="686" w:type="pct"/>
            <w:tcBorders>
              <w:top w:val="nil"/>
              <w:bottom w:val="single" w:sz="4" w:space="0" w:color="auto"/>
            </w:tcBorders>
            <w:noWrap/>
          </w:tcPr>
          <w:p w14:paraId="6FE6F4A6" w14:textId="77777777" w:rsidR="00461523" w:rsidRPr="003B4D35" w:rsidRDefault="00461523" w:rsidP="004F45F9">
            <w:pPr>
              <w:pStyle w:val="TableHeading"/>
              <w:keepNext w:val="0"/>
              <w:jc w:val="right"/>
              <w:rPr>
                <w:b w:val="0"/>
              </w:rPr>
            </w:pPr>
            <w:r w:rsidRPr="003B4D35">
              <w:rPr>
                <w:b w:val="0"/>
              </w:rPr>
              <w:t>$28,241,137</w:t>
            </w:r>
          </w:p>
        </w:tc>
        <w:tc>
          <w:tcPr>
            <w:tcW w:w="686" w:type="pct"/>
            <w:tcBorders>
              <w:top w:val="nil"/>
              <w:bottom w:val="single" w:sz="4" w:space="0" w:color="auto"/>
            </w:tcBorders>
            <w:noWrap/>
          </w:tcPr>
          <w:p w14:paraId="0A44651E" w14:textId="77777777" w:rsidR="00461523" w:rsidRPr="003B4D35" w:rsidRDefault="00461523" w:rsidP="004F45F9">
            <w:pPr>
              <w:pStyle w:val="TableHeading"/>
              <w:keepNext w:val="0"/>
              <w:jc w:val="right"/>
              <w:rPr>
                <w:b w:val="0"/>
              </w:rPr>
            </w:pPr>
            <w:r w:rsidRPr="003B4D35">
              <w:rPr>
                <w:b w:val="0"/>
              </w:rPr>
              <w:t>$28,544,731</w:t>
            </w:r>
          </w:p>
        </w:tc>
        <w:tc>
          <w:tcPr>
            <w:tcW w:w="686" w:type="pct"/>
            <w:tcBorders>
              <w:top w:val="nil"/>
              <w:bottom w:val="single" w:sz="4" w:space="0" w:color="auto"/>
            </w:tcBorders>
            <w:noWrap/>
          </w:tcPr>
          <w:p w14:paraId="7CE7D715" w14:textId="77777777" w:rsidR="00461523" w:rsidRPr="003B4D35" w:rsidRDefault="00461523" w:rsidP="004F45F9">
            <w:pPr>
              <w:pStyle w:val="TableHeading"/>
              <w:keepNext w:val="0"/>
              <w:jc w:val="right"/>
              <w:rPr>
                <w:b w:val="0"/>
              </w:rPr>
            </w:pPr>
            <w:r w:rsidRPr="003B4D35">
              <w:rPr>
                <w:b w:val="0"/>
              </w:rPr>
              <w:t>$28,721,337</w:t>
            </w:r>
          </w:p>
        </w:tc>
        <w:tc>
          <w:tcPr>
            <w:tcW w:w="687" w:type="pct"/>
            <w:tcBorders>
              <w:top w:val="nil"/>
              <w:bottom w:val="single" w:sz="4" w:space="0" w:color="auto"/>
            </w:tcBorders>
            <w:noWrap/>
          </w:tcPr>
          <w:p w14:paraId="653340C1" w14:textId="77777777" w:rsidR="00461523" w:rsidRPr="003B4D35" w:rsidRDefault="00461523" w:rsidP="004F45F9">
            <w:pPr>
              <w:pStyle w:val="TableHeading"/>
              <w:keepNext w:val="0"/>
              <w:jc w:val="right"/>
              <w:rPr>
                <w:b w:val="0"/>
              </w:rPr>
            </w:pPr>
            <w:r w:rsidRPr="003B4D35">
              <w:rPr>
                <w:b w:val="0"/>
              </w:rPr>
              <w:t>$28,773,765</w:t>
            </w:r>
          </w:p>
        </w:tc>
      </w:tr>
      <w:bookmarkEnd w:id="42"/>
      <w:tr w:rsidR="00461523" w:rsidRPr="003B4D35" w14:paraId="35963C3E" w14:textId="77777777" w:rsidTr="004F45F9">
        <w:trPr>
          <w:trHeight w:val="300"/>
        </w:trPr>
        <w:tc>
          <w:tcPr>
            <w:tcW w:w="1569" w:type="pct"/>
            <w:tcBorders>
              <w:bottom w:val="nil"/>
            </w:tcBorders>
            <w:noWrap/>
          </w:tcPr>
          <w:p w14:paraId="3B9A0AF7" w14:textId="77777777" w:rsidR="00461523" w:rsidRPr="003B4D35" w:rsidRDefault="00461523" w:rsidP="004F45F9">
            <w:pPr>
              <w:pStyle w:val="TableHeading"/>
            </w:pPr>
            <w:r w:rsidRPr="003B4D35">
              <w:t>Total cost</w:t>
            </w:r>
          </w:p>
        </w:tc>
        <w:tc>
          <w:tcPr>
            <w:tcW w:w="686" w:type="pct"/>
            <w:tcBorders>
              <w:bottom w:val="nil"/>
            </w:tcBorders>
            <w:noWrap/>
          </w:tcPr>
          <w:p w14:paraId="1FA36B7E" w14:textId="77777777" w:rsidR="00461523" w:rsidRPr="003B4D35" w:rsidRDefault="00461523" w:rsidP="004F45F9">
            <w:pPr>
              <w:pStyle w:val="TableHeading"/>
              <w:keepNext w:val="0"/>
              <w:jc w:val="right"/>
            </w:pPr>
            <w:r w:rsidRPr="003B4D35">
              <w:t>$128,181,501</w:t>
            </w:r>
          </w:p>
        </w:tc>
        <w:tc>
          <w:tcPr>
            <w:tcW w:w="686" w:type="pct"/>
            <w:tcBorders>
              <w:bottom w:val="nil"/>
            </w:tcBorders>
            <w:noWrap/>
          </w:tcPr>
          <w:p w14:paraId="5B5F785E" w14:textId="77777777" w:rsidR="00461523" w:rsidRPr="003B4D35" w:rsidRDefault="00461523" w:rsidP="004F45F9">
            <w:pPr>
              <w:pStyle w:val="TableHeading"/>
              <w:keepNext w:val="0"/>
              <w:jc w:val="right"/>
            </w:pPr>
            <w:r w:rsidRPr="003B4D35">
              <w:t>$134,484,517</w:t>
            </w:r>
          </w:p>
        </w:tc>
        <w:tc>
          <w:tcPr>
            <w:tcW w:w="686" w:type="pct"/>
            <w:tcBorders>
              <w:bottom w:val="nil"/>
            </w:tcBorders>
            <w:noWrap/>
          </w:tcPr>
          <w:p w14:paraId="7899A5CE" w14:textId="77777777" w:rsidR="00461523" w:rsidRPr="003B4D35" w:rsidRDefault="00461523" w:rsidP="004F45F9">
            <w:pPr>
              <w:pStyle w:val="TableHeading"/>
              <w:keepNext w:val="0"/>
              <w:jc w:val="right"/>
            </w:pPr>
            <w:r w:rsidRPr="003B4D35">
              <w:t>$140,657,733</w:t>
            </w:r>
          </w:p>
        </w:tc>
        <w:tc>
          <w:tcPr>
            <w:tcW w:w="686" w:type="pct"/>
            <w:tcBorders>
              <w:bottom w:val="nil"/>
            </w:tcBorders>
            <w:noWrap/>
          </w:tcPr>
          <w:p w14:paraId="397AD31C" w14:textId="77777777" w:rsidR="00461523" w:rsidRPr="003B4D35" w:rsidRDefault="00461523" w:rsidP="004F45F9">
            <w:pPr>
              <w:pStyle w:val="TableHeading"/>
              <w:keepNext w:val="0"/>
              <w:jc w:val="right"/>
            </w:pPr>
            <w:r w:rsidRPr="003B4D35">
              <w:t>$146,703,962</w:t>
            </w:r>
          </w:p>
        </w:tc>
        <w:tc>
          <w:tcPr>
            <w:tcW w:w="687" w:type="pct"/>
            <w:tcBorders>
              <w:bottom w:val="nil"/>
            </w:tcBorders>
            <w:noWrap/>
          </w:tcPr>
          <w:p w14:paraId="3801BC01" w14:textId="77777777" w:rsidR="00461523" w:rsidRPr="003B4D35" w:rsidRDefault="00461523" w:rsidP="004F45F9">
            <w:pPr>
              <w:pStyle w:val="TableHeading"/>
              <w:keepNext w:val="0"/>
              <w:jc w:val="right"/>
            </w:pPr>
            <w:r w:rsidRPr="003B4D35">
              <w:t>$152,626,012</w:t>
            </w:r>
          </w:p>
        </w:tc>
      </w:tr>
      <w:tr w:rsidR="00461523" w:rsidRPr="003B4D35" w14:paraId="1E09E941" w14:textId="77777777" w:rsidTr="004F45F9">
        <w:trPr>
          <w:trHeight w:val="300"/>
        </w:trPr>
        <w:tc>
          <w:tcPr>
            <w:tcW w:w="1569" w:type="pct"/>
            <w:tcBorders>
              <w:top w:val="nil"/>
              <w:bottom w:val="nil"/>
            </w:tcBorders>
            <w:noWrap/>
          </w:tcPr>
          <w:p w14:paraId="5F91F41B" w14:textId="77777777" w:rsidR="00461523" w:rsidRPr="003B4D35" w:rsidRDefault="00461523" w:rsidP="004F45F9">
            <w:pPr>
              <w:pStyle w:val="TableHeading"/>
              <w:rPr>
                <w:b w:val="0"/>
              </w:rPr>
            </w:pPr>
            <w:r w:rsidRPr="003B4D35">
              <w:rPr>
                <w:b w:val="0"/>
              </w:rPr>
              <w:t>Net cost to the Commonwealth</w:t>
            </w:r>
          </w:p>
        </w:tc>
        <w:tc>
          <w:tcPr>
            <w:tcW w:w="686" w:type="pct"/>
            <w:tcBorders>
              <w:top w:val="nil"/>
              <w:bottom w:val="nil"/>
            </w:tcBorders>
            <w:noWrap/>
          </w:tcPr>
          <w:p w14:paraId="7D4EAAFD" w14:textId="77777777" w:rsidR="00461523" w:rsidRPr="003B4D35" w:rsidRDefault="00461523" w:rsidP="004F45F9">
            <w:pPr>
              <w:pStyle w:val="TableHeading"/>
              <w:keepNext w:val="0"/>
              <w:jc w:val="right"/>
              <w:rPr>
                <w:b w:val="0"/>
              </w:rPr>
            </w:pPr>
            <w:r w:rsidRPr="003B4D35">
              <w:rPr>
                <w:b w:val="0"/>
              </w:rPr>
              <w:t>$63,235,467</w:t>
            </w:r>
          </w:p>
        </w:tc>
        <w:tc>
          <w:tcPr>
            <w:tcW w:w="686" w:type="pct"/>
            <w:tcBorders>
              <w:top w:val="nil"/>
              <w:bottom w:val="nil"/>
            </w:tcBorders>
            <w:noWrap/>
          </w:tcPr>
          <w:p w14:paraId="4E029D6D" w14:textId="77777777" w:rsidR="00461523" w:rsidRPr="003B4D35" w:rsidRDefault="00461523" w:rsidP="004F45F9">
            <w:pPr>
              <w:pStyle w:val="TableHeading"/>
              <w:keepNext w:val="0"/>
              <w:jc w:val="right"/>
              <w:rPr>
                <w:b w:val="0"/>
              </w:rPr>
            </w:pPr>
            <w:r w:rsidRPr="003B4D35">
              <w:rPr>
                <w:b w:val="0"/>
              </w:rPr>
              <w:t>$66,933,329</w:t>
            </w:r>
          </w:p>
        </w:tc>
        <w:tc>
          <w:tcPr>
            <w:tcW w:w="686" w:type="pct"/>
            <w:tcBorders>
              <w:top w:val="nil"/>
              <w:bottom w:val="nil"/>
            </w:tcBorders>
            <w:noWrap/>
          </w:tcPr>
          <w:p w14:paraId="555E3FA1" w14:textId="77777777" w:rsidR="00461523" w:rsidRPr="003B4D35" w:rsidRDefault="00461523" w:rsidP="004F45F9">
            <w:pPr>
              <w:pStyle w:val="TableHeading"/>
              <w:keepNext w:val="0"/>
              <w:jc w:val="right"/>
              <w:rPr>
                <w:b w:val="0"/>
              </w:rPr>
            </w:pPr>
            <w:r w:rsidRPr="003B4D35">
              <w:rPr>
                <w:b w:val="0"/>
              </w:rPr>
              <w:t>$70,631,191</w:t>
            </w:r>
          </w:p>
        </w:tc>
        <w:tc>
          <w:tcPr>
            <w:tcW w:w="686" w:type="pct"/>
            <w:tcBorders>
              <w:top w:val="nil"/>
              <w:bottom w:val="nil"/>
            </w:tcBorders>
            <w:noWrap/>
          </w:tcPr>
          <w:p w14:paraId="1BBBE5F2" w14:textId="77777777" w:rsidR="00461523" w:rsidRPr="003B4D35" w:rsidRDefault="00461523" w:rsidP="004F45F9">
            <w:pPr>
              <w:pStyle w:val="TableHeading"/>
              <w:keepNext w:val="0"/>
              <w:jc w:val="right"/>
              <w:rPr>
                <w:b w:val="0"/>
              </w:rPr>
            </w:pPr>
            <w:r w:rsidRPr="003B4D35">
              <w:rPr>
                <w:b w:val="0"/>
              </w:rPr>
              <w:t>$74,329,054</w:t>
            </w:r>
          </w:p>
        </w:tc>
        <w:tc>
          <w:tcPr>
            <w:tcW w:w="687" w:type="pct"/>
            <w:tcBorders>
              <w:top w:val="nil"/>
              <w:bottom w:val="nil"/>
            </w:tcBorders>
            <w:noWrap/>
          </w:tcPr>
          <w:p w14:paraId="12714251" w14:textId="77777777" w:rsidR="00461523" w:rsidRPr="003B4D35" w:rsidRDefault="00461523" w:rsidP="004F45F9">
            <w:pPr>
              <w:pStyle w:val="TableHeading"/>
              <w:keepNext w:val="0"/>
              <w:jc w:val="right"/>
              <w:rPr>
                <w:b w:val="0"/>
              </w:rPr>
            </w:pPr>
            <w:r w:rsidRPr="003B4D35">
              <w:rPr>
                <w:b w:val="0"/>
              </w:rPr>
              <w:t>$78,026,916</w:t>
            </w:r>
          </w:p>
        </w:tc>
      </w:tr>
      <w:tr w:rsidR="00461523" w:rsidRPr="003B4D35" w14:paraId="22DDD01B" w14:textId="77777777" w:rsidTr="004F45F9">
        <w:trPr>
          <w:trHeight w:val="300"/>
        </w:trPr>
        <w:tc>
          <w:tcPr>
            <w:tcW w:w="1569" w:type="pct"/>
            <w:tcBorders>
              <w:top w:val="nil"/>
            </w:tcBorders>
            <w:noWrap/>
          </w:tcPr>
          <w:p w14:paraId="7D46358E" w14:textId="77777777" w:rsidR="00461523" w:rsidRPr="003B4D35" w:rsidRDefault="00461523" w:rsidP="004F45F9">
            <w:pPr>
              <w:pStyle w:val="TableHeading"/>
              <w:keepNext w:val="0"/>
              <w:rPr>
                <w:b w:val="0"/>
              </w:rPr>
            </w:pPr>
            <w:r w:rsidRPr="003B4D35">
              <w:rPr>
                <w:b w:val="0"/>
              </w:rPr>
              <w:t>Net cost to States</w:t>
            </w:r>
          </w:p>
        </w:tc>
        <w:tc>
          <w:tcPr>
            <w:tcW w:w="686" w:type="pct"/>
            <w:tcBorders>
              <w:top w:val="nil"/>
            </w:tcBorders>
            <w:noWrap/>
          </w:tcPr>
          <w:p w14:paraId="09818BB7" w14:textId="77777777" w:rsidR="00461523" w:rsidRPr="003B4D35" w:rsidRDefault="00461523" w:rsidP="004F45F9">
            <w:pPr>
              <w:pStyle w:val="TableHeading"/>
              <w:keepNext w:val="0"/>
              <w:jc w:val="right"/>
              <w:rPr>
                <w:b w:val="0"/>
              </w:rPr>
            </w:pPr>
            <w:r w:rsidRPr="003B4D35">
              <w:rPr>
                <w:b w:val="0"/>
              </w:rPr>
              <w:t>$64,946,034</w:t>
            </w:r>
          </w:p>
        </w:tc>
        <w:tc>
          <w:tcPr>
            <w:tcW w:w="686" w:type="pct"/>
            <w:tcBorders>
              <w:top w:val="nil"/>
            </w:tcBorders>
            <w:noWrap/>
          </w:tcPr>
          <w:p w14:paraId="49D99A29" w14:textId="77777777" w:rsidR="00461523" w:rsidRPr="003B4D35" w:rsidRDefault="00461523" w:rsidP="004F45F9">
            <w:pPr>
              <w:pStyle w:val="TableHeading"/>
              <w:keepNext w:val="0"/>
              <w:jc w:val="right"/>
              <w:rPr>
                <w:b w:val="0"/>
              </w:rPr>
            </w:pPr>
            <w:r w:rsidRPr="003B4D35">
              <w:rPr>
                <w:b w:val="0"/>
              </w:rPr>
              <w:t>$67,551,187</w:t>
            </w:r>
          </w:p>
        </w:tc>
        <w:tc>
          <w:tcPr>
            <w:tcW w:w="686" w:type="pct"/>
            <w:tcBorders>
              <w:top w:val="nil"/>
            </w:tcBorders>
            <w:noWrap/>
          </w:tcPr>
          <w:p w14:paraId="3BFBF6F4" w14:textId="77777777" w:rsidR="00461523" w:rsidRPr="003B4D35" w:rsidRDefault="00461523" w:rsidP="004F45F9">
            <w:pPr>
              <w:pStyle w:val="TableHeading"/>
              <w:keepNext w:val="0"/>
              <w:jc w:val="right"/>
              <w:rPr>
                <w:b w:val="0"/>
              </w:rPr>
            </w:pPr>
            <w:r w:rsidRPr="003B4D35">
              <w:rPr>
                <w:b w:val="0"/>
              </w:rPr>
              <w:t>$70,026,542</w:t>
            </w:r>
          </w:p>
        </w:tc>
        <w:tc>
          <w:tcPr>
            <w:tcW w:w="686" w:type="pct"/>
            <w:tcBorders>
              <w:top w:val="nil"/>
            </w:tcBorders>
            <w:noWrap/>
          </w:tcPr>
          <w:p w14:paraId="4C3DC33C" w14:textId="77777777" w:rsidR="00461523" w:rsidRPr="003B4D35" w:rsidRDefault="00461523" w:rsidP="004F45F9">
            <w:pPr>
              <w:pStyle w:val="TableHeading"/>
              <w:keepNext w:val="0"/>
              <w:jc w:val="right"/>
              <w:rPr>
                <w:b w:val="0"/>
              </w:rPr>
            </w:pPr>
            <w:r w:rsidRPr="003B4D35">
              <w:rPr>
                <w:b w:val="0"/>
              </w:rPr>
              <w:t>$72,374,908</w:t>
            </w:r>
          </w:p>
        </w:tc>
        <w:tc>
          <w:tcPr>
            <w:tcW w:w="687" w:type="pct"/>
            <w:tcBorders>
              <w:top w:val="nil"/>
            </w:tcBorders>
            <w:noWrap/>
          </w:tcPr>
          <w:p w14:paraId="7877B168" w14:textId="77777777" w:rsidR="00461523" w:rsidRPr="003B4D35" w:rsidRDefault="00461523" w:rsidP="004F45F9">
            <w:pPr>
              <w:pStyle w:val="TableHeading"/>
              <w:keepNext w:val="0"/>
              <w:jc w:val="right"/>
              <w:rPr>
                <w:b w:val="0"/>
              </w:rPr>
            </w:pPr>
            <w:r w:rsidRPr="003B4D35">
              <w:rPr>
                <w:b w:val="0"/>
              </w:rPr>
              <w:t>$74,599,096</w:t>
            </w:r>
          </w:p>
        </w:tc>
      </w:tr>
    </w:tbl>
    <w:p w14:paraId="32854FE3" w14:textId="77777777" w:rsidR="00461523" w:rsidRPr="003B4D35" w:rsidRDefault="00461523" w:rsidP="00CD059B">
      <w:pPr>
        <w:pStyle w:val="Tablenotes2"/>
        <w:spacing w:after="0"/>
        <w:ind w:left="0"/>
      </w:pPr>
      <w:r w:rsidRPr="003B4D35">
        <w:t>CIDP = chronic inflammatory demyelinating polyneuropathy; Ig = immunoglobulin.</w:t>
      </w:r>
    </w:p>
    <w:p w14:paraId="52CBA0FE" w14:textId="5918F29C" w:rsidR="00CD059B" w:rsidRPr="008B6093" w:rsidRDefault="006E131E" w:rsidP="008B6093">
      <w:pPr>
        <w:rPr>
          <w:rFonts w:ascii="Arial Narrow" w:hAnsi="Arial Narrow"/>
          <w:sz w:val="18"/>
          <w:szCs w:val="18"/>
        </w:rPr>
      </w:pPr>
      <w:r w:rsidRPr="003B4D35">
        <w:rPr>
          <w:rFonts w:ascii="Arial Narrow" w:hAnsi="Arial Narrow"/>
          <w:sz w:val="18"/>
          <w:szCs w:val="18"/>
        </w:rPr>
        <w:t>SOURCE: Table 72 of Mittal R, Milverton J, Schubert C, Parsons J (2021). Immunoglobulin for Chronic Inflammatory Demyelinating Polyneuropathy (CIDP). MSAC Application 1564.1, Re-submission assessment Report. Commonwea</w:t>
      </w:r>
      <w:r w:rsidR="00CD059B" w:rsidRPr="003B4D35">
        <w:rPr>
          <w:rFonts w:ascii="Arial Narrow" w:hAnsi="Arial Narrow"/>
          <w:sz w:val="18"/>
          <w:szCs w:val="18"/>
        </w:rPr>
        <w:t>lth of Australia, Canberra, ACT</w:t>
      </w:r>
    </w:p>
    <w:p w14:paraId="3F5611AA" w14:textId="63F08EFB" w:rsidR="00C55C32" w:rsidRPr="00C55C32" w:rsidRDefault="00FE58B0">
      <w:r w:rsidRPr="003B4D35">
        <w:t>Sensitivity analyses exploring uncertainty in the assumptions used to determine the financial implications are presented in</w:t>
      </w:r>
      <w:r w:rsidR="004D73EF" w:rsidRPr="003B4D35">
        <w:t xml:space="preserve"> Table 9</w:t>
      </w:r>
      <w:r w:rsidRPr="003B4D35">
        <w:t xml:space="preserve">. As expected, the cost of Ig is the main driver in the financial analysis; higher cost per gram of Ig results in higher budget impact and the lower cost of Ig per gram reduces the net cost to the Government. </w:t>
      </w:r>
      <w:bookmarkStart w:id="43" w:name="_Ref13667009"/>
      <w:bookmarkStart w:id="44" w:name="_Toc14348908"/>
      <w:bookmarkStart w:id="45" w:name="_Toc14429614"/>
      <w:bookmarkStart w:id="46" w:name="_Toc16671672"/>
      <w:bookmarkStart w:id="47" w:name="_Toc69305714"/>
      <w:r w:rsidR="00C55C32">
        <w:rPr>
          <w:rFonts w:ascii="Arial Narrow" w:hAnsi="Arial Narrow" w:cs="Tahoma"/>
          <w:b/>
          <w:bCs/>
          <w:sz w:val="20"/>
          <w:szCs w:val="22"/>
        </w:rPr>
        <w:br w:type="page"/>
      </w:r>
    </w:p>
    <w:p w14:paraId="514D807C" w14:textId="7AB2FB0D" w:rsidR="00461523" w:rsidRPr="003B4D35" w:rsidRDefault="00461523" w:rsidP="008B6093">
      <w:pPr>
        <w:keepNext/>
        <w:rPr>
          <w:rFonts w:ascii="Arial Narrow" w:hAnsi="Arial Narrow" w:cs="Tahoma"/>
          <w:b/>
          <w:bCs/>
          <w:sz w:val="20"/>
          <w:szCs w:val="22"/>
        </w:rPr>
      </w:pPr>
      <w:r w:rsidRPr="003B4D35">
        <w:rPr>
          <w:rFonts w:ascii="Arial Narrow" w:hAnsi="Arial Narrow" w:cs="Tahoma"/>
          <w:b/>
          <w:bCs/>
          <w:sz w:val="20"/>
          <w:szCs w:val="22"/>
        </w:rPr>
        <w:lastRenderedPageBreak/>
        <w:t xml:space="preserve">Table </w:t>
      </w:r>
      <w:r w:rsidR="004D73EF" w:rsidRPr="003B4D35">
        <w:rPr>
          <w:rFonts w:ascii="Arial Narrow" w:hAnsi="Arial Narrow" w:cs="Tahoma"/>
          <w:b/>
          <w:bCs/>
          <w:sz w:val="20"/>
          <w:szCs w:val="22"/>
        </w:rPr>
        <w:t>9</w:t>
      </w:r>
      <w:bookmarkEnd w:id="43"/>
      <w:r w:rsidRPr="003B4D35">
        <w:rPr>
          <w:rFonts w:ascii="Arial Narrow" w:hAnsi="Arial Narrow" w:cs="Tahoma"/>
          <w:b/>
          <w:bCs/>
          <w:sz w:val="20"/>
          <w:szCs w:val="22"/>
        </w:rPr>
        <w:tab/>
        <w:t>Sensitivity analyses around the financial implication estimates</w:t>
      </w:r>
      <w:bookmarkEnd w:id="44"/>
      <w:bookmarkEnd w:id="45"/>
      <w:bookmarkEnd w:id="46"/>
      <w:bookmarkEnd w:id="47"/>
    </w:p>
    <w:tbl>
      <w:tblPr>
        <w:tblStyle w:val="TableGrid18"/>
        <w:tblW w:w="5000" w:type="pct"/>
        <w:tblLayout w:type="fixed"/>
        <w:tblLook w:val="04A0" w:firstRow="1" w:lastRow="0" w:firstColumn="1" w:lastColumn="0" w:noHBand="0" w:noVBand="1"/>
        <w:tblCaption w:val="Sensitivity analyses around the financial implication estimates"/>
        <w:tblDescription w:val="Sensitivity analyses around the financial implication estimates"/>
      </w:tblPr>
      <w:tblGrid>
        <w:gridCol w:w="2829"/>
        <w:gridCol w:w="1237"/>
        <w:gridCol w:w="1237"/>
        <w:gridCol w:w="1237"/>
        <w:gridCol w:w="1237"/>
        <w:gridCol w:w="1239"/>
      </w:tblGrid>
      <w:tr w:rsidR="00461523" w:rsidRPr="003B4D35" w14:paraId="36A54A41" w14:textId="77777777" w:rsidTr="004F45F9">
        <w:trPr>
          <w:cnfStyle w:val="100000000000" w:firstRow="1" w:lastRow="0" w:firstColumn="0" w:lastColumn="0" w:oddVBand="0" w:evenVBand="0" w:oddHBand="0" w:evenHBand="0" w:firstRowFirstColumn="0" w:firstRowLastColumn="0" w:lastRowFirstColumn="0" w:lastRowLastColumn="0"/>
          <w:trHeight w:val="300"/>
          <w:tblHeader/>
        </w:trPr>
        <w:tc>
          <w:tcPr>
            <w:tcW w:w="1569" w:type="pct"/>
            <w:tcBorders>
              <w:bottom w:val="single" w:sz="4" w:space="0" w:color="auto"/>
            </w:tcBorders>
            <w:noWrap/>
          </w:tcPr>
          <w:p w14:paraId="2546EDD7" w14:textId="77777777" w:rsidR="00461523" w:rsidRPr="003B4D35" w:rsidRDefault="00461523" w:rsidP="00461523">
            <w:pPr>
              <w:keepNext/>
              <w:rPr>
                <w:rFonts w:ascii="Arial Narrow" w:hAnsi="Arial Narrow" w:cs="Tahoma"/>
                <w:b/>
              </w:rPr>
            </w:pPr>
          </w:p>
        </w:tc>
        <w:tc>
          <w:tcPr>
            <w:tcW w:w="686" w:type="pct"/>
            <w:tcBorders>
              <w:bottom w:val="single" w:sz="4" w:space="0" w:color="auto"/>
            </w:tcBorders>
            <w:noWrap/>
          </w:tcPr>
          <w:p w14:paraId="2D1F0DF3" w14:textId="77777777" w:rsidR="00461523" w:rsidRPr="003B4D35" w:rsidRDefault="00461523" w:rsidP="00461523">
            <w:pPr>
              <w:keepNext/>
              <w:rPr>
                <w:rFonts w:ascii="Arial Narrow" w:hAnsi="Arial Narrow" w:cs="Tahoma"/>
                <w:b/>
              </w:rPr>
            </w:pPr>
            <w:r w:rsidRPr="003B4D35">
              <w:rPr>
                <w:rFonts w:ascii="Arial Narrow" w:hAnsi="Arial Narrow" w:cs="Tahoma"/>
                <w:b/>
              </w:rPr>
              <w:t>2021–22</w:t>
            </w:r>
          </w:p>
        </w:tc>
        <w:tc>
          <w:tcPr>
            <w:tcW w:w="686" w:type="pct"/>
            <w:tcBorders>
              <w:bottom w:val="single" w:sz="4" w:space="0" w:color="auto"/>
            </w:tcBorders>
            <w:noWrap/>
          </w:tcPr>
          <w:p w14:paraId="1B66E9A3" w14:textId="77777777" w:rsidR="00461523" w:rsidRPr="003B4D35" w:rsidRDefault="00461523" w:rsidP="00461523">
            <w:pPr>
              <w:keepNext/>
              <w:rPr>
                <w:rFonts w:ascii="Arial Narrow" w:hAnsi="Arial Narrow" w:cs="Tahoma"/>
                <w:b/>
              </w:rPr>
            </w:pPr>
            <w:r w:rsidRPr="003B4D35">
              <w:rPr>
                <w:rFonts w:ascii="Arial Narrow" w:hAnsi="Arial Narrow" w:cs="Tahoma"/>
                <w:b/>
              </w:rPr>
              <w:t>2022–23</w:t>
            </w:r>
          </w:p>
        </w:tc>
        <w:tc>
          <w:tcPr>
            <w:tcW w:w="686" w:type="pct"/>
            <w:tcBorders>
              <w:bottom w:val="single" w:sz="4" w:space="0" w:color="auto"/>
            </w:tcBorders>
            <w:noWrap/>
          </w:tcPr>
          <w:p w14:paraId="561DDB32" w14:textId="77777777" w:rsidR="00461523" w:rsidRPr="003B4D35" w:rsidRDefault="00461523" w:rsidP="00461523">
            <w:pPr>
              <w:keepNext/>
              <w:rPr>
                <w:rFonts w:ascii="Arial Narrow" w:hAnsi="Arial Narrow" w:cs="Tahoma"/>
                <w:b/>
              </w:rPr>
            </w:pPr>
            <w:r w:rsidRPr="003B4D35">
              <w:rPr>
                <w:rFonts w:ascii="Arial Narrow" w:hAnsi="Arial Narrow" w:cs="Tahoma"/>
                <w:b/>
              </w:rPr>
              <w:t>2023–24</w:t>
            </w:r>
          </w:p>
        </w:tc>
        <w:tc>
          <w:tcPr>
            <w:tcW w:w="686" w:type="pct"/>
            <w:tcBorders>
              <w:bottom w:val="single" w:sz="4" w:space="0" w:color="auto"/>
            </w:tcBorders>
            <w:noWrap/>
          </w:tcPr>
          <w:p w14:paraId="526EE3DB" w14:textId="77777777" w:rsidR="00461523" w:rsidRPr="003B4D35" w:rsidRDefault="00461523" w:rsidP="00461523">
            <w:pPr>
              <w:keepNext/>
              <w:rPr>
                <w:rFonts w:ascii="Arial Narrow" w:hAnsi="Arial Narrow" w:cs="Tahoma"/>
                <w:b/>
              </w:rPr>
            </w:pPr>
            <w:r w:rsidRPr="003B4D35">
              <w:rPr>
                <w:rFonts w:ascii="Arial Narrow" w:hAnsi="Arial Narrow" w:cs="Tahoma"/>
                <w:b/>
              </w:rPr>
              <w:t>2024–25</w:t>
            </w:r>
          </w:p>
        </w:tc>
        <w:tc>
          <w:tcPr>
            <w:tcW w:w="687" w:type="pct"/>
            <w:tcBorders>
              <w:bottom w:val="single" w:sz="4" w:space="0" w:color="auto"/>
            </w:tcBorders>
            <w:noWrap/>
          </w:tcPr>
          <w:p w14:paraId="03282879" w14:textId="77777777" w:rsidR="00461523" w:rsidRPr="003B4D35" w:rsidRDefault="00461523" w:rsidP="00461523">
            <w:pPr>
              <w:keepNext/>
              <w:rPr>
                <w:rFonts w:ascii="Arial Narrow" w:hAnsi="Arial Narrow" w:cs="Tahoma"/>
                <w:b/>
              </w:rPr>
            </w:pPr>
            <w:r w:rsidRPr="003B4D35">
              <w:rPr>
                <w:rFonts w:ascii="Arial Narrow" w:hAnsi="Arial Narrow" w:cs="Tahoma"/>
                <w:b/>
              </w:rPr>
              <w:t>2025–26</w:t>
            </w:r>
          </w:p>
        </w:tc>
      </w:tr>
      <w:tr w:rsidR="00461523" w:rsidRPr="003B4D35" w14:paraId="2217B8AE" w14:textId="77777777" w:rsidTr="004F45F9">
        <w:trPr>
          <w:cnfStyle w:val="100000000000" w:firstRow="1" w:lastRow="0" w:firstColumn="0" w:lastColumn="0" w:oddVBand="0" w:evenVBand="0" w:oddHBand="0" w:evenHBand="0" w:firstRowFirstColumn="0" w:firstRowLastColumn="0" w:lastRowFirstColumn="0" w:lastRowLastColumn="0"/>
          <w:trHeight w:val="300"/>
          <w:tblHeader/>
        </w:trPr>
        <w:tc>
          <w:tcPr>
            <w:tcW w:w="1569" w:type="pct"/>
            <w:tcBorders>
              <w:bottom w:val="single" w:sz="4" w:space="0" w:color="auto"/>
            </w:tcBorders>
            <w:noWrap/>
          </w:tcPr>
          <w:p w14:paraId="7E1E5E1A" w14:textId="77777777" w:rsidR="00461523" w:rsidRPr="003B4D35" w:rsidRDefault="00461523" w:rsidP="00461523">
            <w:pPr>
              <w:keepNext/>
              <w:rPr>
                <w:rFonts w:ascii="Arial Narrow" w:hAnsi="Arial Narrow" w:cs="Tahoma"/>
                <w:b/>
              </w:rPr>
            </w:pPr>
            <w:r w:rsidRPr="003B4D35">
              <w:rPr>
                <w:rFonts w:ascii="Arial Narrow" w:hAnsi="Arial Narrow" w:cs="Tahoma"/>
                <w:b/>
              </w:rPr>
              <w:t>Base case financial implications</w:t>
            </w:r>
          </w:p>
        </w:tc>
        <w:tc>
          <w:tcPr>
            <w:tcW w:w="686" w:type="pct"/>
            <w:tcBorders>
              <w:bottom w:val="single" w:sz="4" w:space="0" w:color="auto"/>
            </w:tcBorders>
            <w:noWrap/>
          </w:tcPr>
          <w:p w14:paraId="6E0D0F04" w14:textId="77777777" w:rsidR="00461523" w:rsidRPr="003B4D35" w:rsidRDefault="00461523" w:rsidP="00461523">
            <w:pPr>
              <w:keepNext/>
              <w:rPr>
                <w:rFonts w:ascii="Arial Narrow" w:hAnsi="Arial Narrow" w:cs="Tahoma"/>
                <w:b/>
              </w:rPr>
            </w:pPr>
            <w:r w:rsidRPr="003B4D35">
              <w:rPr>
                <w:rFonts w:ascii="Arial Narrow" w:hAnsi="Arial Narrow" w:cs="Tahoma"/>
                <w:b/>
              </w:rPr>
              <w:t>$128,181,501</w:t>
            </w:r>
          </w:p>
        </w:tc>
        <w:tc>
          <w:tcPr>
            <w:tcW w:w="686" w:type="pct"/>
            <w:tcBorders>
              <w:bottom w:val="single" w:sz="4" w:space="0" w:color="auto"/>
            </w:tcBorders>
            <w:noWrap/>
          </w:tcPr>
          <w:p w14:paraId="06060B29" w14:textId="77777777" w:rsidR="00461523" w:rsidRPr="003B4D35" w:rsidRDefault="00461523" w:rsidP="00461523">
            <w:pPr>
              <w:keepNext/>
              <w:rPr>
                <w:rFonts w:ascii="Arial Narrow" w:hAnsi="Arial Narrow" w:cs="Tahoma"/>
                <w:b/>
              </w:rPr>
            </w:pPr>
            <w:r w:rsidRPr="003B4D35">
              <w:rPr>
                <w:rFonts w:ascii="Arial Narrow" w:hAnsi="Arial Narrow" w:cs="Tahoma"/>
                <w:b/>
              </w:rPr>
              <w:t>$134,484,517</w:t>
            </w:r>
          </w:p>
        </w:tc>
        <w:tc>
          <w:tcPr>
            <w:tcW w:w="686" w:type="pct"/>
            <w:tcBorders>
              <w:bottom w:val="single" w:sz="4" w:space="0" w:color="auto"/>
            </w:tcBorders>
            <w:noWrap/>
          </w:tcPr>
          <w:p w14:paraId="30E6DD5E" w14:textId="77777777" w:rsidR="00461523" w:rsidRPr="003B4D35" w:rsidRDefault="00461523" w:rsidP="00461523">
            <w:pPr>
              <w:keepNext/>
              <w:rPr>
                <w:rFonts w:ascii="Arial Narrow" w:hAnsi="Arial Narrow" w:cs="Tahoma"/>
                <w:b/>
              </w:rPr>
            </w:pPr>
            <w:r w:rsidRPr="003B4D35">
              <w:rPr>
                <w:rFonts w:ascii="Arial Narrow" w:hAnsi="Arial Narrow" w:cs="Tahoma"/>
                <w:b/>
              </w:rPr>
              <w:t>$140,657,733</w:t>
            </w:r>
          </w:p>
        </w:tc>
        <w:tc>
          <w:tcPr>
            <w:tcW w:w="686" w:type="pct"/>
            <w:tcBorders>
              <w:bottom w:val="single" w:sz="4" w:space="0" w:color="auto"/>
            </w:tcBorders>
            <w:noWrap/>
          </w:tcPr>
          <w:p w14:paraId="23C71ED7" w14:textId="77777777" w:rsidR="00461523" w:rsidRPr="003B4D35" w:rsidRDefault="00461523" w:rsidP="00461523">
            <w:pPr>
              <w:keepNext/>
              <w:rPr>
                <w:rFonts w:ascii="Arial Narrow" w:hAnsi="Arial Narrow" w:cs="Tahoma"/>
                <w:b/>
              </w:rPr>
            </w:pPr>
            <w:r w:rsidRPr="003B4D35">
              <w:rPr>
                <w:rFonts w:ascii="Arial Narrow" w:hAnsi="Arial Narrow" w:cs="Tahoma"/>
                <w:b/>
              </w:rPr>
              <w:t>$146,703,962</w:t>
            </w:r>
          </w:p>
        </w:tc>
        <w:tc>
          <w:tcPr>
            <w:tcW w:w="687" w:type="pct"/>
            <w:tcBorders>
              <w:bottom w:val="single" w:sz="4" w:space="0" w:color="auto"/>
            </w:tcBorders>
            <w:noWrap/>
          </w:tcPr>
          <w:p w14:paraId="28F6E0B8" w14:textId="77777777" w:rsidR="00461523" w:rsidRPr="003B4D35" w:rsidRDefault="00461523" w:rsidP="00461523">
            <w:pPr>
              <w:keepNext/>
              <w:rPr>
                <w:rFonts w:ascii="Arial Narrow" w:hAnsi="Arial Narrow" w:cs="Tahoma"/>
                <w:b/>
              </w:rPr>
            </w:pPr>
            <w:r w:rsidRPr="003B4D35">
              <w:rPr>
                <w:rFonts w:ascii="Arial Narrow" w:hAnsi="Arial Narrow" w:cs="Tahoma"/>
                <w:b/>
              </w:rPr>
              <w:t>$152,626,012</w:t>
            </w:r>
          </w:p>
        </w:tc>
      </w:tr>
      <w:tr w:rsidR="00461523" w:rsidRPr="003B4D35" w14:paraId="4AC20478" w14:textId="77777777" w:rsidTr="004F45F9">
        <w:trPr>
          <w:trHeight w:val="300"/>
        </w:trPr>
        <w:tc>
          <w:tcPr>
            <w:tcW w:w="5000" w:type="pct"/>
            <w:gridSpan w:val="6"/>
            <w:tcBorders>
              <w:top w:val="single" w:sz="4" w:space="0" w:color="auto"/>
              <w:bottom w:val="single" w:sz="4" w:space="0" w:color="auto"/>
            </w:tcBorders>
            <w:noWrap/>
          </w:tcPr>
          <w:p w14:paraId="0314A9C8" w14:textId="77777777" w:rsidR="00461523" w:rsidRPr="003B4D35" w:rsidRDefault="00461523" w:rsidP="00461523">
            <w:pPr>
              <w:rPr>
                <w:rFonts w:cs="Tahoma"/>
              </w:rPr>
            </w:pPr>
            <w:r w:rsidRPr="003B4D35">
              <w:rPr>
                <w:rFonts w:cs="Tahoma"/>
              </w:rPr>
              <w:t>Cost of Ig (base case: $60.41 per gram)</w:t>
            </w:r>
          </w:p>
        </w:tc>
      </w:tr>
      <w:tr w:rsidR="00461523" w:rsidRPr="003B4D35" w14:paraId="1C4D3D45" w14:textId="77777777" w:rsidTr="004F45F9">
        <w:trPr>
          <w:trHeight w:val="300"/>
        </w:trPr>
        <w:tc>
          <w:tcPr>
            <w:tcW w:w="1569" w:type="pct"/>
            <w:tcBorders>
              <w:top w:val="single" w:sz="4" w:space="0" w:color="auto"/>
              <w:bottom w:val="nil"/>
            </w:tcBorders>
            <w:noWrap/>
          </w:tcPr>
          <w:p w14:paraId="10324CE3" w14:textId="77777777" w:rsidR="00461523" w:rsidRPr="003B4D35" w:rsidRDefault="00461523" w:rsidP="00461523">
            <w:pPr>
              <w:rPr>
                <w:rFonts w:cs="Tahoma"/>
              </w:rPr>
            </w:pPr>
            <w:r w:rsidRPr="003B4D35">
              <w:rPr>
                <w:rFonts w:cs="Tahoma"/>
              </w:rPr>
              <w:t>High cost of Ig, $140.18</w:t>
            </w:r>
          </w:p>
        </w:tc>
        <w:tc>
          <w:tcPr>
            <w:tcW w:w="686" w:type="pct"/>
            <w:tcBorders>
              <w:top w:val="single" w:sz="4" w:space="0" w:color="auto"/>
              <w:bottom w:val="nil"/>
            </w:tcBorders>
            <w:noWrap/>
          </w:tcPr>
          <w:p w14:paraId="74BC4A0C" w14:textId="77777777" w:rsidR="00461523" w:rsidRPr="003B4D35" w:rsidRDefault="00461523" w:rsidP="00461523">
            <w:pPr>
              <w:rPr>
                <w:rFonts w:cs="Tahoma"/>
              </w:rPr>
            </w:pPr>
            <w:r w:rsidRPr="003B4D35">
              <w:rPr>
                <w:rFonts w:cs="Tahoma"/>
              </w:rPr>
              <w:t>$260,722,714</w:t>
            </w:r>
          </w:p>
        </w:tc>
        <w:tc>
          <w:tcPr>
            <w:tcW w:w="686" w:type="pct"/>
            <w:tcBorders>
              <w:top w:val="single" w:sz="4" w:space="0" w:color="auto"/>
              <w:bottom w:val="nil"/>
            </w:tcBorders>
            <w:noWrap/>
          </w:tcPr>
          <w:p w14:paraId="7671A74A" w14:textId="77777777" w:rsidR="00461523" w:rsidRPr="003B4D35" w:rsidRDefault="00461523" w:rsidP="00461523">
            <w:pPr>
              <w:rPr>
                <w:rFonts w:cs="Tahoma"/>
              </w:rPr>
            </w:pPr>
            <w:r w:rsidRPr="003B4D35">
              <w:rPr>
                <w:rFonts w:cs="Tahoma"/>
              </w:rPr>
              <w:t>$274,776,429</w:t>
            </w:r>
          </w:p>
        </w:tc>
        <w:tc>
          <w:tcPr>
            <w:tcW w:w="686" w:type="pct"/>
            <w:tcBorders>
              <w:top w:val="single" w:sz="4" w:space="0" w:color="auto"/>
              <w:bottom w:val="nil"/>
            </w:tcBorders>
            <w:noWrap/>
          </w:tcPr>
          <w:p w14:paraId="012BC8AF" w14:textId="77777777" w:rsidR="00461523" w:rsidRPr="003B4D35" w:rsidRDefault="00461523" w:rsidP="00461523">
            <w:pPr>
              <w:rPr>
                <w:rFonts w:cs="Tahoma"/>
              </w:rPr>
            </w:pPr>
            <w:r w:rsidRPr="003B4D35">
              <w:rPr>
                <w:rFonts w:cs="Tahoma"/>
              </w:rPr>
              <w:t>$288,700,345</w:t>
            </w:r>
          </w:p>
        </w:tc>
        <w:tc>
          <w:tcPr>
            <w:tcW w:w="686" w:type="pct"/>
            <w:tcBorders>
              <w:top w:val="single" w:sz="4" w:space="0" w:color="auto"/>
              <w:bottom w:val="nil"/>
            </w:tcBorders>
            <w:noWrap/>
          </w:tcPr>
          <w:p w14:paraId="07BE8C5D" w14:textId="77777777" w:rsidR="00461523" w:rsidRPr="003B4D35" w:rsidRDefault="00461523" w:rsidP="00461523">
            <w:pPr>
              <w:rPr>
                <w:rFonts w:cs="Tahoma"/>
              </w:rPr>
            </w:pPr>
            <w:r w:rsidRPr="003B4D35">
              <w:rPr>
                <w:rFonts w:cs="Tahoma"/>
              </w:rPr>
              <w:t>$302,497,273</w:t>
            </w:r>
          </w:p>
        </w:tc>
        <w:tc>
          <w:tcPr>
            <w:tcW w:w="687" w:type="pct"/>
            <w:tcBorders>
              <w:top w:val="single" w:sz="4" w:space="0" w:color="auto"/>
              <w:bottom w:val="nil"/>
            </w:tcBorders>
            <w:noWrap/>
          </w:tcPr>
          <w:p w14:paraId="341B7466" w14:textId="77777777" w:rsidR="00461523" w:rsidRPr="003B4D35" w:rsidRDefault="00461523" w:rsidP="00461523">
            <w:pPr>
              <w:rPr>
                <w:rFonts w:cs="Tahoma"/>
              </w:rPr>
            </w:pPr>
            <w:r w:rsidRPr="003B4D35">
              <w:rPr>
                <w:rFonts w:cs="Tahoma"/>
              </w:rPr>
              <w:t>$316,170,024</w:t>
            </w:r>
          </w:p>
        </w:tc>
      </w:tr>
      <w:tr w:rsidR="00461523" w:rsidRPr="003B4D35" w14:paraId="3A99C842" w14:textId="77777777" w:rsidTr="004F45F9">
        <w:trPr>
          <w:trHeight w:val="300"/>
        </w:trPr>
        <w:tc>
          <w:tcPr>
            <w:tcW w:w="1569" w:type="pct"/>
            <w:tcBorders>
              <w:top w:val="nil"/>
              <w:bottom w:val="nil"/>
            </w:tcBorders>
            <w:noWrap/>
          </w:tcPr>
          <w:p w14:paraId="5A34317B" w14:textId="77777777" w:rsidR="00461523" w:rsidRPr="003B4D35" w:rsidRDefault="00461523" w:rsidP="00461523">
            <w:pPr>
              <w:rPr>
                <w:rFonts w:cs="Tahoma"/>
              </w:rPr>
            </w:pPr>
            <w:r w:rsidRPr="003B4D35">
              <w:rPr>
                <w:rFonts w:cs="Tahoma"/>
              </w:rPr>
              <w:t>Low cost of Ig, $44.94</w:t>
            </w:r>
          </w:p>
        </w:tc>
        <w:tc>
          <w:tcPr>
            <w:tcW w:w="686" w:type="pct"/>
            <w:tcBorders>
              <w:top w:val="nil"/>
              <w:bottom w:val="nil"/>
            </w:tcBorders>
            <w:noWrap/>
          </w:tcPr>
          <w:p w14:paraId="1F5B20BA" w14:textId="77777777" w:rsidR="00461523" w:rsidRPr="003B4D35" w:rsidRDefault="00461523" w:rsidP="00461523">
            <w:pPr>
              <w:rPr>
                <w:rFonts w:cs="Tahoma"/>
              </w:rPr>
            </w:pPr>
            <w:r w:rsidRPr="003B4D35">
              <w:rPr>
                <w:rFonts w:cs="Tahoma"/>
              </w:rPr>
              <w:t>$102,477,445</w:t>
            </w:r>
          </w:p>
        </w:tc>
        <w:tc>
          <w:tcPr>
            <w:tcW w:w="686" w:type="pct"/>
            <w:tcBorders>
              <w:top w:val="nil"/>
              <w:bottom w:val="nil"/>
            </w:tcBorders>
            <w:noWrap/>
          </w:tcPr>
          <w:p w14:paraId="0603440F" w14:textId="77777777" w:rsidR="00461523" w:rsidRPr="003B4D35" w:rsidRDefault="00461523" w:rsidP="00461523">
            <w:pPr>
              <w:rPr>
                <w:rFonts w:cs="Tahoma"/>
              </w:rPr>
            </w:pPr>
            <w:r w:rsidRPr="003B4D35">
              <w:rPr>
                <w:rFonts w:cs="Tahoma"/>
              </w:rPr>
              <w:t>$107,277,348</w:t>
            </w:r>
          </w:p>
        </w:tc>
        <w:tc>
          <w:tcPr>
            <w:tcW w:w="686" w:type="pct"/>
            <w:tcBorders>
              <w:top w:val="nil"/>
              <w:bottom w:val="nil"/>
            </w:tcBorders>
            <w:noWrap/>
          </w:tcPr>
          <w:p w14:paraId="4656A7AD" w14:textId="77777777" w:rsidR="00461523" w:rsidRPr="003B4D35" w:rsidRDefault="00461523" w:rsidP="00461523">
            <w:pPr>
              <w:rPr>
                <w:rFonts w:cs="Tahoma"/>
              </w:rPr>
            </w:pPr>
            <w:r w:rsidRPr="003B4D35">
              <w:rPr>
                <w:rFonts w:cs="Tahoma"/>
              </w:rPr>
              <w:t>$111,947,451</w:t>
            </w:r>
          </w:p>
        </w:tc>
        <w:tc>
          <w:tcPr>
            <w:tcW w:w="686" w:type="pct"/>
            <w:tcBorders>
              <w:top w:val="nil"/>
              <w:bottom w:val="nil"/>
            </w:tcBorders>
            <w:noWrap/>
          </w:tcPr>
          <w:p w14:paraId="056B627B" w14:textId="77777777" w:rsidR="00461523" w:rsidRPr="003B4D35" w:rsidRDefault="00461523" w:rsidP="00461523">
            <w:pPr>
              <w:rPr>
                <w:rFonts w:cs="Tahoma"/>
              </w:rPr>
            </w:pPr>
            <w:r w:rsidRPr="003B4D35">
              <w:rPr>
                <w:rFonts w:cs="Tahoma"/>
              </w:rPr>
              <w:t>$116,490,566</w:t>
            </w:r>
          </w:p>
        </w:tc>
        <w:tc>
          <w:tcPr>
            <w:tcW w:w="687" w:type="pct"/>
            <w:tcBorders>
              <w:top w:val="nil"/>
              <w:bottom w:val="nil"/>
            </w:tcBorders>
            <w:noWrap/>
          </w:tcPr>
          <w:p w14:paraId="03ADB8DE" w14:textId="77777777" w:rsidR="00461523" w:rsidRPr="003B4D35" w:rsidRDefault="00461523" w:rsidP="00461523">
            <w:pPr>
              <w:rPr>
                <w:rFonts w:cs="Tahoma"/>
              </w:rPr>
            </w:pPr>
            <w:r w:rsidRPr="003B4D35">
              <w:rPr>
                <w:rFonts w:cs="Tahoma"/>
              </w:rPr>
              <w:t>$120,909,504</w:t>
            </w:r>
          </w:p>
        </w:tc>
      </w:tr>
      <w:tr w:rsidR="00461523" w:rsidRPr="003B4D35" w14:paraId="065A331C" w14:textId="77777777" w:rsidTr="004F45F9">
        <w:trPr>
          <w:trHeight w:val="300"/>
        </w:trPr>
        <w:tc>
          <w:tcPr>
            <w:tcW w:w="1569" w:type="pct"/>
            <w:tcBorders>
              <w:top w:val="nil"/>
              <w:bottom w:val="nil"/>
            </w:tcBorders>
            <w:noWrap/>
          </w:tcPr>
          <w:p w14:paraId="38A45AE0" w14:textId="77777777" w:rsidR="00461523" w:rsidRPr="003B4D35" w:rsidRDefault="00461523" w:rsidP="00461523">
            <w:pPr>
              <w:rPr>
                <w:rFonts w:cs="Tahoma"/>
              </w:rPr>
            </w:pPr>
            <w:r w:rsidRPr="003B4D35">
              <w:rPr>
                <w:rFonts w:cs="Tahoma"/>
              </w:rPr>
              <w:t>Weighted average of Ig across all indications, $94.51</w:t>
            </w:r>
          </w:p>
        </w:tc>
        <w:tc>
          <w:tcPr>
            <w:tcW w:w="686" w:type="pct"/>
            <w:tcBorders>
              <w:top w:val="nil"/>
              <w:bottom w:val="nil"/>
            </w:tcBorders>
            <w:noWrap/>
          </w:tcPr>
          <w:p w14:paraId="143F277B" w14:textId="77777777" w:rsidR="00461523" w:rsidRPr="003B4D35" w:rsidRDefault="00461523" w:rsidP="00461523">
            <w:pPr>
              <w:rPr>
                <w:rFonts w:cs="Tahoma"/>
              </w:rPr>
            </w:pPr>
            <w:r w:rsidRPr="003B4D35">
              <w:rPr>
                <w:rFonts w:cs="Tahoma"/>
              </w:rPr>
              <w:t>$184,834,531</w:t>
            </w:r>
          </w:p>
        </w:tc>
        <w:tc>
          <w:tcPr>
            <w:tcW w:w="686" w:type="pct"/>
            <w:tcBorders>
              <w:top w:val="nil"/>
              <w:bottom w:val="nil"/>
            </w:tcBorders>
            <w:noWrap/>
          </w:tcPr>
          <w:p w14:paraId="55DA66EF" w14:textId="77777777" w:rsidR="00461523" w:rsidRPr="003B4D35" w:rsidRDefault="00461523" w:rsidP="00461523">
            <w:pPr>
              <w:rPr>
                <w:rFonts w:cs="Tahoma"/>
              </w:rPr>
            </w:pPr>
            <w:r w:rsidRPr="003B4D35">
              <w:rPr>
                <w:rFonts w:cs="Tahoma"/>
              </w:rPr>
              <w:t>$194,450,483</w:t>
            </w:r>
          </w:p>
        </w:tc>
        <w:tc>
          <w:tcPr>
            <w:tcW w:w="686" w:type="pct"/>
            <w:tcBorders>
              <w:top w:val="nil"/>
              <w:bottom w:val="nil"/>
            </w:tcBorders>
            <w:noWrap/>
          </w:tcPr>
          <w:p w14:paraId="36ABC314" w14:textId="77777777" w:rsidR="00461523" w:rsidRPr="003B4D35" w:rsidRDefault="00461523" w:rsidP="00461523">
            <w:pPr>
              <w:rPr>
                <w:rFonts w:cs="Tahoma"/>
              </w:rPr>
            </w:pPr>
            <w:r w:rsidRPr="003B4D35">
              <w:rPr>
                <w:rFonts w:cs="Tahoma"/>
              </w:rPr>
              <w:t>$203,936,636</w:t>
            </w:r>
          </w:p>
        </w:tc>
        <w:tc>
          <w:tcPr>
            <w:tcW w:w="686" w:type="pct"/>
            <w:tcBorders>
              <w:top w:val="nil"/>
              <w:bottom w:val="nil"/>
            </w:tcBorders>
            <w:noWrap/>
          </w:tcPr>
          <w:p w14:paraId="7667B173" w14:textId="77777777" w:rsidR="00461523" w:rsidRPr="003B4D35" w:rsidRDefault="00461523" w:rsidP="00461523">
            <w:pPr>
              <w:rPr>
                <w:rFonts w:cs="Tahoma"/>
              </w:rPr>
            </w:pPr>
            <w:r w:rsidRPr="003B4D35">
              <w:rPr>
                <w:rFonts w:cs="Tahoma"/>
              </w:rPr>
              <w:t>$213,295,801</w:t>
            </w:r>
          </w:p>
        </w:tc>
        <w:tc>
          <w:tcPr>
            <w:tcW w:w="687" w:type="pct"/>
            <w:tcBorders>
              <w:top w:val="nil"/>
              <w:bottom w:val="nil"/>
            </w:tcBorders>
            <w:noWrap/>
          </w:tcPr>
          <w:p w14:paraId="030F8B28" w14:textId="77777777" w:rsidR="00461523" w:rsidRPr="003B4D35" w:rsidRDefault="00461523" w:rsidP="00461523">
            <w:pPr>
              <w:rPr>
                <w:rFonts w:cs="Tahoma"/>
              </w:rPr>
            </w:pPr>
            <w:r w:rsidRPr="003B4D35">
              <w:rPr>
                <w:rFonts w:cs="Tahoma"/>
              </w:rPr>
              <w:t>$222,530,788</w:t>
            </w:r>
          </w:p>
        </w:tc>
      </w:tr>
      <w:tr w:rsidR="00461523" w:rsidRPr="003B4D35" w14:paraId="4445DD91" w14:textId="77777777" w:rsidTr="004F45F9">
        <w:trPr>
          <w:trHeight w:val="300"/>
        </w:trPr>
        <w:tc>
          <w:tcPr>
            <w:tcW w:w="1569" w:type="pct"/>
            <w:tcBorders>
              <w:top w:val="nil"/>
              <w:bottom w:val="nil"/>
            </w:tcBorders>
            <w:noWrap/>
          </w:tcPr>
          <w:p w14:paraId="4D6767C7" w14:textId="77777777" w:rsidR="00461523" w:rsidRPr="003B4D35" w:rsidRDefault="00461523" w:rsidP="00461523">
            <w:pPr>
              <w:rPr>
                <w:rFonts w:cs="Tahoma"/>
              </w:rPr>
            </w:pPr>
            <w:r w:rsidRPr="003B4D35">
              <w:rPr>
                <w:rFonts w:cs="Tahoma"/>
              </w:rPr>
              <w:t>Weighted average across the CIDP, $71.86 a</w:t>
            </w:r>
          </w:p>
        </w:tc>
        <w:tc>
          <w:tcPr>
            <w:tcW w:w="686" w:type="pct"/>
            <w:tcBorders>
              <w:top w:val="nil"/>
              <w:bottom w:val="nil"/>
            </w:tcBorders>
            <w:noWrap/>
          </w:tcPr>
          <w:p w14:paraId="13052D61" w14:textId="77777777" w:rsidR="00461523" w:rsidRPr="003B4D35" w:rsidRDefault="00461523" w:rsidP="00461523">
            <w:pPr>
              <w:rPr>
                <w:rFonts w:cs="Tahoma"/>
              </w:rPr>
            </w:pPr>
            <w:r w:rsidRPr="003B4D35">
              <w:rPr>
                <w:rFonts w:cs="Tahoma"/>
              </w:rPr>
              <w:t>$147,210,848</w:t>
            </w:r>
          </w:p>
        </w:tc>
        <w:tc>
          <w:tcPr>
            <w:tcW w:w="686" w:type="pct"/>
            <w:tcBorders>
              <w:top w:val="nil"/>
              <w:bottom w:val="nil"/>
            </w:tcBorders>
            <w:noWrap/>
          </w:tcPr>
          <w:p w14:paraId="48AAA29A" w14:textId="77777777" w:rsidR="00461523" w:rsidRPr="003B4D35" w:rsidRDefault="00461523" w:rsidP="00461523">
            <w:pPr>
              <w:rPr>
                <w:rFonts w:cs="Tahoma"/>
              </w:rPr>
            </w:pPr>
            <w:r w:rsidRPr="003B4D35">
              <w:rPr>
                <w:rFonts w:cs="Tahoma"/>
              </w:rPr>
              <w:t>$154,626,655</w:t>
            </w:r>
          </w:p>
        </w:tc>
        <w:tc>
          <w:tcPr>
            <w:tcW w:w="686" w:type="pct"/>
            <w:tcBorders>
              <w:top w:val="nil"/>
              <w:bottom w:val="nil"/>
            </w:tcBorders>
            <w:noWrap/>
          </w:tcPr>
          <w:p w14:paraId="552CC8E8" w14:textId="77777777" w:rsidR="00461523" w:rsidRPr="003B4D35" w:rsidRDefault="00461523" w:rsidP="00461523">
            <w:pPr>
              <w:rPr>
                <w:rFonts w:cs="Tahoma"/>
              </w:rPr>
            </w:pPr>
            <w:r w:rsidRPr="003B4D35">
              <w:rPr>
                <w:rFonts w:cs="Tahoma"/>
              </w:rPr>
              <w:t>$161,912,663</w:t>
            </w:r>
          </w:p>
        </w:tc>
        <w:tc>
          <w:tcPr>
            <w:tcW w:w="686" w:type="pct"/>
            <w:tcBorders>
              <w:top w:val="nil"/>
              <w:bottom w:val="nil"/>
            </w:tcBorders>
            <w:noWrap/>
          </w:tcPr>
          <w:p w14:paraId="322459C1" w14:textId="77777777" w:rsidR="00461523" w:rsidRPr="003B4D35" w:rsidRDefault="00461523" w:rsidP="00461523">
            <w:pPr>
              <w:rPr>
                <w:rFonts w:cs="Tahoma"/>
              </w:rPr>
            </w:pPr>
            <w:r w:rsidRPr="003B4D35">
              <w:rPr>
                <w:rFonts w:cs="Tahoma"/>
              </w:rPr>
              <w:t>$169,071,683</w:t>
            </w:r>
          </w:p>
        </w:tc>
        <w:tc>
          <w:tcPr>
            <w:tcW w:w="687" w:type="pct"/>
            <w:tcBorders>
              <w:top w:val="nil"/>
              <w:bottom w:val="nil"/>
            </w:tcBorders>
            <w:noWrap/>
          </w:tcPr>
          <w:p w14:paraId="3794030D" w14:textId="77777777" w:rsidR="00461523" w:rsidRPr="003B4D35" w:rsidRDefault="00461523" w:rsidP="00461523">
            <w:pPr>
              <w:rPr>
                <w:rFonts w:cs="Tahoma"/>
              </w:rPr>
            </w:pPr>
            <w:r w:rsidRPr="003B4D35">
              <w:rPr>
                <w:rFonts w:cs="Tahoma"/>
              </w:rPr>
              <w:t>$176,106,525</w:t>
            </w:r>
          </w:p>
        </w:tc>
      </w:tr>
      <w:tr w:rsidR="00461523" w:rsidRPr="003B4D35" w14:paraId="2C2471AF" w14:textId="77777777" w:rsidTr="004F45F9">
        <w:trPr>
          <w:trHeight w:val="300"/>
        </w:trPr>
        <w:tc>
          <w:tcPr>
            <w:tcW w:w="5000" w:type="pct"/>
            <w:gridSpan w:val="6"/>
            <w:tcBorders>
              <w:bottom w:val="single" w:sz="4" w:space="0" w:color="auto"/>
            </w:tcBorders>
            <w:noWrap/>
          </w:tcPr>
          <w:p w14:paraId="4751E755" w14:textId="77777777" w:rsidR="00461523" w:rsidRPr="003B4D35" w:rsidRDefault="00461523" w:rsidP="00461523">
            <w:pPr>
              <w:rPr>
                <w:rFonts w:cs="Tahoma"/>
              </w:rPr>
            </w:pPr>
            <w:r w:rsidRPr="003B4D35">
              <w:rPr>
                <w:rFonts w:cs="Tahoma"/>
              </w:rPr>
              <w:t>Growth rate of Ig use (base case: average 5.4%)</w:t>
            </w:r>
          </w:p>
        </w:tc>
      </w:tr>
      <w:tr w:rsidR="00461523" w:rsidRPr="003B4D35" w14:paraId="53954824" w14:textId="77777777" w:rsidTr="004F45F9">
        <w:trPr>
          <w:trHeight w:val="300"/>
        </w:trPr>
        <w:tc>
          <w:tcPr>
            <w:tcW w:w="1569" w:type="pct"/>
            <w:tcBorders>
              <w:bottom w:val="nil"/>
            </w:tcBorders>
            <w:noWrap/>
          </w:tcPr>
          <w:p w14:paraId="0D2A1D32" w14:textId="77777777" w:rsidR="00461523" w:rsidRPr="003B4D35" w:rsidRDefault="00461523" w:rsidP="00461523">
            <w:pPr>
              <w:rPr>
                <w:rFonts w:cs="Tahoma"/>
              </w:rPr>
            </w:pPr>
            <w:r w:rsidRPr="003B4D35">
              <w:rPr>
                <w:rFonts w:cs="Tahoma"/>
              </w:rPr>
              <w:t>5%</w:t>
            </w:r>
          </w:p>
        </w:tc>
        <w:tc>
          <w:tcPr>
            <w:tcW w:w="686" w:type="pct"/>
            <w:tcBorders>
              <w:bottom w:val="nil"/>
            </w:tcBorders>
            <w:noWrap/>
          </w:tcPr>
          <w:p w14:paraId="23AEB9BE" w14:textId="77777777" w:rsidR="00461523" w:rsidRPr="003B4D35" w:rsidRDefault="00461523" w:rsidP="00461523">
            <w:pPr>
              <w:rPr>
                <w:rFonts w:cs="Tahoma"/>
              </w:rPr>
            </w:pPr>
            <w:r w:rsidRPr="003B4D35">
              <w:rPr>
                <w:rFonts w:cs="Tahoma"/>
              </w:rPr>
              <w:t>$127,341,007</w:t>
            </w:r>
          </w:p>
        </w:tc>
        <w:tc>
          <w:tcPr>
            <w:tcW w:w="686" w:type="pct"/>
            <w:tcBorders>
              <w:bottom w:val="nil"/>
            </w:tcBorders>
            <w:noWrap/>
          </w:tcPr>
          <w:p w14:paraId="011878CE" w14:textId="77777777" w:rsidR="00461523" w:rsidRPr="003B4D35" w:rsidRDefault="00461523" w:rsidP="00461523">
            <w:pPr>
              <w:rPr>
                <w:rFonts w:cs="Tahoma"/>
              </w:rPr>
            </w:pPr>
            <w:r w:rsidRPr="003B4D35">
              <w:rPr>
                <w:rFonts w:cs="Tahoma"/>
              </w:rPr>
              <w:t>$132,751,063</w:t>
            </w:r>
          </w:p>
        </w:tc>
        <w:tc>
          <w:tcPr>
            <w:tcW w:w="686" w:type="pct"/>
            <w:tcBorders>
              <w:bottom w:val="nil"/>
            </w:tcBorders>
            <w:noWrap/>
          </w:tcPr>
          <w:p w14:paraId="22DF34F4" w14:textId="77777777" w:rsidR="00461523" w:rsidRPr="003B4D35" w:rsidRDefault="00461523" w:rsidP="00461523">
            <w:pPr>
              <w:rPr>
                <w:rFonts w:cs="Tahoma"/>
              </w:rPr>
            </w:pPr>
            <w:r w:rsidRPr="003B4D35">
              <w:rPr>
                <w:rFonts w:cs="Tahoma"/>
              </w:rPr>
              <w:t>$138,280,153</w:t>
            </w:r>
          </w:p>
        </w:tc>
        <w:tc>
          <w:tcPr>
            <w:tcW w:w="686" w:type="pct"/>
            <w:tcBorders>
              <w:bottom w:val="nil"/>
            </w:tcBorders>
            <w:noWrap/>
          </w:tcPr>
          <w:p w14:paraId="67FF3E5E" w14:textId="77777777" w:rsidR="00461523" w:rsidRPr="003B4D35" w:rsidRDefault="00461523" w:rsidP="00461523">
            <w:pPr>
              <w:rPr>
                <w:rFonts w:cs="Tahoma"/>
              </w:rPr>
            </w:pPr>
            <w:r w:rsidRPr="003B4D35">
              <w:rPr>
                <w:rFonts w:cs="Tahoma"/>
              </w:rPr>
              <w:t>$143,943,530</w:t>
            </w:r>
          </w:p>
        </w:tc>
        <w:tc>
          <w:tcPr>
            <w:tcW w:w="687" w:type="pct"/>
            <w:tcBorders>
              <w:bottom w:val="nil"/>
            </w:tcBorders>
            <w:noWrap/>
          </w:tcPr>
          <w:p w14:paraId="46089DA9" w14:textId="77777777" w:rsidR="00461523" w:rsidRPr="003B4D35" w:rsidRDefault="00461523" w:rsidP="00461523">
            <w:pPr>
              <w:rPr>
                <w:rFonts w:cs="Tahoma"/>
              </w:rPr>
            </w:pPr>
            <w:r w:rsidRPr="003B4D35">
              <w:rPr>
                <w:rFonts w:cs="Tahoma"/>
              </w:rPr>
              <w:t>$149,757,068</w:t>
            </w:r>
          </w:p>
        </w:tc>
      </w:tr>
      <w:tr w:rsidR="00461523" w:rsidRPr="003B4D35" w14:paraId="0E8C94F5" w14:textId="77777777" w:rsidTr="004F45F9">
        <w:trPr>
          <w:trHeight w:val="300"/>
        </w:trPr>
        <w:tc>
          <w:tcPr>
            <w:tcW w:w="1569" w:type="pct"/>
            <w:tcBorders>
              <w:top w:val="nil"/>
              <w:bottom w:val="nil"/>
            </w:tcBorders>
            <w:noWrap/>
          </w:tcPr>
          <w:p w14:paraId="20FD6E90" w14:textId="77777777" w:rsidR="00461523" w:rsidRPr="003B4D35" w:rsidRDefault="00461523" w:rsidP="00461523">
            <w:pPr>
              <w:rPr>
                <w:rFonts w:cs="Tahoma"/>
              </w:rPr>
            </w:pPr>
            <w:r w:rsidRPr="003B4D35">
              <w:rPr>
                <w:rFonts w:cs="Tahoma"/>
              </w:rPr>
              <w:t>6%</w:t>
            </w:r>
          </w:p>
        </w:tc>
        <w:tc>
          <w:tcPr>
            <w:tcW w:w="686" w:type="pct"/>
            <w:tcBorders>
              <w:top w:val="nil"/>
              <w:bottom w:val="nil"/>
            </w:tcBorders>
            <w:noWrap/>
          </w:tcPr>
          <w:p w14:paraId="358749DA" w14:textId="77777777" w:rsidR="00461523" w:rsidRPr="003B4D35" w:rsidRDefault="00461523" w:rsidP="00461523">
            <w:pPr>
              <w:rPr>
                <w:rFonts w:cs="Tahoma"/>
              </w:rPr>
            </w:pPr>
            <w:r w:rsidRPr="003B4D35">
              <w:rPr>
                <w:rFonts w:cs="Tahoma"/>
              </w:rPr>
              <w:t>$129,245,906</w:t>
            </w:r>
          </w:p>
        </w:tc>
        <w:tc>
          <w:tcPr>
            <w:tcW w:w="686" w:type="pct"/>
            <w:tcBorders>
              <w:top w:val="nil"/>
              <w:bottom w:val="nil"/>
            </w:tcBorders>
            <w:noWrap/>
          </w:tcPr>
          <w:p w14:paraId="22290B3C" w14:textId="77777777" w:rsidR="00461523" w:rsidRPr="003B4D35" w:rsidRDefault="00461523" w:rsidP="00461523">
            <w:pPr>
              <w:rPr>
                <w:rFonts w:cs="Tahoma"/>
              </w:rPr>
            </w:pPr>
            <w:r w:rsidRPr="003B4D35">
              <w:rPr>
                <w:rFonts w:cs="Tahoma"/>
              </w:rPr>
              <w:t>$135,765,589</w:t>
            </w:r>
          </w:p>
        </w:tc>
        <w:tc>
          <w:tcPr>
            <w:tcW w:w="686" w:type="pct"/>
            <w:tcBorders>
              <w:top w:val="nil"/>
              <w:bottom w:val="nil"/>
            </w:tcBorders>
            <w:noWrap/>
          </w:tcPr>
          <w:p w14:paraId="1BA0CAE0" w14:textId="77777777" w:rsidR="00461523" w:rsidRPr="003B4D35" w:rsidRDefault="00461523" w:rsidP="00461523">
            <w:pPr>
              <w:rPr>
                <w:rFonts w:cs="Tahoma"/>
              </w:rPr>
            </w:pPr>
            <w:r w:rsidRPr="003B4D35">
              <w:rPr>
                <w:rFonts w:cs="Tahoma"/>
              </w:rPr>
              <w:t>$142,520,651</w:t>
            </w:r>
          </w:p>
        </w:tc>
        <w:tc>
          <w:tcPr>
            <w:tcW w:w="686" w:type="pct"/>
            <w:tcBorders>
              <w:top w:val="nil"/>
              <w:bottom w:val="nil"/>
            </w:tcBorders>
            <w:noWrap/>
          </w:tcPr>
          <w:p w14:paraId="0293B132" w14:textId="77777777" w:rsidR="00461523" w:rsidRPr="003B4D35" w:rsidRDefault="00461523" w:rsidP="00461523">
            <w:pPr>
              <w:rPr>
                <w:rFonts w:cs="Tahoma"/>
              </w:rPr>
            </w:pPr>
            <w:r w:rsidRPr="003B4D35">
              <w:rPr>
                <w:rFonts w:cs="Tahoma"/>
              </w:rPr>
              <w:t>$149,535,812</w:t>
            </w:r>
          </w:p>
        </w:tc>
        <w:tc>
          <w:tcPr>
            <w:tcW w:w="687" w:type="pct"/>
            <w:tcBorders>
              <w:top w:val="nil"/>
              <w:bottom w:val="nil"/>
            </w:tcBorders>
            <w:noWrap/>
          </w:tcPr>
          <w:p w14:paraId="77017904" w14:textId="77777777" w:rsidR="00461523" w:rsidRPr="003B4D35" w:rsidRDefault="00461523" w:rsidP="00461523">
            <w:pPr>
              <w:rPr>
                <w:rFonts w:cs="Tahoma"/>
              </w:rPr>
            </w:pPr>
            <w:r w:rsidRPr="003B4D35">
              <w:rPr>
                <w:rFonts w:cs="Tahoma"/>
              </w:rPr>
              <w:t>$156,837,108</w:t>
            </w:r>
          </w:p>
        </w:tc>
      </w:tr>
      <w:tr w:rsidR="00461523" w:rsidRPr="003B4D35" w14:paraId="65D13659" w14:textId="77777777" w:rsidTr="004F45F9">
        <w:trPr>
          <w:trHeight w:val="300"/>
        </w:trPr>
        <w:tc>
          <w:tcPr>
            <w:tcW w:w="1569" w:type="pct"/>
            <w:tcBorders>
              <w:top w:val="nil"/>
              <w:bottom w:val="single" w:sz="4" w:space="0" w:color="auto"/>
            </w:tcBorders>
            <w:noWrap/>
          </w:tcPr>
          <w:p w14:paraId="423B20D8" w14:textId="77777777" w:rsidR="00461523" w:rsidRPr="003B4D35" w:rsidRDefault="00461523" w:rsidP="00461523">
            <w:pPr>
              <w:rPr>
                <w:rFonts w:cs="Tahoma"/>
              </w:rPr>
            </w:pPr>
            <w:r w:rsidRPr="003B4D35">
              <w:rPr>
                <w:rFonts w:cs="Tahoma"/>
              </w:rPr>
              <w:t>8%</w:t>
            </w:r>
          </w:p>
        </w:tc>
        <w:tc>
          <w:tcPr>
            <w:tcW w:w="686" w:type="pct"/>
            <w:tcBorders>
              <w:top w:val="nil"/>
              <w:bottom w:val="single" w:sz="4" w:space="0" w:color="auto"/>
            </w:tcBorders>
            <w:noWrap/>
          </w:tcPr>
          <w:p w14:paraId="7167CDE4" w14:textId="77777777" w:rsidR="00461523" w:rsidRPr="003B4D35" w:rsidRDefault="00461523" w:rsidP="00461523">
            <w:pPr>
              <w:rPr>
                <w:rFonts w:cs="Tahoma"/>
              </w:rPr>
            </w:pPr>
            <w:r w:rsidRPr="003B4D35">
              <w:rPr>
                <w:rFonts w:cs="Tahoma"/>
              </w:rPr>
              <w:t>$133,109,873</w:t>
            </w:r>
          </w:p>
        </w:tc>
        <w:tc>
          <w:tcPr>
            <w:tcW w:w="686" w:type="pct"/>
            <w:tcBorders>
              <w:top w:val="nil"/>
              <w:bottom w:val="single" w:sz="4" w:space="0" w:color="auto"/>
            </w:tcBorders>
            <w:noWrap/>
          </w:tcPr>
          <w:p w14:paraId="36529259" w14:textId="77777777" w:rsidR="00461523" w:rsidRPr="003B4D35" w:rsidRDefault="00461523" w:rsidP="00461523">
            <w:pPr>
              <w:rPr>
                <w:rFonts w:cs="Tahoma"/>
              </w:rPr>
            </w:pPr>
            <w:r w:rsidRPr="003B4D35">
              <w:rPr>
                <w:rFonts w:cs="Tahoma"/>
              </w:rPr>
              <w:t>$141,967,437</w:t>
            </w:r>
          </w:p>
        </w:tc>
        <w:tc>
          <w:tcPr>
            <w:tcW w:w="686" w:type="pct"/>
            <w:tcBorders>
              <w:top w:val="nil"/>
              <w:bottom w:val="single" w:sz="4" w:space="0" w:color="auto"/>
            </w:tcBorders>
            <w:noWrap/>
          </w:tcPr>
          <w:p w14:paraId="18C5372D" w14:textId="77777777" w:rsidR="00461523" w:rsidRPr="003B4D35" w:rsidRDefault="00461523" w:rsidP="00461523">
            <w:pPr>
              <w:rPr>
                <w:rFonts w:cs="Tahoma"/>
              </w:rPr>
            </w:pPr>
            <w:r w:rsidRPr="003B4D35">
              <w:rPr>
                <w:rFonts w:cs="Tahoma"/>
              </w:rPr>
              <w:t>$151,369,135</w:t>
            </w:r>
          </w:p>
        </w:tc>
        <w:tc>
          <w:tcPr>
            <w:tcW w:w="686" w:type="pct"/>
            <w:tcBorders>
              <w:top w:val="nil"/>
              <w:bottom w:val="single" w:sz="4" w:space="0" w:color="auto"/>
            </w:tcBorders>
            <w:noWrap/>
          </w:tcPr>
          <w:p w14:paraId="60E280D4" w14:textId="77777777" w:rsidR="00461523" w:rsidRPr="003B4D35" w:rsidRDefault="00461523" w:rsidP="00461523">
            <w:pPr>
              <w:rPr>
                <w:rFonts w:cs="Tahoma"/>
              </w:rPr>
            </w:pPr>
            <w:r w:rsidRPr="003B4D35">
              <w:rPr>
                <w:rFonts w:cs="Tahoma"/>
              </w:rPr>
              <w:t>$161,371,693</w:t>
            </w:r>
          </w:p>
        </w:tc>
        <w:tc>
          <w:tcPr>
            <w:tcW w:w="687" w:type="pct"/>
            <w:tcBorders>
              <w:top w:val="nil"/>
              <w:bottom w:val="single" w:sz="4" w:space="0" w:color="auto"/>
            </w:tcBorders>
            <w:noWrap/>
          </w:tcPr>
          <w:p w14:paraId="6C7529CB" w14:textId="77777777" w:rsidR="00461523" w:rsidRPr="003B4D35" w:rsidRDefault="00461523" w:rsidP="00461523">
            <w:pPr>
              <w:rPr>
                <w:rFonts w:cs="Tahoma"/>
              </w:rPr>
            </w:pPr>
            <w:r w:rsidRPr="003B4D35">
              <w:rPr>
                <w:rFonts w:cs="Tahoma"/>
              </w:rPr>
              <w:t>$172,036,150</w:t>
            </w:r>
          </w:p>
        </w:tc>
      </w:tr>
      <w:tr w:rsidR="00461523" w:rsidRPr="003B4D35" w14:paraId="0898AB7C" w14:textId="77777777" w:rsidTr="004F45F9">
        <w:trPr>
          <w:trHeight w:val="300"/>
        </w:trPr>
        <w:tc>
          <w:tcPr>
            <w:tcW w:w="5000" w:type="pct"/>
            <w:gridSpan w:val="6"/>
            <w:tcBorders>
              <w:top w:val="single" w:sz="4" w:space="0" w:color="auto"/>
              <w:bottom w:val="single" w:sz="4" w:space="0" w:color="auto"/>
            </w:tcBorders>
            <w:noWrap/>
          </w:tcPr>
          <w:p w14:paraId="261ED9DD" w14:textId="77777777" w:rsidR="00461523" w:rsidRPr="003B4D35" w:rsidRDefault="00461523" w:rsidP="00461523">
            <w:pPr>
              <w:rPr>
                <w:rFonts w:cs="Tahoma"/>
              </w:rPr>
            </w:pPr>
            <w:r w:rsidRPr="003B4D35">
              <w:rPr>
                <w:rFonts w:cs="Tahoma"/>
              </w:rPr>
              <w:t>Administration cost per IV infusion (base-case: $693)</w:t>
            </w:r>
          </w:p>
        </w:tc>
      </w:tr>
      <w:tr w:rsidR="00461523" w:rsidRPr="003B4D35" w14:paraId="3F47968F" w14:textId="77777777" w:rsidTr="004F45F9">
        <w:trPr>
          <w:trHeight w:val="300"/>
        </w:trPr>
        <w:tc>
          <w:tcPr>
            <w:tcW w:w="1569" w:type="pct"/>
            <w:tcBorders>
              <w:top w:val="single" w:sz="4" w:space="0" w:color="auto"/>
              <w:bottom w:val="single" w:sz="4" w:space="0" w:color="auto"/>
            </w:tcBorders>
            <w:noWrap/>
          </w:tcPr>
          <w:p w14:paraId="63F7705D" w14:textId="77777777" w:rsidR="00461523" w:rsidRPr="003B4D35" w:rsidRDefault="00461523" w:rsidP="00461523">
            <w:pPr>
              <w:rPr>
                <w:rFonts w:cs="Tahoma"/>
                <w:vertAlign w:val="superscript"/>
              </w:rPr>
            </w:pPr>
            <w:r w:rsidRPr="003B4D35">
              <w:rPr>
                <w:rFonts w:cs="Tahoma"/>
              </w:rPr>
              <w:t xml:space="preserve">$214 per infusion </w:t>
            </w:r>
            <w:r w:rsidRPr="003B4D35">
              <w:rPr>
                <w:rFonts w:cs="Tahoma"/>
                <w:vertAlign w:val="superscript"/>
              </w:rPr>
              <w:t>b</w:t>
            </w:r>
          </w:p>
        </w:tc>
        <w:tc>
          <w:tcPr>
            <w:tcW w:w="686" w:type="pct"/>
            <w:tcBorders>
              <w:top w:val="single" w:sz="4" w:space="0" w:color="auto"/>
              <w:bottom w:val="single" w:sz="4" w:space="0" w:color="auto"/>
            </w:tcBorders>
            <w:noWrap/>
          </w:tcPr>
          <w:p w14:paraId="269E8218" w14:textId="77777777" w:rsidR="00461523" w:rsidRPr="003B4D35" w:rsidRDefault="00461523" w:rsidP="00461523">
            <w:pPr>
              <w:rPr>
                <w:rFonts w:cs="Tahoma"/>
              </w:rPr>
            </w:pPr>
            <w:r w:rsidRPr="003B4D35">
              <w:rPr>
                <w:rFonts w:cs="Tahoma"/>
              </w:rPr>
              <w:t>$109,646,774</w:t>
            </w:r>
          </w:p>
        </w:tc>
        <w:tc>
          <w:tcPr>
            <w:tcW w:w="686" w:type="pct"/>
            <w:tcBorders>
              <w:top w:val="single" w:sz="4" w:space="0" w:color="auto"/>
              <w:bottom w:val="single" w:sz="4" w:space="0" w:color="auto"/>
            </w:tcBorders>
            <w:noWrap/>
          </w:tcPr>
          <w:p w14:paraId="29F1922F" w14:textId="77777777" w:rsidR="00461523" w:rsidRPr="003B4D35" w:rsidRDefault="00461523" w:rsidP="00461523">
            <w:pPr>
              <w:rPr>
                <w:rFonts w:cs="Tahoma"/>
              </w:rPr>
            </w:pPr>
            <w:r w:rsidRPr="003B4D35">
              <w:rPr>
                <w:rFonts w:cs="Tahoma"/>
              </w:rPr>
              <w:t>$116,014,000</w:t>
            </w:r>
          </w:p>
        </w:tc>
        <w:tc>
          <w:tcPr>
            <w:tcW w:w="686" w:type="pct"/>
            <w:tcBorders>
              <w:top w:val="single" w:sz="4" w:space="0" w:color="auto"/>
              <w:bottom w:val="single" w:sz="4" w:space="0" w:color="auto"/>
            </w:tcBorders>
            <w:noWrap/>
          </w:tcPr>
          <w:p w14:paraId="3381E925" w14:textId="77777777" w:rsidR="00461523" w:rsidRPr="003B4D35" w:rsidRDefault="00461523" w:rsidP="00461523">
            <w:pPr>
              <w:rPr>
                <w:rFonts w:cs="Tahoma"/>
              </w:rPr>
            </w:pPr>
            <w:r w:rsidRPr="003B4D35">
              <w:rPr>
                <w:rFonts w:cs="Tahoma"/>
              </w:rPr>
              <w:t>$122,351,118</w:t>
            </w:r>
          </w:p>
        </w:tc>
        <w:tc>
          <w:tcPr>
            <w:tcW w:w="686" w:type="pct"/>
            <w:tcBorders>
              <w:top w:val="single" w:sz="4" w:space="0" w:color="auto"/>
              <w:bottom w:val="single" w:sz="4" w:space="0" w:color="auto"/>
            </w:tcBorders>
            <w:noWrap/>
          </w:tcPr>
          <w:p w14:paraId="19DA02A4" w14:textId="77777777" w:rsidR="00461523" w:rsidRPr="003B4D35" w:rsidRDefault="00461523" w:rsidP="00461523">
            <w:pPr>
              <w:rPr>
                <w:rFonts w:cs="Tahoma"/>
              </w:rPr>
            </w:pPr>
            <w:r w:rsidRPr="003B4D35">
              <w:rPr>
                <w:rFonts w:cs="Tahoma"/>
              </w:rPr>
              <w:t>$128,654,537</w:t>
            </w:r>
          </w:p>
        </w:tc>
        <w:tc>
          <w:tcPr>
            <w:tcW w:w="687" w:type="pct"/>
            <w:tcBorders>
              <w:top w:val="single" w:sz="4" w:space="0" w:color="auto"/>
              <w:bottom w:val="single" w:sz="4" w:space="0" w:color="auto"/>
            </w:tcBorders>
            <w:noWrap/>
          </w:tcPr>
          <w:p w14:paraId="5BA40B05" w14:textId="77777777" w:rsidR="00461523" w:rsidRPr="003B4D35" w:rsidRDefault="00461523" w:rsidP="00461523">
            <w:pPr>
              <w:rPr>
                <w:rFonts w:cs="Tahoma"/>
              </w:rPr>
            </w:pPr>
            <w:r w:rsidRPr="003B4D35">
              <w:rPr>
                <w:rFonts w:cs="Tahoma"/>
              </w:rPr>
              <w:t>$134,920,670</w:t>
            </w:r>
          </w:p>
        </w:tc>
      </w:tr>
      <w:tr w:rsidR="00461523" w:rsidRPr="003B4D35" w14:paraId="7E63DBD7" w14:textId="77777777" w:rsidTr="004F45F9">
        <w:trPr>
          <w:trHeight w:val="300"/>
        </w:trPr>
        <w:tc>
          <w:tcPr>
            <w:tcW w:w="5000" w:type="pct"/>
            <w:gridSpan w:val="6"/>
            <w:tcBorders>
              <w:top w:val="single" w:sz="4" w:space="0" w:color="auto"/>
              <w:bottom w:val="single" w:sz="4" w:space="0" w:color="auto"/>
            </w:tcBorders>
            <w:noWrap/>
          </w:tcPr>
          <w:p w14:paraId="3867BA53" w14:textId="77777777" w:rsidR="00461523" w:rsidRPr="003B4D35" w:rsidRDefault="00461523" w:rsidP="00461523">
            <w:pPr>
              <w:rPr>
                <w:rFonts w:cs="Tahoma"/>
              </w:rPr>
            </w:pPr>
            <w:r w:rsidRPr="003B4D35">
              <w:rPr>
                <w:rFonts w:cs="Tahoma"/>
              </w:rPr>
              <w:t>Number of patients receiving Ig (base-case: projections assuming curved growth)</w:t>
            </w:r>
          </w:p>
        </w:tc>
      </w:tr>
      <w:tr w:rsidR="00461523" w:rsidRPr="003B4D35" w14:paraId="1FE54166" w14:textId="77777777" w:rsidTr="004F45F9">
        <w:trPr>
          <w:trHeight w:val="300"/>
        </w:trPr>
        <w:tc>
          <w:tcPr>
            <w:tcW w:w="1569" w:type="pct"/>
            <w:tcBorders>
              <w:top w:val="single" w:sz="4" w:space="0" w:color="auto"/>
              <w:bottom w:val="single" w:sz="4" w:space="0" w:color="auto"/>
            </w:tcBorders>
            <w:noWrap/>
          </w:tcPr>
          <w:p w14:paraId="57F5B134" w14:textId="77777777" w:rsidR="00461523" w:rsidRPr="003B4D35" w:rsidRDefault="00461523" w:rsidP="00461523">
            <w:pPr>
              <w:rPr>
                <w:rFonts w:cs="Tahoma"/>
              </w:rPr>
            </w:pPr>
            <w:r w:rsidRPr="003B4D35">
              <w:rPr>
                <w:rFonts w:cs="Tahoma"/>
              </w:rPr>
              <w:t>Numbers projected using linear growth</w:t>
            </w:r>
          </w:p>
        </w:tc>
        <w:tc>
          <w:tcPr>
            <w:tcW w:w="686" w:type="pct"/>
            <w:tcBorders>
              <w:top w:val="single" w:sz="4" w:space="0" w:color="auto"/>
              <w:bottom w:val="single" w:sz="4" w:space="0" w:color="auto"/>
            </w:tcBorders>
            <w:noWrap/>
          </w:tcPr>
          <w:p w14:paraId="079BF987" w14:textId="77777777" w:rsidR="00461523" w:rsidRPr="003B4D35" w:rsidRDefault="00461523" w:rsidP="00461523">
            <w:pPr>
              <w:rPr>
                <w:rFonts w:cs="Tahoma"/>
              </w:rPr>
            </w:pPr>
            <w:r w:rsidRPr="003B4D35">
              <w:rPr>
                <w:rFonts w:cs="Tahoma"/>
              </w:rPr>
              <w:t>$129,965,580</w:t>
            </w:r>
          </w:p>
        </w:tc>
        <w:tc>
          <w:tcPr>
            <w:tcW w:w="686" w:type="pct"/>
            <w:tcBorders>
              <w:top w:val="single" w:sz="4" w:space="0" w:color="auto"/>
              <w:bottom w:val="single" w:sz="4" w:space="0" w:color="auto"/>
            </w:tcBorders>
            <w:noWrap/>
          </w:tcPr>
          <w:p w14:paraId="05C05729" w14:textId="77777777" w:rsidR="00461523" w:rsidRPr="003B4D35" w:rsidRDefault="00461523" w:rsidP="00461523">
            <w:pPr>
              <w:rPr>
                <w:rFonts w:cs="Tahoma"/>
              </w:rPr>
            </w:pPr>
            <w:r w:rsidRPr="003B4D35">
              <w:rPr>
                <w:rFonts w:cs="Tahoma"/>
              </w:rPr>
              <w:t>$137,039,285</w:t>
            </w:r>
          </w:p>
        </w:tc>
        <w:tc>
          <w:tcPr>
            <w:tcW w:w="686" w:type="pct"/>
            <w:tcBorders>
              <w:top w:val="single" w:sz="4" w:space="0" w:color="auto"/>
              <w:bottom w:val="single" w:sz="4" w:space="0" w:color="auto"/>
            </w:tcBorders>
            <w:noWrap/>
          </w:tcPr>
          <w:p w14:paraId="3EDC6C54" w14:textId="77777777" w:rsidR="00461523" w:rsidRPr="003B4D35" w:rsidRDefault="00461523" w:rsidP="00461523">
            <w:pPr>
              <w:rPr>
                <w:rFonts w:cs="Tahoma"/>
              </w:rPr>
            </w:pPr>
            <w:r w:rsidRPr="003B4D35">
              <w:rPr>
                <w:rFonts w:cs="Tahoma"/>
              </w:rPr>
              <w:t>$144,090,757</w:t>
            </w:r>
          </w:p>
        </w:tc>
        <w:tc>
          <w:tcPr>
            <w:tcW w:w="686" w:type="pct"/>
            <w:tcBorders>
              <w:top w:val="single" w:sz="4" w:space="0" w:color="auto"/>
              <w:bottom w:val="single" w:sz="4" w:space="0" w:color="auto"/>
            </w:tcBorders>
            <w:noWrap/>
          </w:tcPr>
          <w:p w14:paraId="2934A158" w14:textId="77777777" w:rsidR="00461523" w:rsidRPr="003B4D35" w:rsidRDefault="00461523" w:rsidP="00461523">
            <w:pPr>
              <w:rPr>
                <w:rFonts w:cs="Tahoma"/>
              </w:rPr>
            </w:pPr>
            <w:r w:rsidRPr="003B4D35">
              <w:rPr>
                <w:rFonts w:cs="Tahoma"/>
              </w:rPr>
              <w:t>$151,119,996</w:t>
            </w:r>
          </w:p>
        </w:tc>
        <w:tc>
          <w:tcPr>
            <w:tcW w:w="687" w:type="pct"/>
            <w:tcBorders>
              <w:top w:val="single" w:sz="4" w:space="0" w:color="auto"/>
              <w:bottom w:val="single" w:sz="4" w:space="0" w:color="auto"/>
            </w:tcBorders>
            <w:noWrap/>
          </w:tcPr>
          <w:p w14:paraId="631E63BD" w14:textId="77777777" w:rsidR="00461523" w:rsidRPr="003B4D35" w:rsidRDefault="00461523" w:rsidP="00461523">
            <w:pPr>
              <w:rPr>
                <w:rFonts w:cs="Tahoma"/>
              </w:rPr>
            </w:pPr>
            <w:r w:rsidRPr="003B4D35">
              <w:rPr>
                <w:rFonts w:cs="Tahoma"/>
              </w:rPr>
              <w:t>$158,127,003</w:t>
            </w:r>
          </w:p>
        </w:tc>
      </w:tr>
      <w:tr w:rsidR="00461523" w:rsidRPr="003B4D35" w14:paraId="6831F6BF" w14:textId="77777777" w:rsidTr="004F45F9">
        <w:trPr>
          <w:trHeight w:val="300"/>
        </w:trPr>
        <w:tc>
          <w:tcPr>
            <w:tcW w:w="5000" w:type="pct"/>
            <w:gridSpan w:val="6"/>
            <w:tcBorders>
              <w:top w:val="single" w:sz="4" w:space="0" w:color="auto"/>
              <w:bottom w:val="single" w:sz="4" w:space="0" w:color="auto"/>
            </w:tcBorders>
            <w:noWrap/>
          </w:tcPr>
          <w:p w14:paraId="390AA392" w14:textId="77777777" w:rsidR="00461523" w:rsidRPr="003B4D35" w:rsidRDefault="00461523" w:rsidP="00461523">
            <w:pPr>
              <w:rPr>
                <w:rFonts w:cs="Tahoma"/>
              </w:rPr>
            </w:pPr>
            <w:r w:rsidRPr="003B4D35">
              <w:rPr>
                <w:rFonts w:cs="Tahoma"/>
              </w:rPr>
              <w:t>Switch to SCIg (base-case: 2.5% increase every year)</w:t>
            </w:r>
          </w:p>
        </w:tc>
      </w:tr>
      <w:tr w:rsidR="00461523" w:rsidRPr="003B4D35" w14:paraId="58285C03" w14:textId="77777777" w:rsidTr="004F45F9">
        <w:trPr>
          <w:trHeight w:val="300"/>
        </w:trPr>
        <w:tc>
          <w:tcPr>
            <w:tcW w:w="1569" w:type="pct"/>
            <w:tcBorders>
              <w:top w:val="single" w:sz="4" w:space="0" w:color="auto"/>
              <w:bottom w:val="single" w:sz="4" w:space="0" w:color="auto"/>
            </w:tcBorders>
            <w:noWrap/>
          </w:tcPr>
          <w:p w14:paraId="5FD3EE01" w14:textId="77777777" w:rsidR="00461523" w:rsidRPr="003B4D35" w:rsidRDefault="00461523" w:rsidP="00461523">
            <w:pPr>
              <w:rPr>
                <w:rFonts w:cs="Tahoma"/>
              </w:rPr>
            </w:pPr>
            <w:r w:rsidRPr="003B4D35">
              <w:rPr>
                <w:rFonts w:cs="Tahoma"/>
              </w:rPr>
              <w:t>Flat 5% SCIg use</w:t>
            </w:r>
          </w:p>
        </w:tc>
        <w:tc>
          <w:tcPr>
            <w:tcW w:w="686" w:type="pct"/>
            <w:tcBorders>
              <w:top w:val="single" w:sz="4" w:space="0" w:color="auto"/>
              <w:bottom w:val="single" w:sz="4" w:space="0" w:color="auto"/>
            </w:tcBorders>
            <w:noWrap/>
          </w:tcPr>
          <w:p w14:paraId="605E766D" w14:textId="77777777" w:rsidR="00461523" w:rsidRPr="003B4D35" w:rsidRDefault="00461523" w:rsidP="00461523">
            <w:pPr>
              <w:rPr>
                <w:rFonts w:cs="Tahoma"/>
              </w:rPr>
            </w:pPr>
            <w:r w:rsidRPr="003B4D35">
              <w:rPr>
                <w:rFonts w:cs="Tahoma"/>
              </w:rPr>
              <w:t>$128,181,501</w:t>
            </w:r>
          </w:p>
        </w:tc>
        <w:tc>
          <w:tcPr>
            <w:tcW w:w="686" w:type="pct"/>
            <w:tcBorders>
              <w:top w:val="single" w:sz="4" w:space="0" w:color="auto"/>
              <w:bottom w:val="single" w:sz="4" w:space="0" w:color="auto"/>
            </w:tcBorders>
            <w:noWrap/>
          </w:tcPr>
          <w:p w14:paraId="22F21A2D" w14:textId="77777777" w:rsidR="00461523" w:rsidRPr="003B4D35" w:rsidRDefault="00461523" w:rsidP="00461523">
            <w:pPr>
              <w:rPr>
                <w:rFonts w:cs="Tahoma"/>
              </w:rPr>
            </w:pPr>
            <w:r w:rsidRPr="003B4D35">
              <w:rPr>
                <w:rFonts w:cs="Tahoma"/>
              </w:rPr>
              <w:t>$134,703,745</w:t>
            </w:r>
          </w:p>
        </w:tc>
        <w:tc>
          <w:tcPr>
            <w:tcW w:w="686" w:type="pct"/>
            <w:tcBorders>
              <w:top w:val="single" w:sz="4" w:space="0" w:color="auto"/>
              <w:bottom w:val="single" w:sz="4" w:space="0" w:color="auto"/>
            </w:tcBorders>
            <w:noWrap/>
          </w:tcPr>
          <w:p w14:paraId="3CE2FD60" w14:textId="77777777" w:rsidR="00461523" w:rsidRPr="003B4D35" w:rsidRDefault="00461523" w:rsidP="00461523">
            <w:pPr>
              <w:rPr>
                <w:rFonts w:cs="Tahoma"/>
              </w:rPr>
            </w:pPr>
            <w:r w:rsidRPr="003B4D35">
              <w:rPr>
                <w:rFonts w:cs="Tahoma"/>
              </w:rPr>
              <w:t>$141,104,370</w:t>
            </w:r>
          </w:p>
        </w:tc>
        <w:tc>
          <w:tcPr>
            <w:tcW w:w="686" w:type="pct"/>
            <w:tcBorders>
              <w:top w:val="single" w:sz="4" w:space="0" w:color="auto"/>
              <w:bottom w:val="single" w:sz="4" w:space="0" w:color="auto"/>
            </w:tcBorders>
            <w:noWrap/>
          </w:tcPr>
          <w:p w14:paraId="6B1F1B39" w14:textId="77777777" w:rsidR="00461523" w:rsidRPr="003B4D35" w:rsidRDefault="00461523" w:rsidP="00461523">
            <w:pPr>
              <w:rPr>
                <w:rFonts w:cs="Tahoma"/>
              </w:rPr>
            </w:pPr>
            <w:r w:rsidRPr="003B4D35">
              <w:rPr>
                <w:rFonts w:cs="Tahoma"/>
              </w:rPr>
              <w:t>$147,383,377</w:t>
            </w:r>
          </w:p>
        </w:tc>
        <w:tc>
          <w:tcPr>
            <w:tcW w:w="687" w:type="pct"/>
            <w:tcBorders>
              <w:top w:val="single" w:sz="4" w:space="0" w:color="auto"/>
              <w:bottom w:val="single" w:sz="4" w:space="0" w:color="auto"/>
            </w:tcBorders>
            <w:noWrap/>
          </w:tcPr>
          <w:p w14:paraId="23644143" w14:textId="77777777" w:rsidR="00461523" w:rsidRPr="003B4D35" w:rsidRDefault="00461523" w:rsidP="00461523">
            <w:pPr>
              <w:rPr>
                <w:rFonts w:cs="Tahoma"/>
              </w:rPr>
            </w:pPr>
            <w:r w:rsidRPr="003B4D35">
              <w:rPr>
                <w:rFonts w:cs="Tahoma"/>
              </w:rPr>
              <w:t>$153,540,766</w:t>
            </w:r>
          </w:p>
        </w:tc>
      </w:tr>
      <w:tr w:rsidR="00461523" w:rsidRPr="003B4D35" w14:paraId="0A07585D" w14:textId="77777777" w:rsidTr="004F45F9">
        <w:trPr>
          <w:trHeight w:val="300"/>
        </w:trPr>
        <w:tc>
          <w:tcPr>
            <w:tcW w:w="1569" w:type="pct"/>
            <w:tcBorders>
              <w:top w:val="single" w:sz="4" w:space="0" w:color="auto"/>
              <w:bottom w:val="single" w:sz="4" w:space="0" w:color="auto"/>
            </w:tcBorders>
            <w:noWrap/>
          </w:tcPr>
          <w:p w14:paraId="1F5ED388" w14:textId="77777777" w:rsidR="00461523" w:rsidRPr="003B4D35" w:rsidRDefault="00461523" w:rsidP="00461523">
            <w:pPr>
              <w:rPr>
                <w:rFonts w:cs="Tahoma"/>
              </w:rPr>
            </w:pPr>
            <w:r w:rsidRPr="003B4D35">
              <w:rPr>
                <w:rFonts w:cs="Tahoma"/>
              </w:rPr>
              <w:t>5% increase every year</w:t>
            </w:r>
          </w:p>
        </w:tc>
        <w:tc>
          <w:tcPr>
            <w:tcW w:w="686" w:type="pct"/>
            <w:tcBorders>
              <w:top w:val="single" w:sz="4" w:space="0" w:color="auto"/>
              <w:bottom w:val="single" w:sz="4" w:space="0" w:color="auto"/>
            </w:tcBorders>
            <w:noWrap/>
          </w:tcPr>
          <w:p w14:paraId="13E5C63A" w14:textId="77777777" w:rsidR="00461523" w:rsidRPr="003B4D35" w:rsidRDefault="00461523" w:rsidP="00461523">
            <w:pPr>
              <w:rPr>
                <w:rFonts w:cs="Tahoma"/>
              </w:rPr>
            </w:pPr>
            <w:r w:rsidRPr="003B4D35">
              <w:rPr>
                <w:rFonts w:cs="Tahoma"/>
              </w:rPr>
              <w:t>$128,181,501</w:t>
            </w:r>
          </w:p>
        </w:tc>
        <w:tc>
          <w:tcPr>
            <w:tcW w:w="686" w:type="pct"/>
            <w:tcBorders>
              <w:top w:val="single" w:sz="4" w:space="0" w:color="auto"/>
              <w:bottom w:val="single" w:sz="4" w:space="0" w:color="auto"/>
            </w:tcBorders>
            <w:noWrap/>
          </w:tcPr>
          <w:p w14:paraId="70F24CEC" w14:textId="77777777" w:rsidR="00461523" w:rsidRPr="003B4D35" w:rsidRDefault="00461523" w:rsidP="00461523">
            <w:pPr>
              <w:rPr>
                <w:rFonts w:cs="Tahoma"/>
              </w:rPr>
            </w:pPr>
            <w:r w:rsidRPr="003B4D35">
              <w:rPr>
                <w:rFonts w:cs="Tahoma"/>
              </w:rPr>
              <w:t>$134,265,289</w:t>
            </w:r>
          </w:p>
        </w:tc>
        <w:tc>
          <w:tcPr>
            <w:tcW w:w="686" w:type="pct"/>
            <w:tcBorders>
              <w:top w:val="single" w:sz="4" w:space="0" w:color="auto"/>
              <w:bottom w:val="single" w:sz="4" w:space="0" w:color="auto"/>
            </w:tcBorders>
            <w:noWrap/>
          </w:tcPr>
          <w:p w14:paraId="1A7E003C" w14:textId="77777777" w:rsidR="00461523" w:rsidRPr="003B4D35" w:rsidRDefault="00461523" w:rsidP="00461523">
            <w:pPr>
              <w:rPr>
                <w:rFonts w:cs="Tahoma"/>
              </w:rPr>
            </w:pPr>
            <w:r w:rsidRPr="003B4D35">
              <w:rPr>
                <w:rFonts w:cs="Tahoma"/>
              </w:rPr>
              <w:t>$140,211,096</w:t>
            </w:r>
          </w:p>
        </w:tc>
        <w:tc>
          <w:tcPr>
            <w:tcW w:w="686" w:type="pct"/>
            <w:tcBorders>
              <w:top w:val="single" w:sz="4" w:space="0" w:color="auto"/>
              <w:bottom w:val="single" w:sz="4" w:space="0" w:color="auto"/>
            </w:tcBorders>
            <w:noWrap/>
          </w:tcPr>
          <w:p w14:paraId="6EDBB312" w14:textId="77777777" w:rsidR="00461523" w:rsidRPr="003B4D35" w:rsidRDefault="00461523" w:rsidP="00461523">
            <w:pPr>
              <w:rPr>
                <w:rFonts w:cs="Tahoma"/>
              </w:rPr>
            </w:pPr>
            <w:r w:rsidRPr="003B4D35">
              <w:rPr>
                <w:rFonts w:cs="Tahoma"/>
              </w:rPr>
              <w:t>$146,024,546</w:t>
            </w:r>
          </w:p>
        </w:tc>
        <w:tc>
          <w:tcPr>
            <w:tcW w:w="687" w:type="pct"/>
            <w:tcBorders>
              <w:top w:val="single" w:sz="4" w:space="0" w:color="auto"/>
              <w:bottom w:val="single" w:sz="4" w:space="0" w:color="auto"/>
            </w:tcBorders>
            <w:noWrap/>
          </w:tcPr>
          <w:p w14:paraId="7D7198FF" w14:textId="77777777" w:rsidR="00461523" w:rsidRPr="003B4D35" w:rsidRDefault="00461523" w:rsidP="00461523">
            <w:pPr>
              <w:rPr>
                <w:rFonts w:cs="Tahoma"/>
              </w:rPr>
            </w:pPr>
            <w:r w:rsidRPr="003B4D35">
              <w:rPr>
                <w:rFonts w:cs="Tahoma"/>
              </w:rPr>
              <w:t>$151,711,258</w:t>
            </w:r>
          </w:p>
        </w:tc>
      </w:tr>
    </w:tbl>
    <w:p w14:paraId="56D5A6A6" w14:textId="5B2750CB" w:rsidR="00461523" w:rsidRPr="003B4D35" w:rsidRDefault="00461523" w:rsidP="00CD059B">
      <w:pPr>
        <w:spacing w:after="200"/>
        <w:ind w:right="57"/>
        <w:contextualSpacing/>
        <w:rPr>
          <w:rFonts w:ascii="Arial Narrow" w:eastAsia="Calibri" w:hAnsi="Arial Narrow"/>
          <w:sz w:val="18"/>
          <w:szCs w:val="18"/>
          <w:lang w:eastAsia="en-US"/>
        </w:rPr>
      </w:pPr>
      <w:r w:rsidRPr="003B4D35">
        <w:rPr>
          <w:rFonts w:ascii="Arial Narrow" w:eastAsia="Calibri" w:hAnsi="Arial Narrow"/>
          <w:sz w:val="18"/>
          <w:szCs w:val="18"/>
          <w:vertAlign w:val="superscript"/>
          <w:lang w:eastAsia="en-US"/>
        </w:rPr>
        <w:t>a</w:t>
      </w:r>
      <w:r w:rsidRPr="003B4D35">
        <w:rPr>
          <w:rFonts w:ascii="Arial Narrow" w:eastAsia="Calibri" w:hAnsi="Arial Narrow"/>
          <w:sz w:val="18"/>
          <w:szCs w:val="18"/>
          <w:lang w:eastAsia="en-US"/>
        </w:rPr>
        <w:t xml:space="preserve"> For estimation of the average weighted price per gram within the CIDP indications see </w:t>
      </w:r>
      <w:r w:rsidRPr="003B4D35">
        <w:rPr>
          <w:rFonts w:ascii="Arial Narrow" w:eastAsia="Calibri" w:hAnsi="Arial Narrow"/>
          <w:sz w:val="18"/>
          <w:szCs w:val="18"/>
          <w:lang w:eastAsia="en-US"/>
        </w:rPr>
        <w:fldChar w:fldCharType="begin"/>
      </w:r>
      <w:r w:rsidRPr="003B4D35">
        <w:rPr>
          <w:rFonts w:ascii="Arial Narrow" w:eastAsia="Calibri" w:hAnsi="Arial Narrow"/>
          <w:sz w:val="18"/>
          <w:szCs w:val="18"/>
          <w:lang w:eastAsia="en-US"/>
        </w:rPr>
        <w:instrText xml:space="preserve"> REF _Ref16607859 \h </w:instrText>
      </w:r>
      <w:r w:rsidR="00CD059B" w:rsidRPr="003B4D35">
        <w:rPr>
          <w:rFonts w:ascii="Arial Narrow" w:eastAsia="Calibri" w:hAnsi="Arial Narrow"/>
          <w:sz w:val="18"/>
          <w:szCs w:val="18"/>
          <w:lang w:eastAsia="en-US"/>
        </w:rPr>
        <w:instrText xml:space="preserve"> \* MERGEFORMAT </w:instrText>
      </w:r>
      <w:r w:rsidRPr="003B4D35">
        <w:rPr>
          <w:rFonts w:ascii="Arial Narrow" w:eastAsia="Calibri" w:hAnsi="Arial Narrow"/>
          <w:sz w:val="18"/>
          <w:szCs w:val="18"/>
          <w:lang w:eastAsia="en-US"/>
        </w:rPr>
      </w:r>
      <w:r w:rsidRPr="003B4D35">
        <w:rPr>
          <w:rFonts w:ascii="Arial Narrow" w:eastAsia="Calibri" w:hAnsi="Arial Narrow"/>
          <w:sz w:val="18"/>
          <w:szCs w:val="18"/>
          <w:lang w:eastAsia="en-US"/>
        </w:rPr>
        <w:fldChar w:fldCharType="separate"/>
      </w:r>
      <w:r w:rsidRPr="003B4D35">
        <w:rPr>
          <w:rFonts w:ascii="Arial Narrow" w:eastAsia="Calibri" w:hAnsi="Arial Narrow"/>
          <w:sz w:val="18"/>
          <w:szCs w:val="18"/>
          <w:lang w:eastAsia="en-US"/>
        </w:rPr>
        <w:t xml:space="preserve">Table </w:t>
      </w:r>
      <w:r w:rsidRPr="003B4D35">
        <w:rPr>
          <w:rFonts w:ascii="Arial Narrow" w:eastAsia="Calibri" w:hAnsi="Arial Narrow"/>
          <w:noProof/>
          <w:sz w:val="18"/>
          <w:szCs w:val="18"/>
          <w:lang w:eastAsia="en-US"/>
        </w:rPr>
        <w:t>89</w:t>
      </w:r>
      <w:r w:rsidRPr="003B4D35">
        <w:rPr>
          <w:rFonts w:ascii="Arial Narrow" w:eastAsia="Calibri" w:hAnsi="Arial Narrow"/>
          <w:sz w:val="18"/>
          <w:szCs w:val="18"/>
          <w:lang w:eastAsia="en-US"/>
        </w:rPr>
        <w:fldChar w:fldCharType="end"/>
      </w:r>
      <w:r w:rsidRPr="003B4D35">
        <w:rPr>
          <w:rFonts w:ascii="Arial Narrow" w:eastAsia="Calibri" w:hAnsi="Arial Narrow"/>
          <w:sz w:val="18"/>
          <w:szCs w:val="18"/>
          <w:lang w:eastAsia="en-US"/>
        </w:rPr>
        <w:t>, Appendix H.</w:t>
      </w:r>
    </w:p>
    <w:p w14:paraId="5D67175A" w14:textId="77777777" w:rsidR="00461523" w:rsidRPr="003B4D35" w:rsidRDefault="00461523" w:rsidP="00CD059B">
      <w:pPr>
        <w:spacing w:after="200"/>
        <w:ind w:right="57"/>
        <w:contextualSpacing/>
        <w:rPr>
          <w:rFonts w:ascii="Arial Narrow" w:eastAsia="Calibri" w:hAnsi="Arial Narrow"/>
          <w:sz w:val="18"/>
          <w:szCs w:val="18"/>
          <w:lang w:eastAsia="en-US"/>
        </w:rPr>
      </w:pPr>
      <w:r w:rsidRPr="003B4D35">
        <w:rPr>
          <w:rFonts w:ascii="Arial Narrow" w:eastAsia="Calibri" w:hAnsi="Arial Narrow"/>
          <w:sz w:val="18"/>
          <w:szCs w:val="18"/>
          <w:vertAlign w:val="superscript"/>
          <w:lang w:eastAsia="en-US"/>
        </w:rPr>
        <w:t xml:space="preserve">b </w:t>
      </w:r>
      <w:r w:rsidRPr="003B4D35">
        <w:rPr>
          <w:rFonts w:ascii="Arial Narrow" w:eastAsia="Calibri" w:hAnsi="Arial Narrow"/>
          <w:sz w:val="18"/>
          <w:szCs w:val="18"/>
          <w:lang w:eastAsia="en-US"/>
        </w:rPr>
        <w:t xml:space="preserve">Windegger et al reported $53.54 per week for IVIg ward costs </w:t>
      </w:r>
      <w:r w:rsidRPr="003B4D35">
        <w:rPr>
          <w:rFonts w:ascii="Arial Narrow" w:eastAsia="Calibri" w:hAnsi="Arial Narrow"/>
          <w:sz w:val="18"/>
          <w:szCs w:val="18"/>
          <w:lang w:eastAsia="en-US"/>
        </w:rPr>
        <w:fldChar w:fldCharType="begin">
          <w:fldData xml:space="preserve">PEVuZE5vdGU+PENpdGU+PEF1dGhvcj5XaW5kZWdnZXI8L0F1dGhvcj48WWVhcj4yMDE5PC9ZZWFy
PjxSZWNOdW0+NDI8L1JlY051bT48RGlzcGxheVRleHQ+KFdpbmRlZ2dlciBldCBhbC4gMjAxOSk8
L0Rpc3BsYXlUZXh0PjxyZWNvcmQ+PHJlYy1udW1iZXI+NDI8L3JlYy1udW1iZXI+PGZvcmVpZ24t
a2V5cz48a2V5IGFwcD0iRU4iIGRiLWlkPSJ4dHI1eGZ4MnhmMHdkN2UwczJxdnN0MmlldHh4ZjB0
cHpyOXYiIHRpbWVzdGFtcD0iMTYwMTI3NjM5MCI+NDI8L2tleT48L2ZvcmVpZ24ta2V5cz48cmVm
LXR5cGUgbmFtZT0iSm91cm5hbCBBcnRpY2xlIj4xNzwvcmVmLXR5cGU+PGNvbnRyaWJ1dG9ycz48
YXV0aG9ycz48YXV0aG9yPldpbmRlZ2dlciwgVC4gTS48L2F1dGhvcj48YXV0aG9yPk5naGllbSwg
Uy48L2F1dGhvcj48YXV0aG9yPk5ndXllbiwgSy4gSC48L2F1dGhvcj48YXV0aG9yPkZ1bmcsIFku
IEwuPC9hdXRob3I+PGF1dGhvcj5TY3VmZmhhbSwgUC4gQS48L2F1dGhvcj48L2F1dGhvcnM+PC9j
b250cmlidXRvcnM+PGF1dGgtYWRkcmVzcz5TY2hvb2wgb2YgSGVhbHRoIGFuZCBTcG9ydCBTY2ll
bmNlcywgVW5pdmVyc2l0eSBvZiB0aGUgU3Vuc2hpbmUgQ29hc3QsIFNpcHB5IERvd25zLCBRTEQs
IEF1c3RyYWxpYS4mI3hEO01lbnppZXMgSGVhbHRoIEluc3RpdHV0ZSBRdWVlbnNsYW5kLCBHcmlm
Zml0aCBVbml2ZXJzaXR5LCBOYXRoYW4sIFFMRCwgQXVzdHJhbGlhLiYjeEQ7Q2VudHJlIGZvciBI
ZWFsdGggU2VydmljZXMgUmVzZWFyY2gsIEZhY3VsdHkgb2YgTWVkaWNpbmUsIFRoZSBVbml2ZXJz
aXR5IG9mIFF1ZWVuc2xhbmQsIEJyaXNiYW5lLCBRbGQsIDQwNzIsIEF1c3RyYWxpYS4mI3hEO0hl
YWx0aCBTZXJ2aWNlIFN0cmF0ZWd5IGFuZCBQbGFubmluZywgTWV0cm8gTm9ydGggSG9zcGl0YWwg
YW5kIEhlYWx0aCBTZXJ2aWNlcywgQnJpc2JhbmUsIFFsZCwgNDAyOSwgQXVzdHJhbGlhLjwvYXV0
aC1hZGRyZXNzPjx0aXRsZXM+PHRpdGxlPkNvc3QtdXRpbGl0eSBhbmFseXNpcyBjb21wYXJpbmcg
aG9zcGl0YWwtYmFzZWQgaW50cmF2ZW5vdXMgaW1tdW5vZ2xvYnVsaW4gd2l0aCBob21lLWJhc2Vk
IHN1YmN1dGFuZW91cyBpbW11bm9nbG9idWxpbiBpbiBwYXRpZW50cyB3aXRoIHNlY29uZGFyeSBp
bW11bm9kZWZpY2llbmN5PC90aXRsZT48c2Vjb25kYXJ5LXRpdGxlPlZveCBTYW5nPC9zZWNvbmRh
cnktdGl0bGU+PC90aXRsZXM+PHBlcmlvZGljYWw+PGZ1bGwtdGl0bGU+Vm94IFNhbmc8L2Z1bGwt
dGl0bGU+PC9wZXJpb2RpY2FsPjxwYWdlcz4yMzctMjQ2PC9wYWdlcz48dm9sdW1lPjExNDwvdm9s
dW1lPjxudW1iZXI+MzwvbnVtYmVyPjxlZGl0aW9uPjIwMTkvMDMvMTk8L2VkaXRpb24+PGtleXdv
cmRzPjxrZXl3b3JkPkF1c3RyYWxpYTwva2V5d29yZD48a2V5d29yZD5Db3N0LUJlbmVmaXQgQW5h
bHlzaXM8L2tleXdvcmQ+PGtleXdvcmQ+RmVtYWxlPC9rZXl3b3JkPjxrZXl3b3JkPkhvc3BpdGFs
IENvc3RzPC9rZXl3b3JkPjxrZXl3b3JkPkh1bWFuczwva2V5d29yZD48a2V5d29yZD5JbW11bml6
YXRpb24sIFBhc3NpdmUvIGVjb25vbWljczwva2V5d29yZD48a2V5d29yZD5JbW11bm9nbG9idWxp
bnMsIEludHJhdmVub3VzL2FkbWluaXN0cmF0aW9uICZhbXA7IGRvc2FnZS8gZWNvbm9taWNzL3Ro
ZXJhcGV1dGljIHVzZTwva2V5d29yZD48a2V5d29yZD5JbW11bm9sb2dpYyBEZWZpY2llbmN5IFN5
bmRyb21lcy90aGVyYXB5PC9rZXl3b3JkPjxrZXl3b3JkPk1hbGU8L2tleXdvcmQ+PGtleXdvcmQ+
Y29zdC11dGlsaXR5IGFuYWx5c2lzPC9rZXl3b3JkPjxrZXl3b3JkPmhlYWx0aCBlY29ub21pY3M8
L2tleXdvcmQ+PGtleXdvcmQ+aW50cmF2ZW5vdXMgaW1tdW5vZ2xvYnVsaW48L2tleXdvcmQ+PGtl
eXdvcmQ+bWFsaWduYW5jeTwva2V5d29yZD48a2V5d29yZD5zZWNvbmRhcnkgaW1tdW5vZGVmaWNp
ZW5jeTwva2V5d29yZD48a2V5d29yZD5zdWJjdXRhbmVvdXMgaW1tdW5vZ2xvYnVsaW48L2tleXdv
cmQ+PC9rZXl3b3Jkcz48ZGF0ZXM+PHllYXI+MjAxOTwveWVhcj48cHViLWRhdGVzPjxkYXRlPkFw
cjwvZGF0ZT48L3B1Yi1kYXRlcz48L2RhdGVzPjxpc2JuPjE0MjMtMDQxMCAoRWxlY3Ryb25pYykm
I3hEOzAwNDItOTAwNyAoTGlua2luZyk8L2lzYm4+PGFjY2Vzc2lvbi1udW0+MzA4ODM4MDQ8L2Fj
Y2Vzc2lvbi1udW0+PHVybHM+PHJlbGF0ZWQtdXJscz48dXJsPmh0dHBzOi8vb25saW5lbGlicmFy
eS53aWxleS5jb20vZG9pL3BkZmRpcmVjdC8xMC4xMTExL3ZveC4xMjc2MD9kb3dubG9hZD10cnVl
PC91cmw+PC9yZWxhdGVkLXVybHM+PC91cmxzPjxlbGVjdHJvbmljLXJlc291cmNlLW51bT4xMC4x
MTExL3ZveC4xMjc2MDwvZWxlY3Ryb25pYy1yZXNvdXJjZS1udW0+PHJlbW90ZS1kYXRhYmFzZS1w
cm92aWRlcj5OTE08L3JlbW90ZS1kYXRhYmFzZS1wcm92aWRlcj48bGFuZ3VhZ2U+ZW5nPC9sYW5n
dWFnZT48L3JlY29yZD48L0NpdGU+PC9FbmROb3RlPn==
</w:fldData>
        </w:fldChar>
      </w:r>
      <w:r w:rsidRPr="003B4D35">
        <w:rPr>
          <w:rFonts w:ascii="Arial Narrow" w:eastAsia="Calibri" w:hAnsi="Arial Narrow"/>
          <w:sz w:val="18"/>
          <w:szCs w:val="18"/>
          <w:lang w:eastAsia="en-US"/>
        </w:rPr>
        <w:instrText xml:space="preserve"> ADDIN EN.CITE </w:instrText>
      </w:r>
      <w:r w:rsidRPr="003B4D35">
        <w:rPr>
          <w:rFonts w:ascii="Arial Narrow" w:eastAsia="Calibri" w:hAnsi="Arial Narrow"/>
          <w:sz w:val="18"/>
          <w:szCs w:val="18"/>
          <w:lang w:eastAsia="en-US"/>
        </w:rPr>
        <w:fldChar w:fldCharType="begin">
          <w:fldData xml:space="preserve">PEVuZE5vdGU+PENpdGU+PEF1dGhvcj5XaW5kZWdnZXI8L0F1dGhvcj48WWVhcj4yMDE5PC9ZZWFy
PjxSZWNOdW0+NDI8L1JlY051bT48RGlzcGxheVRleHQ+KFdpbmRlZ2dlciBldCBhbC4gMjAxOSk8
L0Rpc3BsYXlUZXh0PjxyZWNvcmQ+PHJlYy1udW1iZXI+NDI8L3JlYy1udW1iZXI+PGZvcmVpZ24t
a2V5cz48a2V5IGFwcD0iRU4iIGRiLWlkPSJ4dHI1eGZ4MnhmMHdkN2UwczJxdnN0MmlldHh4ZjB0
cHpyOXYiIHRpbWVzdGFtcD0iMTYwMTI3NjM5MCI+NDI8L2tleT48L2ZvcmVpZ24ta2V5cz48cmVm
LXR5cGUgbmFtZT0iSm91cm5hbCBBcnRpY2xlIj4xNzwvcmVmLXR5cGU+PGNvbnRyaWJ1dG9ycz48
YXV0aG9ycz48YXV0aG9yPldpbmRlZ2dlciwgVC4gTS48L2F1dGhvcj48YXV0aG9yPk5naGllbSwg
Uy48L2F1dGhvcj48YXV0aG9yPk5ndXllbiwgSy4gSC48L2F1dGhvcj48YXV0aG9yPkZ1bmcsIFku
IEwuPC9hdXRob3I+PGF1dGhvcj5TY3VmZmhhbSwgUC4gQS48L2F1dGhvcj48L2F1dGhvcnM+PC9j
b250cmlidXRvcnM+PGF1dGgtYWRkcmVzcz5TY2hvb2wgb2YgSGVhbHRoIGFuZCBTcG9ydCBTY2ll
bmNlcywgVW5pdmVyc2l0eSBvZiB0aGUgU3Vuc2hpbmUgQ29hc3QsIFNpcHB5IERvd25zLCBRTEQs
IEF1c3RyYWxpYS4mI3hEO01lbnppZXMgSGVhbHRoIEluc3RpdHV0ZSBRdWVlbnNsYW5kLCBHcmlm
Zml0aCBVbml2ZXJzaXR5LCBOYXRoYW4sIFFMRCwgQXVzdHJhbGlhLiYjeEQ7Q2VudHJlIGZvciBI
ZWFsdGggU2VydmljZXMgUmVzZWFyY2gsIEZhY3VsdHkgb2YgTWVkaWNpbmUsIFRoZSBVbml2ZXJz
aXR5IG9mIFF1ZWVuc2xhbmQsIEJyaXNiYW5lLCBRbGQsIDQwNzIsIEF1c3RyYWxpYS4mI3hEO0hl
YWx0aCBTZXJ2aWNlIFN0cmF0ZWd5IGFuZCBQbGFubmluZywgTWV0cm8gTm9ydGggSG9zcGl0YWwg
YW5kIEhlYWx0aCBTZXJ2aWNlcywgQnJpc2JhbmUsIFFsZCwgNDAyOSwgQXVzdHJhbGlhLjwvYXV0
aC1hZGRyZXNzPjx0aXRsZXM+PHRpdGxlPkNvc3QtdXRpbGl0eSBhbmFseXNpcyBjb21wYXJpbmcg
aG9zcGl0YWwtYmFzZWQgaW50cmF2ZW5vdXMgaW1tdW5vZ2xvYnVsaW4gd2l0aCBob21lLWJhc2Vk
IHN1YmN1dGFuZW91cyBpbW11bm9nbG9idWxpbiBpbiBwYXRpZW50cyB3aXRoIHNlY29uZGFyeSBp
bW11bm9kZWZpY2llbmN5PC90aXRsZT48c2Vjb25kYXJ5LXRpdGxlPlZveCBTYW5nPC9zZWNvbmRh
cnktdGl0bGU+PC90aXRsZXM+PHBlcmlvZGljYWw+PGZ1bGwtdGl0bGU+Vm94IFNhbmc8L2Z1bGwt
dGl0bGU+PC9wZXJpb2RpY2FsPjxwYWdlcz4yMzctMjQ2PC9wYWdlcz48dm9sdW1lPjExNDwvdm9s
dW1lPjxudW1iZXI+MzwvbnVtYmVyPjxlZGl0aW9uPjIwMTkvMDMvMTk8L2VkaXRpb24+PGtleXdv
cmRzPjxrZXl3b3JkPkF1c3RyYWxpYTwva2V5d29yZD48a2V5d29yZD5Db3N0LUJlbmVmaXQgQW5h
bHlzaXM8L2tleXdvcmQ+PGtleXdvcmQ+RmVtYWxlPC9rZXl3b3JkPjxrZXl3b3JkPkhvc3BpdGFs
IENvc3RzPC9rZXl3b3JkPjxrZXl3b3JkPkh1bWFuczwva2V5d29yZD48a2V5d29yZD5JbW11bml6
YXRpb24sIFBhc3NpdmUvIGVjb25vbWljczwva2V5d29yZD48a2V5d29yZD5JbW11bm9nbG9idWxp
bnMsIEludHJhdmVub3VzL2FkbWluaXN0cmF0aW9uICZhbXA7IGRvc2FnZS8gZWNvbm9taWNzL3Ro
ZXJhcGV1dGljIHVzZTwva2V5d29yZD48a2V5d29yZD5JbW11bm9sb2dpYyBEZWZpY2llbmN5IFN5
bmRyb21lcy90aGVyYXB5PC9rZXl3b3JkPjxrZXl3b3JkPk1hbGU8L2tleXdvcmQ+PGtleXdvcmQ+
Y29zdC11dGlsaXR5IGFuYWx5c2lzPC9rZXl3b3JkPjxrZXl3b3JkPmhlYWx0aCBlY29ub21pY3M8
L2tleXdvcmQ+PGtleXdvcmQ+aW50cmF2ZW5vdXMgaW1tdW5vZ2xvYnVsaW48L2tleXdvcmQ+PGtl
eXdvcmQ+bWFsaWduYW5jeTwva2V5d29yZD48a2V5d29yZD5zZWNvbmRhcnkgaW1tdW5vZGVmaWNp
ZW5jeTwva2V5d29yZD48a2V5d29yZD5zdWJjdXRhbmVvdXMgaW1tdW5vZ2xvYnVsaW48L2tleXdv
cmQ+PC9rZXl3b3Jkcz48ZGF0ZXM+PHllYXI+MjAxOTwveWVhcj48cHViLWRhdGVzPjxkYXRlPkFw
cjwvZGF0ZT48L3B1Yi1kYXRlcz48L2RhdGVzPjxpc2JuPjE0MjMtMDQxMCAoRWxlY3Ryb25pYykm
I3hEOzAwNDItOTAwNyAoTGlua2luZyk8L2lzYm4+PGFjY2Vzc2lvbi1udW0+MzA4ODM4MDQ8L2Fj
Y2Vzc2lvbi1udW0+PHVybHM+PHJlbGF0ZWQtdXJscz48dXJsPmh0dHBzOi8vb25saW5lbGlicmFy
eS53aWxleS5jb20vZG9pL3BkZmRpcmVjdC8xMC4xMTExL3ZveC4xMjc2MD9kb3dubG9hZD10cnVl
PC91cmw+PC9yZWxhdGVkLXVybHM+PC91cmxzPjxlbGVjdHJvbmljLXJlc291cmNlLW51bT4xMC4x
MTExL3ZveC4xMjc2MDwvZWxlY3Ryb25pYy1yZXNvdXJjZS1udW0+PHJlbW90ZS1kYXRhYmFzZS1w
cm92aWRlcj5OTE08L3JlbW90ZS1kYXRhYmFzZS1wcm92aWRlcj48bGFuZ3VhZ2U+ZW5nPC9sYW5n
dWFnZT48L3JlY29yZD48L0NpdGU+PC9FbmROb3RlPn==
</w:fldData>
        </w:fldChar>
      </w:r>
      <w:r w:rsidRPr="003B4D35">
        <w:rPr>
          <w:rFonts w:ascii="Arial Narrow" w:eastAsia="Calibri" w:hAnsi="Arial Narrow"/>
          <w:sz w:val="18"/>
          <w:szCs w:val="18"/>
          <w:lang w:eastAsia="en-US"/>
        </w:rPr>
        <w:instrText xml:space="preserve"> ADDIN EN.CITE.DATA </w:instrText>
      </w:r>
      <w:r w:rsidRPr="003B4D35">
        <w:rPr>
          <w:rFonts w:ascii="Arial Narrow" w:eastAsia="Calibri" w:hAnsi="Arial Narrow"/>
          <w:sz w:val="18"/>
          <w:szCs w:val="18"/>
          <w:lang w:eastAsia="en-US"/>
        </w:rPr>
      </w:r>
      <w:r w:rsidRPr="003B4D35">
        <w:rPr>
          <w:rFonts w:ascii="Arial Narrow" w:eastAsia="Calibri" w:hAnsi="Arial Narrow"/>
          <w:sz w:val="18"/>
          <w:szCs w:val="18"/>
          <w:lang w:eastAsia="en-US"/>
        </w:rPr>
        <w:fldChar w:fldCharType="end"/>
      </w:r>
      <w:r w:rsidRPr="003B4D35">
        <w:rPr>
          <w:rFonts w:ascii="Arial Narrow" w:eastAsia="Calibri" w:hAnsi="Arial Narrow"/>
          <w:sz w:val="18"/>
          <w:szCs w:val="18"/>
          <w:lang w:eastAsia="en-US"/>
        </w:rPr>
      </w:r>
      <w:r w:rsidRPr="003B4D35">
        <w:rPr>
          <w:rFonts w:ascii="Arial Narrow" w:eastAsia="Calibri" w:hAnsi="Arial Narrow"/>
          <w:sz w:val="18"/>
          <w:szCs w:val="18"/>
          <w:lang w:eastAsia="en-US"/>
        </w:rPr>
        <w:fldChar w:fldCharType="separate"/>
      </w:r>
      <w:r w:rsidRPr="003B4D35">
        <w:rPr>
          <w:rFonts w:ascii="Arial Narrow" w:eastAsia="Calibri" w:hAnsi="Arial Narrow"/>
          <w:noProof/>
          <w:sz w:val="18"/>
          <w:szCs w:val="18"/>
          <w:lang w:eastAsia="en-US"/>
        </w:rPr>
        <w:t>(</w:t>
      </w:r>
      <w:hyperlink w:anchor="_ENREF_83" w:tooltip="Windegger, 2019 #42" w:history="1">
        <w:r w:rsidRPr="003B4D35">
          <w:rPr>
            <w:rFonts w:ascii="Arial Narrow" w:eastAsia="Calibri" w:hAnsi="Arial Narrow"/>
            <w:noProof/>
            <w:sz w:val="18"/>
            <w:szCs w:val="18"/>
            <w:lang w:eastAsia="en-US"/>
          </w:rPr>
          <w:t>Windegger et al. 2019</w:t>
        </w:r>
      </w:hyperlink>
      <w:r w:rsidRPr="003B4D35">
        <w:rPr>
          <w:rFonts w:ascii="Arial Narrow" w:eastAsia="Calibri" w:hAnsi="Arial Narrow"/>
          <w:noProof/>
          <w:sz w:val="18"/>
          <w:szCs w:val="18"/>
          <w:lang w:eastAsia="en-US"/>
        </w:rPr>
        <w:t>)</w:t>
      </w:r>
      <w:r w:rsidRPr="003B4D35">
        <w:rPr>
          <w:rFonts w:ascii="Arial Narrow" w:eastAsia="Calibri" w:hAnsi="Arial Narrow"/>
          <w:sz w:val="18"/>
          <w:szCs w:val="18"/>
          <w:lang w:eastAsia="en-US"/>
        </w:rPr>
        <w:fldChar w:fldCharType="end"/>
      </w:r>
      <w:r w:rsidRPr="003B4D35">
        <w:rPr>
          <w:rFonts w:ascii="Arial Narrow" w:eastAsia="Calibri" w:hAnsi="Arial Narrow"/>
          <w:sz w:val="18"/>
          <w:szCs w:val="18"/>
          <w:lang w:eastAsia="en-US"/>
        </w:rPr>
        <w:t>, that is $214 for infusions every 4 weeks.</w:t>
      </w:r>
    </w:p>
    <w:p w14:paraId="56F7CADC" w14:textId="77777777" w:rsidR="00461523" w:rsidRPr="003B4D35" w:rsidRDefault="00461523" w:rsidP="00CD059B">
      <w:pPr>
        <w:spacing w:after="200"/>
        <w:ind w:right="57"/>
        <w:contextualSpacing/>
        <w:rPr>
          <w:rFonts w:ascii="Arial Narrow" w:eastAsia="Calibri" w:hAnsi="Arial Narrow"/>
          <w:sz w:val="18"/>
          <w:szCs w:val="18"/>
          <w:lang w:eastAsia="en-US"/>
        </w:rPr>
      </w:pPr>
      <w:r w:rsidRPr="003B4D35">
        <w:rPr>
          <w:rFonts w:ascii="Arial Narrow" w:eastAsia="Calibri" w:hAnsi="Arial Narrow"/>
          <w:sz w:val="18"/>
          <w:szCs w:val="18"/>
          <w:lang w:eastAsia="en-US"/>
        </w:rPr>
        <w:t>Ig = immunoglobulin; IVIg = intravenous immunoglobulin; SCIg = subcutaneous immunoglobulin.</w:t>
      </w:r>
    </w:p>
    <w:p w14:paraId="5A2ABE89" w14:textId="2218D2B5" w:rsidR="006E131E" w:rsidRPr="003B4D35" w:rsidRDefault="006E131E" w:rsidP="00CD059B">
      <w:pPr>
        <w:spacing w:before="120" w:after="120"/>
        <w:rPr>
          <w:rFonts w:ascii="Arial Narrow" w:hAnsi="Arial Narrow"/>
          <w:sz w:val="18"/>
          <w:szCs w:val="18"/>
        </w:rPr>
      </w:pPr>
      <w:r w:rsidRPr="003B4D35">
        <w:rPr>
          <w:rFonts w:ascii="Arial Narrow" w:hAnsi="Arial Narrow"/>
          <w:sz w:val="18"/>
          <w:szCs w:val="18"/>
        </w:rPr>
        <w:t>SOURCE: Table 73 of Mittal R, Milverton J, Schubert C, Parsons J (2021). Immunoglobulin for Chronic Inflammatory Demyelinating Polyneuropathy (CIDP). MSAC Application 1564.1, Re-submission assessment Report. Commonwealth of Australia, Canberra, ACT</w:t>
      </w:r>
    </w:p>
    <w:p w14:paraId="015D334A" w14:textId="7E11144E" w:rsidR="000937E4" w:rsidRPr="003B4D35" w:rsidRDefault="000937E4" w:rsidP="000937E4">
      <w:pPr>
        <w:pStyle w:val="Heading4"/>
        <w:rPr>
          <w:rFonts w:ascii="Times New Roman" w:hAnsi="Times New Roman" w:cs="Times New Roman"/>
          <w:b w:val="0"/>
          <w:color w:val="auto"/>
        </w:rPr>
      </w:pPr>
      <w:r w:rsidRPr="003B4D35">
        <w:rPr>
          <w:rFonts w:ascii="Times New Roman" w:hAnsi="Times New Roman" w:cs="Times New Roman"/>
          <w:b w:val="0"/>
          <w:color w:val="auto"/>
        </w:rPr>
        <w:t>IV and SC administration of Ig</w:t>
      </w:r>
    </w:p>
    <w:p w14:paraId="3ED2CBF3" w14:textId="0D903C3C" w:rsidR="000937E4" w:rsidRPr="003B4D35" w:rsidRDefault="00225710" w:rsidP="008B6093">
      <w:bookmarkStart w:id="48" w:name="_Hlk79050223"/>
      <w:r w:rsidRPr="003B4D35">
        <w:t>In Australia, the majority of patients receive Ig for CIDP by intravenous infusion</w:t>
      </w:r>
      <w:r w:rsidR="000C0B13" w:rsidRPr="003B4D35">
        <w:t xml:space="preserve"> but</w:t>
      </w:r>
      <w:r w:rsidRPr="003B4D35">
        <w:t xml:space="preserve"> SCIg </w:t>
      </w:r>
      <w:r w:rsidR="000704B6" w:rsidRPr="003B4D35">
        <w:t xml:space="preserve">for the treatment of CIDP </w:t>
      </w:r>
      <w:r w:rsidRPr="003B4D35">
        <w:t xml:space="preserve">was approved in August </w:t>
      </w:r>
      <w:r w:rsidR="000704B6" w:rsidRPr="003B4D35">
        <w:t>2019</w:t>
      </w:r>
      <w:r w:rsidRPr="003B4D35">
        <w:t>.</w:t>
      </w:r>
      <w:r w:rsidR="000C0B13" w:rsidRPr="003B4D35">
        <w:t xml:space="preserve"> </w:t>
      </w:r>
      <w:r w:rsidR="000937E4" w:rsidRPr="003B4D35">
        <w:t>The DCAR noted that the impact of dosing route (IV or SC) on total Ig use is uncertain, but it appears more likely that SC administration would be associated with increased Ig use rather than decreased use.</w:t>
      </w:r>
    </w:p>
    <w:p w14:paraId="571D421B" w14:textId="7514BDD6" w:rsidR="00225710" w:rsidRDefault="00225710" w:rsidP="008B6093">
      <w:r w:rsidRPr="003B4D35">
        <w:t xml:space="preserve">Utilisation data from BloodSTAR (Table 78, Appendix G of the updated 1564 DCAR) shows that the average Ig use per patient is lower when patients receiving SCIg are excluded, suggesting higher doses are used in SCIg patients in Australia. However, this </w:t>
      </w:r>
      <w:r w:rsidR="000C0B13" w:rsidRPr="003B4D35">
        <w:t xml:space="preserve">observation </w:t>
      </w:r>
      <w:r w:rsidRPr="003B4D35">
        <w:t>is based on a small, non-comparative, short-term data</w:t>
      </w:r>
      <w:r w:rsidR="000C0B13" w:rsidRPr="003B4D35">
        <w:t xml:space="preserve">set and </w:t>
      </w:r>
      <w:r w:rsidRPr="003B4D35">
        <w:t>should be interpreted with caution as the higher average dose appears to be driven, at least in part, by the particularly large maximum dose in a single patient.</w:t>
      </w:r>
    </w:p>
    <w:p w14:paraId="3631A6EB" w14:textId="4F7D9B9C" w:rsidR="00225710" w:rsidRPr="00B02E35" w:rsidRDefault="00225710" w:rsidP="008B6093">
      <w:r>
        <w:t>As stated in the DCAR, the mean dose equivalence of IV and SC Ig in practice is not well defined. I</w:t>
      </w:r>
      <w:r w:rsidR="000937E4">
        <w:t>n the US a SC:IV dose ratio of 1.37:1 is recommended, whereas the European Union approves a 1:1 ratio. In a small UK study of eight patients with CIDP/</w:t>
      </w:r>
      <w:r w:rsidR="000937E4" w:rsidRPr="000E387B">
        <w:t xml:space="preserve"> multifocal motor neuropathy</w:t>
      </w:r>
      <w:r w:rsidR="000937E4">
        <w:t xml:space="preserve"> </w:t>
      </w:r>
      <w:r w:rsidR="000937E4">
        <w:fldChar w:fldCharType="begin"/>
      </w:r>
      <w:r w:rsidR="000937E4">
        <w:instrText xml:space="preserve"> ADDIN EN.CITE &lt;EndNote&gt;&lt;Cite&gt;&lt;Author&gt;Hadden&lt;/Author&gt;&lt;Year&gt;2015&lt;/Year&gt;&lt;RecNum&gt;1967&lt;/RecNum&gt;&lt;DisplayText&gt;(Hadden &amp;amp; Marreno 2015)&lt;/DisplayText&gt;&lt;record&gt;&lt;rec-number&gt;1967&lt;/rec-number&gt;&lt;foreign-keys&gt;&lt;key app="EN" db-id="xtr5xfx2xf0wd7e0s2qvst2ietxxf0tpzr9v" timestamp="1617256182"&gt;1967&lt;/key&gt;&lt;/foreign-keys&gt;&lt;ref-type name="Journal Article"&gt;17&lt;/ref-type&gt;&lt;contributors&gt;&lt;authors&gt;&lt;author&gt;Hadden, Robert D. M.&lt;/author&gt;&lt;author&gt;Marreno, Fabrizio&lt;/author&gt;&lt;/authors&gt;&lt;/contributors&gt;&lt;titles&gt;&lt;title&gt;Switch from intravenous to subcutaneous immunoglobulin in CIDP and MMN: improved tolerability and patient satisfaction&lt;/title&gt;&lt;secondary-title&gt;Therapeutic advances in neurological disorders&lt;/secondary-title&gt;&lt;alt-title&gt;Ther Adv Neurol Disord&lt;/alt-title&gt;&lt;/titles&gt;&lt;periodical&gt;&lt;full-title&gt;Therapeutic advances in neurological disorders&lt;/full-title&gt;&lt;abbr-1&gt;Ther Adv Neurol Disord&lt;/abbr-1&gt;&lt;/periodical&gt;&lt;alt-periodical&gt;&lt;full-title&gt;Therapeutic advances in neurological disorders&lt;/full-title&gt;&lt;abbr-1&gt;Ther Adv Neurol Disord&lt;/abbr-1&gt;&lt;/alt-periodical&gt;&lt;pages&gt;14-19&lt;/pages&gt;&lt;volume&gt;8&lt;/volume&gt;&lt;number&gt;1&lt;/number&gt;&lt;keywords&gt;&lt;keyword&gt;chronic inflammatory demyelinating polyradiculoneuropathy&lt;/keyword&gt;&lt;keyword&gt;intravenous immunoglobulins&lt;/keyword&gt;&lt;keyword&gt;multifocal motor neuropathy&lt;/keyword&gt;&lt;keyword&gt;subcutaneous immunoglobulins&lt;/keyword&gt;&lt;/keywords&gt;&lt;dates&gt;&lt;year&gt;2015&lt;/year&gt;&lt;/dates&gt;&lt;publisher&gt;SAGE Publications&lt;/publisher&gt;&lt;isbn&gt;1756-2856&amp;#xD;1756-2864&lt;/isbn&gt;&lt;accession-num&gt;25584070&lt;/accession-num&gt;&lt;urls&gt;&lt;related-urls&gt;&lt;url&gt;https://pubmed.ncbi.nlm.nih.gov/25584070&lt;/url&gt;&lt;url&gt;https://www.ncbi.nlm.nih.gov/pmc/articles/PMC4286942/&lt;/url&gt;&lt;/related-urls&gt;&lt;/urls&gt;&lt;electronic-resource-num&gt;10.1177/1756285614563056&lt;/electronic-resource-num&gt;&lt;remote-database-name&gt;PubMed&lt;/remote-database-name&gt;&lt;language&gt;eng&lt;/language&gt;&lt;/record&gt;&lt;/Cite&gt;&lt;/EndNote&gt;</w:instrText>
      </w:r>
      <w:r w:rsidR="000937E4">
        <w:fldChar w:fldCharType="separate"/>
      </w:r>
      <w:r w:rsidR="000937E4">
        <w:rPr>
          <w:noProof/>
        </w:rPr>
        <w:t>(</w:t>
      </w:r>
      <w:hyperlink w:anchor="_ENREF_23" w:tooltip="Hadden, 2015 #1967" w:history="1">
        <w:r w:rsidR="000937E4">
          <w:rPr>
            <w:noProof/>
          </w:rPr>
          <w:t>Hadden &amp; Marreno 2015</w:t>
        </w:r>
      </w:hyperlink>
      <w:r w:rsidR="000937E4">
        <w:rPr>
          <w:noProof/>
        </w:rPr>
        <w:t>)</w:t>
      </w:r>
      <w:r w:rsidR="000937E4">
        <w:fldChar w:fldCharType="end"/>
      </w:r>
      <w:r w:rsidR="000937E4">
        <w:t xml:space="preserve"> who switched from IVIg to SCIg, the ratio </w:t>
      </w:r>
      <w:r w:rsidR="00E93998">
        <w:t xml:space="preserve">of mean SCIg to IVIg dose </w:t>
      </w:r>
      <w:r w:rsidR="000937E4">
        <w:t>was 1.024:1, and a larger US analysis of real-world data in 278 switching patients (</w:t>
      </w:r>
      <w:r>
        <w:t>with primary immunodeficiency diseases) indicated a stabilised ratio of 1.05:1, four months after switching.</w:t>
      </w:r>
    </w:p>
    <w:bookmarkEnd w:id="48"/>
    <w:p w14:paraId="6910941D" w14:textId="77777777" w:rsidR="008B6093" w:rsidRDefault="008B6093" w:rsidP="008B6093">
      <w:pPr>
        <w:pStyle w:val="Heading1"/>
        <w:rPr>
          <w:rFonts w:ascii="Arial" w:hAnsi="Arial" w:cs="Arial"/>
        </w:rPr>
      </w:pPr>
      <w:r>
        <w:rPr>
          <w:rFonts w:ascii="Arial" w:hAnsi="Arial" w:cs="Arial"/>
        </w:rPr>
        <w:lastRenderedPageBreak/>
        <w:t>Key issues from ESC for MSAC</w:t>
      </w:r>
    </w:p>
    <w:tbl>
      <w:tblPr>
        <w:tblStyle w:val="TableGrid"/>
        <w:tblW w:w="0" w:type="auto"/>
        <w:tblLook w:val="04A0" w:firstRow="1" w:lastRow="0" w:firstColumn="1" w:lastColumn="0" w:noHBand="0" w:noVBand="1"/>
      </w:tblPr>
      <w:tblGrid>
        <w:gridCol w:w="4372"/>
        <w:gridCol w:w="4644"/>
      </w:tblGrid>
      <w:tr w:rsidR="00A36DE2" w:rsidRPr="008B6093" w14:paraId="089A5409" w14:textId="77777777" w:rsidTr="00A36DE2">
        <w:trPr>
          <w:trHeight w:val="556"/>
          <w:tblHeader/>
        </w:trPr>
        <w:tc>
          <w:tcPr>
            <w:tcW w:w="4372" w:type="dxa"/>
            <w:tcBorders>
              <w:top w:val="single" w:sz="4" w:space="0" w:color="auto"/>
              <w:left w:val="single" w:sz="4" w:space="0" w:color="auto"/>
              <w:bottom w:val="single" w:sz="4" w:space="0" w:color="auto"/>
              <w:right w:val="single" w:sz="4" w:space="0" w:color="auto"/>
            </w:tcBorders>
            <w:vAlign w:val="center"/>
            <w:hideMark/>
          </w:tcPr>
          <w:p w14:paraId="4C23193C" w14:textId="77777777" w:rsidR="00A36DE2" w:rsidRPr="008B6093" w:rsidRDefault="00A36DE2" w:rsidP="009A5DF3">
            <w:pPr>
              <w:spacing w:before="0"/>
              <w:rPr>
                <w:rFonts w:ascii="Times New Roman" w:hAnsi="Times New Roman"/>
                <w:b/>
                <w:szCs w:val="22"/>
              </w:rPr>
            </w:pPr>
            <w:r w:rsidRPr="008B6093">
              <w:rPr>
                <w:rFonts w:ascii="Times New Roman" w:hAnsi="Times New Roman"/>
                <w:b/>
                <w:szCs w:val="22"/>
              </w:rPr>
              <w:t>ESC key issue</w:t>
            </w:r>
          </w:p>
        </w:tc>
        <w:tc>
          <w:tcPr>
            <w:tcW w:w="4644" w:type="dxa"/>
            <w:tcBorders>
              <w:top w:val="single" w:sz="4" w:space="0" w:color="auto"/>
              <w:left w:val="single" w:sz="4" w:space="0" w:color="auto"/>
              <w:bottom w:val="single" w:sz="4" w:space="0" w:color="auto"/>
              <w:right w:val="single" w:sz="4" w:space="0" w:color="auto"/>
            </w:tcBorders>
            <w:vAlign w:val="center"/>
            <w:hideMark/>
          </w:tcPr>
          <w:p w14:paraId="798BF09B" w14:textId="77777777" w:rsidR="00A36DE2" w:rsidRPr="008B6093" w:rsidRDefault="00A36DE2" w:rsidP="009A5DF3">
            <w:pPr>
              <w:spacing w:before="0"/>
              <w:rPr>
                <w:rFonts w:ascii="Times New Roman" w:hAnsi="Times New Roman"/>
                <w:b/>
                <w:szCs w:val="22"/>
              </w:rPr>
            </w:pPr>
            <w:r w:rsidRPr="008B6093">
              <w:rPr>
                <w:rFonts w:ascii="Times New Roman" w:hAnsi="Times New Roman"/>
                <w:b/>
                <w:szCs w:val="22"/>
              </w:rPr>
              <w:t>ESC advice to MSAC</w:t>
            </w:r>
          </w:p>
        </w:tc>
      </w:tr>
      <w:tr w:rsidR="00A36DE2" w:rsidRPr="008B6093" w14:paraId="23391539" w14:textId="77777777" w:rsidTr="00A36DE2">
        <w:trPr>
          <w:trHeight w:val="679"/>
        </w:trPr>
        <w:tc>
          <w:tcPr>
            <w:tcW w:w="4372" w:type="dxa"/>
            <w:tcBorders>
              <w:top w:val="single" w:sz="4" w:space="0" w:color="auto"/>
              <w:left w:val="single" w:sz="4" w:space="0" w:color="auto"/>
              <w:bottom w:val="single" w:sz="4" w:space="0" w:color="auto"/>
              <w:right w:val="single" w:sz="4" w:space="0" w:color="auto"/>
            </w:tcBorders>
          </w:tcPr>
          <w:p w14:paraId="23969C23"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Does the revised economic model address the concerns previously raised by MSAC?</w:t>
            </w:r>
          </w:p>
        </w:tc>
        <w:tc>
          <w:tcPr>
            <w:tcW w:w="4644" w:type="dxa"/>
            <w:tcBorders>
              <w:top w:val="single" w:sz="4" w:space="0" w:color="auto"/>
              <w:left w:val="single" w:sz="4" w:space="0" w:color="auto"/>
              <w:bottom w:val="single" w:sz="4" w:space="0" w:color="auto"/>
              <w:right w:val="single" w:sz="4" w:space="0" w:color="auto"/>
            </w:tcBorders>
          </w:tcPr>
          <w:p w14:paraId="63F0AD66" w14:textId="77777777" w:rsidR="00A36DE2" w:rsidRPr="008B6093" w:rsidRDefault="00A36DE2" w:rsidP="009A5DF3">
            <w:pPr>
              <w:spacing w:before="0"/>
              <w:rPr>
                <w:rFonts w:ascii="Times New Roman" w:hAnsi="Times New Roman"/>
                <w:szCs w:val="22"/>
                <w:lang w:val="en-US"/>
              </w:rPr>
            </w:pPr>
            <w:r w:rsidRPr="008B6093">
              <w:rPr>
                <w:rFonts w:ascii="Times New Roman" w:hAnsi="Times New Roman"/>
                <w:szCs w:val="22"/>
                <w:lang w:val="en-US"/>
              </w:rPr>
              <w:t>ESC advises that the specific issues raised by MSAC with respect to the economic model presented in the original DCAR have been addressed in the revised report.</w:t>
            </w:r>
          </w:p>
        </w:tc>
      </w:tr>
      <w:tr w:rsidR="00A36DE2" w:rsidRPr="008B6093" w14:paraId="76AF725F" w14:textId="77777777" w:rsidTr="00A36DE2">
        <w:trPr>
          <w:trHeight w:val="679"/>
        </w:trPr>
        <w:tc>
          <w:tcPr>
            <w:tcW w:w="4372" w:type="dxa"/>
            <w:tcBorders>
              <w:top w:val="single" w:sz="4" w:space="0" w:color="auto"/>
              <w:left w:val="single" w:sz="4" w:space="0" w:color="auto"/>
              <w:bottom w:val="single" w:sz="4" w:space="0" w:color="auto"/>
              <w:right w:val="single" w:sz="4" w:space="0" w:color="auto"/>
            </w:tcBorders>
          </w:tcPr>
          <w:p w14:paraId="5FEFE626"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Do the eligibility criteria outlined in the Criteria V3 reflect the currently available evidence and best clinical practice?</w:t>
            </w:r>
          </w:p>
        </w:tc>
        <w:tc>
          <w:tcPr>
            <w:tcW w:w="4644" w:type="dxa"/>
            <w:tcBorders>
              <w:top w:val="single" w:sz="4" w:space="0" w:color="auto"/>
              <w:left w:val="single" w:sz="4" w:space="0" w:color="auto"/>
              <w:bottom w:val="single" w:sz="4" w:space="0" w:color="auto"/>
              <w:right w:val="single" w:sz="4" w:space="0" w:color="auto"/>
            </w:tcBorders>
          </w:tcPr>
          <w:p w14:paraId="115D33B9"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 xml:space="preserve">ESC considered that the eligibility V3 Criteria reflect the current clinical standard and further evidence would be required to suggest changes to the algorithm. </w:t>
            </w:r>
          </w:p>
          <w:p w14:paraId="3F95F39C"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 xml:space="preserve">The current eligible population treated with Ig was largely captured in the trials, noting that children were excluded from trials. </w:t>
            </w:r>
          </w:p>
        </w:tc>
      </w:tr>
      <w:tr w:rsidR="00A36DE2" w:rsidRPr="008B6093" w14:paraId="21AECF1D" w14:textId="77777777" w:rsidTr="00A36DE2">
        <w:trPr>
          <w:trHeight w:val="679"/>
        </w:trPr>
        <w:tc>
          <w:tcPr>
            <w:tcW w:w="4372" w:type="dxa"/>
            <w:tcBorders>
              <w:top w:val="single" w:sz="4" w:space="0" w:color="auto"/>
              <w:left w:val="single" w:sz="4" w:space="0" w:color="auto"/>
              <w:bottom w:val="single" w:sz="4" w:space="0" w:color="auto"/>
              <w:right w:val="single" w:sz="4" w:space="0" w:color="auto"/>
            </w:tcBorders>
          </w:tcPr>
          <w:p w14:paraId="43C3AA63" w14:textId="397B31D8" w:rsidR="00A36DE2" w:rsidRPr="008B6093" w:rsidRDefault="00A36DE2" w:rsidP="009A5DF3">
            <w:pPr>
              <w:spacing w:before="0"/>
              <w:rPr>
                <w:rFonts w:ascii="Times New Roman" w:hAnsi="Times New Roman"/>
              </w:rPr>
            </w:pPr>
            <w:r w:rsidRPr="008B6093">
              <w:rPr>
                <w:rFonts w:ascii="Times New Roman" w:hAnsi="Times New Roman"/>
              </w:rPr>
              <w:t>The revised DCAR did not identify any additional randomised control trial (RCT) evidence comparing Ig with</w:t>
            </w:r>
            <w:r w:rsidR="005764BC">
              <w:rPr>
                <w:rFonts w:ascii="Times New Roman" w:hAnsi="Times New Roman"/>
              </w:rPr>
              <w:t xml:space="preserve"> corticosteroids</w:t>
            </w:r>
            <w:r w:rsidRPr="008B6093">
              <w:rPr>
                <w:rFonts w:ascii="Times New Roman" w:hAnsi="Times New Roman"/>
              </w:rPr>
              <w:t>, plasma exchange (PE), immunosuppressants, or combination therapies for CIDP.</w:t>
            </w:r>
          </w:p>
        </w:tc>
        <w:tc>
          <w:tcPr>
            <w:tcW w:w="4644" w:type="dxa"/>
            <w:tcBorders>
              <w:top w:val="single" w:sz="4" w:space="0" w:color="auto"/>
              <w:left w:val="single" w:sz="4" w:space="0" w:color="auto"/>
              <w:bottom w:val="single" w:sz="4" w:space="0" w:color="auto"/>
              <w:right w:val="single" w:sz="4" w:space="0" w:color="auto"/>
            </w:tcBorders>
          </w:tcPr>
          <w:p w14:paraId="446C65D1" w14:textId="77777777" w:rsidR="00A36DE2" w:rsidRPr="008B6093" w:rsidRDefault="00A36DE2" w:rsidP="009A5DF3">
            <w:pPr>
              <w:spacing w:before="0"/>
              <w:rPr>
                <w:rFonts w:ascii="Times New Roman" w:hAnsi="Times New Roman"/>
              </w:rPr>
            </w:pPr>
            <w:r w:rsidRPr="008B6093">
              <w:rPr>
                <w:rFonts w:ascii="Times New Roman" w:hAnsi="Times New Roman"/>
                <w:szCs w:val="22"/>
              </w:rPr>
              <w:t>The evidence base for Ig therapy in patients with CIDP was concluded to be very small and of low quality.  No additional RCT evidence was identified and there is no change to the clinical claims.</w:t>
            </w:r>
            <w:r w:rsidRPr="008B6093">
              <w:rPr>
                <w:rFonts w:ascii="Times New Roman" w:hAnsi="Times New Roman"/>
              </w:rPr>
              <w:t xml:space="preserve"> </w:t>
            </w:r>
          </w:p>
          <w:p w14:paraId="0D8AD234" w14:textId="46340DB3" w:rsidR="00A36DE2" w:rsidRPr="008B6093" w:rsidRDefault="00A36DE2" w:rsidP="009A5DF3">
            <w:pPr>
              <w:spacing w:before="0"/>
              <w:rPr>
                <w:rFonts w:ascii="Times New Roman" w:hAnsi="Times New Roman"/>
                <w:szCs w:val="22"/>
              </w:rPr>
            </w:pPr>
            <w:r w:rsidRPr="008B6093">
              <w:rPr>
                <w:rFonts w:ascii="Times New Roman" w:hAnsi="Times New Roman"/>
              </w:rPr>
              <w:t xml:space="preserve">ESC considered that funding of </w:t>
            </w:r>
            <w:r w:rsidRPr="008B6093">
              <w:rPr>
                <w:rFonts w:ascii="Times New Roman" w:hAnsi="Times New Roman"/>
                <w:szCs w:val="22"/>
              </w:rPr>
              <w:t>RCTs should be explored to assess safety and effectiveness of Ig versus plasma exchange, immunosuppressants / immunomodulatory drugs (excluding</w:t>
            </w:r>
            <w:r w:rsidR="005764BC">
              <w:rPr>
                <w:rFonts w:ascii="Times New Roman" w:hAnsi="Times New Roman"/>
                <w:szCs w:val="22"/>
              </w:rPr>
              <w:t xml:space="preserve"> corticosteroids</w:t>
            </w:r>
            <w:r w:rsidRPr="008B6093">
              <w:rPr>
                <w:rFonts w:ascii="Times New Roman" w:hAnsi="Times New Roman"/>
                <w:szCs w:val="22"/>
              </w:rPr>
              <w:t>) and combination therapy.</w:t>
            </w:r>
          </w:p>
        </w:tc>
      </w:tr>
      <w:tr w:rsidR="00A36DE2" w:rsidRPr="008B6093" w14:paraId="692DC159" w14:textId="77777777" w:rsidTr="00A36DE2">
        <w:trPr>
          <w:trHeight w:val="679"/>
        </w:trPr>
        <w:tc>
          <w:tcPr>
            <w:tcW w:w="4372" w:type="dxa"/>
            <w:tcBorders>
              <w:top w:val="single" w:sz="4" w:space="0" w:color="auto"/>
              <w:left w:val="single" w:sz="4" w:space="0" w:color="auto"/>
              <w:bottom w:val="single" w:sz="4" w:space="0" w:color="auto"/>
              <w:right w:val="single" w:sz="4" w:space="0" w:color="auto"/>
            </w:tcBorders>
          </w:tcPr>
          <w:p w14:paraId="4A4C442E"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There were few differences in effectiveness or safety between the dosing of SCIg 0.2 g/kg and 0.4 g/kg.</w:t>
            </w:r>
          </w:p>
        </w:tc>
        <w:tc>
          <w:tcPr>
            <w:tcW w:w="4644" w:type="dxa"/>
            <w:tcBorders>
              <w:top w:val="single" w:sz="4" w:space="0" w:color="auto"/>
              <w:left w:val="single" w:sz="4" w:space="0" w:color="auto"/>
              <w:bottom w:val="single" w:sz="4" w:space="0" w:color="auto"/>
              <w:right w:val="single" w:sz="4" w:space="0" w:color="auto"/>
            </w:tcBorders>
          </w:tcPr>
          <w:p w14:paraId="6AE07ED6"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MSAC may want to consider whether a recommendation should be made to either:</w:t>
            </w:r>
          </w:p>
          <w:p w14:paraId="416EC7AF" w14:textId="77777777" w:rsidR="00A36DE2" w:rsidRPr="008B6093" w:rsidRDefault="00A36DE2" w:rsidP="009A5DF3">
            <w:pPr>
              <w:pStyle w:val="ListParagraph"/>
              <w:numPr>
                <w:ilvl w:val="0"/>
                <w:numId w:val="21"/>
              </w:numPr>
              <w:spacing w:before="0"/>
              <w:contextualSpacing w:val="0"/>
              <w:rPr>
                <w:rFonts w:ascii="Times New Roman" w:hAnsi="Times New Roman"/>
                <w:szCs w:val="22"/>
              </w:rPr>
            </w:pPr>
            <w:r w:rsidRPr="008B6093">
              <w:rPr>
                <w:rFonts w:ascii="Times New Roman" w:hAnsi="Times New Roman"/>
                <w:szCs w:val="22"/>
              </w:rPr>
              <w:t xml:space="preserve">start treatment at the lower SCIg dose (0.2 g/kg) and increase if required; or </w:t>
            </w:r>
          </w:p>
          <w:p w14:paraId="51EF6CCC" w14:textId="77777777" w:rsidR="00A36DE2" w:rsidRPr="008B6093" w:rsidRDefault="00A36DE2" w:rsidP="009A5DF3">
            <w:pPr>
              <w:pStyle w:val="ListParagraph"/>
              <w:numPr>
                <w:ilvl w:val="0"/>
                <w:numId w:val="21"/>
              </w:numPr>
              <w:spacing w:before="0"/>
              <w:contextualSpacing w:val="0"/>
              <w:rPr>
                <w:rFonts w:ascii="Times New Roman" w:hAnsi="Times New Roman"/>
                <w:szCs w:val="22"/>
              </w:rPr>
            </w:pPr>
            <w:r w:rsidRPr="008B6093">
              <w:rPr>
                <w:rFonts w:ascii="Times New Roman" w:hAnsi="Times New Roman"/>
                <w:szCs w:val="22"/>
              </w:rPr>
              <w:t>start at the higher dose (0.4 g/kg) and reduce the dose when the patient’s condition is stable.</w:t>
            </w:r>
          </w:p>
        </w:tc>
      </w:tr>
      <w:tr w:rsidR="00A36DE2" w:rsidRPr="008B6093" w14:paraId="3E9E9016" w14:textId="77777777" w:rsidTr="00A36DE2">
        <w:trPr>
          <w:trHeight w:val="679"/>
        </w:trPr>
        <w:tc>
          <w:tcPr>
            <w:tcW w:w="4372" w:type="dxa"/>
            <w:tcBorders>
              <w:top w:val="single" w:sz="4" w:space="0" w:color="auto"/>
              <w:left w:val="single" w:sz="4" w:space="0" w:color="auto"/>
              <w:bottom w:val="single" w:sz="4" w:space="0" w:color="auto"/>
              <w:right w:val="single" w:sz="4" w:space="0" w:color="auto"/>
            </w:tcBorders>
          </w:tcPr>
          <w:p w14:paraId="1B5F5B1C"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Two IVIg dose and interval regimens (normal individualised dose and interval, and half the individualised dose at half the interval) showed similar safety and effectiveness when compared in a cross-over RCT</w:t>
            </w:r>
          </w:p>
        </w:tc>
        <w:tc>
          <w:tcPr>
            <w:tcW w:w="4644" w:type="dxa"/>
            <w:tcBorders>
              <w:top w:val="single" w:sz="4" w:space="0" w:color="auto"/>
              <w:left w:val="single" w:sz="4" w:space="0" w:color="auto"/>
              <w:bottom w:val="single" w:sz="4" w:space="0" w:color="auto"/>
              <w:right w:val="single" w:sz="4" w:space="0" w:color="auto"/>
            </w:tcBorders>
          </w:tcPr>
          <w:p w14:paraId="34370A9A"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MSAC may wish to provide advice on whether it is appropriate for more flexible dosing regimens to be offered to patients with CIDP receiving IVIg. The Criteria currently allows for flexibility in dosing between 0.4 and 2.0 g/kg per 6 weeks for IVIg.</w:t>
            </w:r>
          </w:p>
        </w:tc>
      </w:tr>
      <w:tr w:rsidR="00A36DE2" w:rsidRPr="008B6093" w14:paraId="6B775356" w14:textId="77777777" w:rsidTr="00A36DE2">
        <w:trPr>
          <w:trHeight w:val="679"/>
        </w:trPr>
        <w:tc>
          <w:tcPr>
            <w:tcW w:w="4372" w:type="dxa"/>
            <w:tcBorders>
              <w:top w:val="single" w:sz="4" w:space="0" w:color="auto"/>
              <w:left w:val="single" w:sz="4" w:space="0" w:color="auto"/>
              <w:bottom w:val="single" w:sz="4" w:space="0" w:color="auto"/>
              <w:right w:val="single" w:sz="4" w:space="0" w:color="auto"/>
            </w:tcBorders>
          </w:tcPr>
          <w:p w14:paraId="640A632C" w14:textId="77777777" w:rsidR="00A36DE2" w:rsidRPr="008B6093" w:rsidRDefault="00A36DE2" w:rsidP="009A5DF3">
            <w:pPr>
              <w:spacing w:before="0"/>
              <w:rPr>
                <w:rFonts w:ascii="Times New Roman" w:hAnsi="Times New Roman"/>
                <w:szCs w:val="22"/>
              </w:rPr>
            </w:pPr>
            <w:bookmarkStart w:id="49" w:name="_Hlk75352061"/>
            <w:r w:rsidRPr="008B6093">
              <w:rPr>
                <w:rFonts w:ascii="Times New Roman" w:hAnsi="Times New Roman"/>
                <w:szCs w:val="22"/>
              </w:rPr>
              <w:t>Since this revised DCAR commenced, the applicant has procured new contracts for the supply of imported Ig products, affecting the price of Ig.</w:t>
            </w:r>
          </w:p>
        </w:tc>
        <w:tc>
          <w:tcPr>
            <w:tcW w:w="4644" w:type="dxa"/>
            <w:tcBorders>
              <w:top w:val="single" w:sz="4" w:space="0" w:color="auto"/>
              <w:left w:val="single" w:sz="4" w:space="0" w:color="auto"/>
              <w:bottom w:val="single" w:sz="4" w:space="0" w:color="auto"/>
              <w:right w:val="single" w:sz="4" w:space="0" w:color="auto"/>
            </w:tcBorders>
          </w:tcPr>
          <w:p w14:paraId="7D8B7E40"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ESC advised that, should the current prices for Ig be substantially different to those already considered in the DCAR, then MSAC should have visibility of the new prices.</w:t>
            </w:r>
          </w:p>
        </w:tc>
      </w:tr>
      <w:bookmarkEnd w:id="49"/>
      <w:tr w:rsidR="00A36DE2" w:rsidRPr="008B6093" w14:paraId="69E5435C" w14:textId="77777777" w:rsidTr="00A36DE2">
        <w:trPr>
          <w:trHeight w:val="679"/>
        </w:trPr>
        <w:tc>
          <w:tcPr>
            <w:tcW w:w="4372" w:type="dxa"/>
          </w:tcPr>
          <w:p w14:paraId="5BC4EE45"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Is Ig a cost-effective treatment for patients with CIDP?</w:t>
            </w:r>
          </w:p>
        </w:tc>
        <w:tc>
          <w:tcPr>
            <w:tcW w:w="4644" w:type="dxa"/>
          </w:tcPr>
          <w:p w14:paraId="2CF5B9CA" w14:textId="1C575EA8" w:rsidR="00A36DE2" w:rsidRPr="008B6093" w:rsidRDefault="00A36DE2" w:rsidP="009A5DF3">
            <w:pPr>
              <w:spacing w:before="0"/>
              <w:rPr>
                <w:rFonts w:ascii="Times New Roman" w:hAnsi="Times New Roman"/>
                <w:szCs w:val="22"/>
              </w:rPr>
            </w:pPr>
            <w:r w:rsidRPr="008B6093">
              <w:rPr>
                <w:rFonts w:ascii="Times New Roman" w:hAnsi="Times New Roman"/>
                <w:szCs w:val="22"/>
              </w:rPr>
              <w:t>ESC considered the ICER was high and uncertain for the comparison of Ig versus</w:t>
            </w:r>
            <w:r w:rsidR="005764BC">
              <w:rPr>
                <w:rFonts w:ascii="Times New Roman" w:hAnsi="Times New Roman"/>
                <w:szCs w:val="22"/>
              </w:rPr>
              <w:t xml:space="preserve"> corticosteroids</w:t>
            </w:r>
            <w:r w:rsidRPr="008B6093">
              <w:rPr>
                <w:rFonts w:ascii="Times New Roman" w:hAnsi="Times New Roman"/>
                <w:szCs w:val="22"/>
              </w:rPr>
              <w:t>. The cost per gram of Ig remains a key driver in this model, however the base-case ICER in the revised model ($116,088/QALY) is significantly lower than that in the previous DCAR ($197,472). This is driven by the assumptions on SAEs associated with long-term</w:t>
            </w:r>
            <w:r w:rsidR="005764BC">
              <w:rPr>
                <w:rFonts w:ascii="Times New Roman" w:hAnsi="Times New Roman"/>
                <w:szCs w:val="22"/>
              </w:rPr>
              <w:t xml:space="preserve"> corticosteroid</w:t>
            </w:r>
            <w:r w:rsidRPr="008B6093">
              <w:rPr>
                <w:rFonts w:ascii="Times New Roman" w:hAnsi="Times New Roman"/>
                <w:szCs w:val="22"/>
              </w:rPr>
              <w:t xml:space="preserve"> use based on a study of patients with giant cell arteritis not CIDP, which ESC considered to be uncertain. </w:t>
            </w:r>
          </w:p>
        </w:tc>
      </w:tr>
      <w:tr w:rsidR="00A36DE2" w:rsidRPr="008B6093" w14:paraId="425CEB17" w14:textId="77777777" w:rsidTr="00A36DE2">
        <w:trPr>
          <w:trHeight w:val="679"/>
        </w:trPr>
        <w:tc>
          <w:tcPr>
            <w:tcW w:w="4372" w:type="dxa"/>
          </w:tcPr>
          <w:p w14:paraId="1B561D7B"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lastRenderedPageBreak/>
              <w:t xml:space="preserve">There is wide variability in Ig dosing and continuation rates across individual patients according to BloodSTAR data. </w:t>
            </w:r>
          </w:p>
        </w:tc>
        <w:tc>
          <w:tcPr>
            <w:tcW w:w="4644" w:type="dxa"/>
          </w:tcPr>
          <w:p w14:paraId="51B5B13A" w14:textId="77777777" w:rsidR="00A36DE2" w:rsidRPr="008B6093" w:rsidRDefault="00A36DE2" w:rsidP="009A5DF3">
            <w:pPr>
              <w:spacing w:before="0"/>
              <w:rPr>
                <w:rFonts w:ascii="Times New Roman" w:hAnsi="Times New Roman"/>
                <w:szCs w:val="22"/>
              </w:rPr>
            </w:pPr>
            <w:r w:rsidRPr="008B6093">
              <w:rPr>
                <w:rFonts w:ascii="Times New Roman" w:hAnsi="Times New Roman"/>
                <w:szCs w:val="22"/>
              </w:rPr>
              <w:t>Currently collected or additional patient characteristics recorded in BloodSTAR may be able to further inform sub-groups of patients for whom Ig is more or less clinically effective and cost-effective. If recorded, there is likely be a requirement for data linkage to determine these outcomes.</w:t>
            </w:r>
          </w:p>
        </w:tc>
      </w:tr>
    </w:tbl>
    <w:p w14:paraId="6661FBD3" w14:textId="77777777" w:rsidR="00A36DE2" w:rsidRPr="00485B7B" w:rsidRDefault="00A36DE2" w:rsidP="008B6093">
      <w:pPr>
        <w:pStyle w:val="Heading1"/>
        <w:numPr>
          <w:ilvl w:val="0"/>
          <w:numId w:val="0"/>
        </w:numPr>
        <w:spacing w:after="120"/>
        <w:ind w:left="720" w:hanging="720"/>
      </w:pPr>
      <w:r w:rsidRPr="00485B7B">
        <w:t>ESC discussion</w:t>
      </w:r>
    </w:p>
    <w:p w14:paraId="5806AF0F" w14:textId="77777777" w:rsidR="00A36DE2" w:rsidRDefault="00A36DE2" w:rsidP="00A36DE2">
      <w:pPr>
        <w:pStyle w:val="Style8"/>
        <w:spacing w:before="120" w:after="120"/>
        <w:rPr>
          <w:rFonts w:ascii="Times New Roman" w:hAnsi="Times New Roman"/>
        </w:rPr>
      </w:pPr>
      <w:r w:rsidRPr="00A22AD2">
        <w:rPr>
          <w:rFonts w:ascii="Times New Roman" w:hAnsi="Times New Roman"/>
        </w:rPr>
        <w:t>Application 15</w:t>
      </w:r>
      <w:r>
        <w:rPr>
          <w:rFonts w:ascii="Times New Roman" w:hAnsi="Times New Roman"/>
        </w:rPr>
        <w:t>64</w:t>
      </w:r>
      <w:r w:rsidRPr="00A22AD2">
        <w:rPr>
          <w:rFonts w:ascii="Times New Roman" w:hAnsi="Times New Roman"/>
        </w:rPr>
        <w:t xml:space="preserve"> requests MSAC </w:t>
      </w:r>
      <w:r w:rsidRPr="00DF372A">
        <w:rPr>
          <w:rFonts w:ascii="Times New Roman" w:hAnsi="Times New Roman"/>
          <w:b/>
          <w:bCs/>
        </w:rPr>
        <w:t>reconsideration</w:t>
      </w:r>
      <w:r>
        <w:rPr>
          <w:rFonts w:ascii="Times New Roman" w:hAnsi="Times New Roman"/>
        </w:rPr>
        <w:t xml:space="preserve"> and </w:t>
      </w:r>
      <w:r w:rsidRPr="00A22AD2">
        <w:rPr>
          <w:rFonts w:ascii="Times New Roman" w:hAnsi="Times New Roman"/>
        </w:rPr>
        <w:t xml:space="preserve">advice on the supply of immunoglobulin (Ig) therapy under the national blood arrangements for the treatment </w:t>
      </w:r>
      <w:r>
        <w:rPr>
          <w:rFonts w:ascii="Times New Roman" w:hAnsi="Times New Roman"/>
        </w:rPr>
        <w:t>of c</w:t>
      </w:r>
      <w:r w:rsidRPr="003E4F7C">
        <w:rPr>
          <w:rFonts w:ascii="Times New Roman" w:hAnsi="Times New Roman"/>
        </w:rPr>
        <w:t xml:space="preserve">hronic </w:t>
      </w:r>
      <w:r>
        <w:rPr>
          <w:rFonts w:ascii="Times New Roman" w:hAnsi="Times New Roman"/>
        </w:rPr>
        <w:t>i</w:t>
      </w:r>
      <w:r w:rsidRPr="003E4F7C">
        <w:rPr>
          <w:rFonts w:ascii="Times New Roman" w:hAnsi="Times New Roman"/>
        </w:rPr>
        <w:t xml:space="preserve">nflammatory </w:t>
      </w:r>
      <w:r>
        <w:rPr>
          <w:rFonts w:ascii="Times New Roman" w:hAnsi="Times New Roman"/>
        </w:rPr>
        <w:t>d</w:t>
      </w:r>
      <w:r w:rsidRPr="003E4F7C">
        <w:rPr>
          <w:rFonts w:ascii="Times New Roman" w:hAnsi="Times New Roman"/>
        </w:rPr>
        <w:t xml:space="preserve">emyelinating </w:t>
      </w:r>
      <w:r>
        <w:rPr>
          <w:rFonts w:ascii="Times New Roman" w:hAnsi="Times New Roman"/>
        </w:rPr>
        <w:t>p</w:t>
      </w:r>
      <w:r w:rsidRPr="003E4F7C">
        <w:rPr>
          <w:rFonts w:ascii="Times New Roman" w:hAnsi="Times New Roman"/>
        </w:rPr>
        <w:t>olyneuropathy (CIDP)</w:t>
      </w:r>
      <w:r>
        <w:rPr>
          <w:rFonts w:ascii="Times New Roman" w:hAnsi="Times New Roman"/>
        </w:rPr>
        <w:t>. I</w:t>
      </w:r>
      <w:r w:rsidRPr="00A22AD2">
        <w:rPr>
          <w:rFonts w:ascii="Times New Roman" w:hAnsi="Times New Roman"/>
        </w:rPr>
        <w:t>n line with the PICO confirmation, the Department Contracted Assessment Report (DCAR) reviews the available evidence on safety and clinical effectiveness of Ig therapy in this population.</w:t>
      </w:r>
    </w:p>
    <w:p w14:paraId="1376C864" w14:textId="7EADA685" w:rsidR="00A36DE2" w:rsidRDefault="00A36DE2" w:rsidP="008B6093">
      <w:pPr>
        <w:pStyle w:val="Style8"/>
        <w:rPr>
          <w:rFonts w:ascii="Times New Roman" w:hAnsi="Times New Roman"/>
        </w:rPr>
      </w:pPr>
      <w:r>
        <w:rPr>
          <w:rFonts w:ascii="Times New Roman" w:hAnsi="Times New Roman"/>
        </w:rPr>
        <w:t xml:space="preserve">ESC recalled its previous consideration of this application at its </w:t>
      </w:r>
      <w:r w:rsidRPr="003E4F7C">
        <w:rPr>
          <w:rFonts w:ascii="Times New Roman" w:hAnsi="Times New Roman"/>
        </w:rPr>
        <w:t xml:space="preserve">February 2020 </w:t>
      </w:r>
      <w:r>
        <w:rPr>
          <w:rFonts w:ascii="Times New Roman" w:hAnsi="Times New Roman"/>
        </w:rPr>
        <w:t xml:space="preserve">meeting, </w:t>
      </w:r>
      <w:r w:rsidRPr="003E4F7C">
        <w:rPr>
          <w:rFonts w:ascii="Times New Roman" w:hAnsi="Times New Roman"/>
        </w:rPr>
        <w:t>and</w:t>
      </w:r>
      <w:r>
        <w:rPr>
          <w:rFonts w:ascii="Times New Roman" w:hAnsi="Times New Roman"/>
        </w:rPr>
        <w:t xml:space="preserve"> that</w:t>
      </w:r>
      <w:r w:rsidRPr="003E4F7C">
        <w:rPr>
          <w:rFonts w:ascii="Times New Roman" w:hAnsi="Times New Roman"/>
        </w:rPr>
        <w:t xml:space="preserve"> MSAC</w:t>
      </w:r>
      <w:r>
        <w:rPr>
          <w:rFonts w:ascii="Times New Roman" w:hAnsi="Times New Roman"/>
        </w:rPr>
        <w:t xml:space="preserve"> had subsequently considered and deferred providing advice on the clinical effectiveness and cost-effectiveness of Ig in the treatment of CIDP. At its April 2020 meeting, MSAC </w:t>
      </w:r>
      <w:r w:rsidRPr="003E4F7C">
        <w:rPr>
          <w:rFonts w:ascii="Times New Roman" w:hAnsi="Times New Roman"/>
        </w:rPr>
        <w:t>requested that the economic evaluation be revised to include comparisons of Ig versus corticosteroids; Ig versus plasma exchange</w:t>
      </w:r>
      <w:r>
        <w:rPr>
          <w:rFonts w:ascii="Times New Roman" w:hAnsi="Times New Roman"/>
        </w:rPr>
        <w:t xml:space="preserve"> (PE)</w:t>
      </w:r>
      <w:r w:rsidRPr="003E4F7C">
        <w:rPr>
          <w:rFonts w:ascii="Times New Roman" w:hAnsi="Times New Roman"/>
        </w:rPr>
        <w:t>; and Ig versus placebo (in a</w:t>
      </w:r>
      <w:r w:rsidR="005764BC">
        <w:rPr>
          <w:rFonts w:ascii="Times New Roman" w:hAnsi="Times New Roman"/>
        </w:rPr>
        <w:t xml:space="preserve"> corticosteroid</w:t>
      </w:r>
      <w:r>
        <w:rPr>
          <w:rFonts w:ascii="Times New Roman" w:hAnsi="Times New Roman"/>
        </w:rPr>
        <w:t xml:space="preserve"> resistant population). M</w:t>
      </w:r>
      <w:r w:rsidRPr="003E4F7C">
        <w:rPr>
          <w:rFonts w:ascii="Times New Roman" w:hAnsi="Times New Roman"/>
        </w:rPr>
        <w:t>SAC also requested an update of the systematic literature review on the safety and effectiveness of Ig for CIDP (including intravenous/IVIg and subcutaneous/SCIg), especially in relation to the safety of comparators.</w:t>
      </w:r>
    </w:p>
    <w:p w14:paraId="4EF2540F" w14:textId="77777777" w:rsidR="00A36DE2" w:rsidRDefault="00A36DE2" w:rsidP="008B6093">
      <w:pPr>
        <w:pStyle w:val="Style8"/>
        <w:rPr>
          <w:rFonts w:ascii="Times New Roman" w:hAnsi="Times New Roman"/>
        </w:rPr>
      </w:pPr>
      <w:r>
        <w:rPr>
          <w:rFonts w:ascii="Times New Roman" w:hAnsi="Times New Roman"/>
        </w:rPr>
        <w:t xml:space="preserve">CIDP is a rare, neurological disorder in which there is inflammation of nerve roots and peripheral nerves and destruction of the myelin sheath. </w:t>
      </w:r>
      <w:r w:rsidRPr="00720E2A">
        <w:rPr>
          <w:rFonts w:ascii="Times New Roman" w:hAnsi="Times New Roman"/>
        </w:rPr>
        <w:t>Treatment</w:t>
      </w:r>
      <w:r>
        <w:rPr>
          <w:rFonts w:ascii="Times New Roman" w:hAnsi="Times New Roman"/>
        </w:rPr>
        <w:t>s for CIDP</w:t>
      </w:r>
      <w:r w:rsidRPr="00720E2A">
        <w:rPr>
          <w:rFonts w:ascii="Times New Roman" w:hAnsi="Times New Roman"/>
        </w:rPr>
        <w:t xml:space="preserve"> may include</w:t>
      </w:r>
      <w:r>
        <w:rPr>
          <w:rFonts w:ascii="Times New Roman" w:hAnsi="Times New Roman"/>
        </w:rPr>
        <w:t xml:space="preserve"> Ig</w:t>
      </w:r>
      <w:r w:rsidRPr="00720E2A">
        <w:rPr>
          <w:rFonts w:ascii="Times New Roman" w:hAnsi="Times New Roman"/>
        </w:rPr>
        <w:t xml:space="preserve"> therapy</w:t>
      </w:r>
      <w:r>
        <w:rPr>
          <w:rFonts w:ascii="Times New Roman" w:hAnsi="Times New Roman"/>
        </w:rPr>
        <w:t>,</w:t>
      </w:r>
      <w:r w:rsidRPr="00720E2A">
        <w:rPr>
          <w:rFonts w:ascii="Times New Roman" w:hAnsi="Times New Roman"/>
        </w:rPr>
        <w:t xml:space="preserve"> corticosteroids, immunosuppressant drugs</w:t>
      </w:r>
      <w:r>
        <w:rPr>
          <w:rFonts w:ascii="Times New Roman" w:hAnsi="Times New Roman"/>
        </w:rPr>
        <w:t xml:space="preserve"> and/or</w:t>
      </w:r>
      <w:r w:rsidRPr="00720E2A">
        <w:rPr>
          <w:rFonts w:ascii="Times New Roman" w:hAnsi="Times New Roman"/>
        </w:rPr>
        <w:t xml:space="preserve"> plasma exchange.</w:t>
      </w:r>
      <w:r>
        <w:rPr>
          <w:rFonts w:ascii="Times New Roman" w:hAnsi="Times New Roman"/>
        </w:rPr>
        <w:t xml:space="preserve"> MSAC had previously noted the variability in the incidence and prevalence of CIDP reported across different epidemiological studies. It considered that even with the inclusion of probable and possible cases of CIDP in the estimated prevalence rate of 3 per 100,000 population (Broers 2019), nearly four times more patients in Australia received Ig for CIDP according to NBA data.</w:t>
      </w:r>
    </w:p>
    <w:p w14:paraId="418F91F9" w14:textId="77777777" w:rsidR="00A36DE2" w:rsidRDefault="00A36DE2" w:rsidP="008B6093">
      <w:pPr>
        <w:pStyle w:val="Style8"/>
        <w:rPr>
          <w:rFonts w:ascii="Times New Roman" w:hAnsi="Times New Roman"/>
        </w:rPr>
      </w:pPr>
      <w:r w:rsidRPr="00A46086">
        <w:rPr>
          <w:rFonts w:ascii="Times New Roman" w:hAnsi="Times New Roman"/>
        </w:rPr>
        <w:t xml:space="preserve">The clinical criteria for subsidised access to Ig for CIDP is set out in version 3 of the </w:t>
      </w:r>
      <w:r w:rsidRPr="00A46086">
        <w:rPr>
          <w:rFonts w:ascii="Times New Roman" w:hAnsi="Times New Roman"/>
          <w:i/>
          <w:szCs w:val="24"/>
        </w:rPr>
        <w:t>Criteria for the clinical use of immunoglobulin in Australia</w:t>
      </w:r>
      <w:r w:rsidRPr="00A46086">
        <w:rPr>
          <w:rFonts w:ascii="Times New Roman" w:hAnsi="Times New Roman"/>
          <w:szCs w:val="24"/>
          <w:vertAlign w:val="superscript"/>
        </w:rPr>
        <w:footnoteReference w:id="18"/>
      </w:r>
      <w:r w:rsidRPr="00A46086">
        <w:rPr>
          <w:rFonts w:ascii="Times New Roman" w:hAnsi="Times New Roman"/>
          <w:i/>
          <w:szCs w:val="24"/>
        </w:rPr>
        <w:t xml:space="preserve"> </w:t>
      </w:r>
      <w:r w:rsidRPr="00A46086">
        <w:rPr>
          <w:rFonts w:ascii="Times New Roman" w:hAnsi="Times New Roman"/>
          <w:szCs w:val="24"/>
        </w:rPr>
        <w:t>(Version 3 Criteria)</w:t>
      </w:r>
      <w:r w:rsidRPr="00A46086">
        <w:rPr>
          <w:rFonts w:ascii="Times New Roman" w:hAnsi="Times New Roman"/>
        </w:rPr>
        <w:t>.</w:t>
      </w:r>
      <w:r>
        <w:rPr>
          <w:rFonts w:ascii="Times New Roman" w:hAnsi="Times New Roman"/>
        </w:rPr>
        <w:t xml:space="preserve"> </w:t>
      </w:r>
      <w:r w:rsidRPr="00CA6500">
        <w:rPr>
          <w:rFonts w:ascii="Times New Roman" w:hAnsi="Times New Roman"/>
        </w:rPr>
        <w:t xml:space="preserve">Patients with an established diagnosis of CIDP with significant disability and/or compromised walking, and who meet the specification of Version 3 of ‘the Criteria’ can access Ig as a first-line treatment. Review by a neurologist is required within </w:t>
      </w:r>
      <w:r>
        <w:rPr>
          <w:rFonts w:ascii="Times New Roman" w:hAnsi="Times New Roman"/>
        </w:rPr>
        <w:t xml:space="preserve">the first </w:t>
      </w:r>
      <w:r w:rsidRPr="00CA6500">
        <w:rPr>
          <w:rFonts w:ascii="Times New Roman" w:hAnsi="Times New Roman"/>
        </w:rPr>
        <w:t>four months</w:t>
      </w:r>
      <w:r>
        <w:rPr>
          <w:rFonts w:ascii="Times New Roman" w:hAnsi="Times New Roman"/>
        </w:rPr>
        <w:t>,</w:t>
      </w:r>
      <w:r w:rsidRPr="00CA6500">
        <w:rPr>
          <w:rFonts w:ascii="Times New Roman" w:hAnsi="Times New Roman"/>
        </w:rPr>
        <w:t xml:space="preserve"> and </w:t>
      </w:r>
      <w:r>
        <w:rPr>
          <w:rFonts w:ascii="Times New Roman" w:hAnsi="Times New Roman"/>
        </w:rPr>
        <w:t>every 12 months’</w:t>
      </w:r>
      <w:r w:rsidRPr="00CA6500">
        <w:rPr>
          <w:rFonts w:ascii="Times New Roman" w:hAnsi="Times New Roman"/>
        </w:rPr>
        <w:t xml:space="preserve"> thereafter </w:t>
      </w:r>
      <w:r>
        <w:rPr>
          <w:rFonts w:ascii="Times New Roman" w:hAnsi="Times New Roman"/>
        </w:rPr>
        <w:t>(</w:t>
      </w:r>
      <w:r w:rsidRPr="00512CE1">
        <w:rPr>
          <w:rFonts w:ascii="Times New Roman" w:hAnsi="Times New Roman"/>
        </w:rPr>
        <w:t>by a neurologist or general physician</w:t>
      </w:r>
      <w:r>
        <w:rPr>
          <w:rFonts w:ascii="Times New Roman" w:hAnsi="Times New Roman"/>
        </w:rPr>
        <w:t>).</w:t>
      </w:r>
      <w:r w:rsidRPr="00512CE1">
        <w:rPr>
          <w:rFonts w:ascii="Times New Roman" w:hAnsi="Times New Roman"/>
        </w:rPr>
        <w:t xml:space="preserve"> </w:t>
      </w:r>
      <w:r>
        <w:rPr>
          <w:rFonts w:ascii="Times New Roman" w:hAnsi="Times New Roman"/>
        </w:rPr>
        <w:t>The Criteria also requires that a</w:t>
      </w:r>
      <w:r w:rsidRPr="00804C58">
        <w:rPr>
          <w:rFonts w:ascii="Times New Roman" w:hAnsi="Times New Roman"/>
        </w:rPr>
        <w:t xml:space="preserve"> trial of cessation be considered </w:t>
      </w:r>
      <w:r>
        <w:rPr>
          <w:rFonts w:ascii="Times New Roman" w:hAnsi="Times New Roman"/>
        </w:rPr>
        <w:t>every</w:t>
      </w:r>
      <w:r w:rsidRPr="00804C58">
        <w:rPr>
          <w:rFonts w:ascii="Times New Roman" w:hAnsi="Times New Roman"/>
        </w:rPr>
        <w:t xml:space="preserve"> 12 months in patients </w:t>
      </w:r>
      <w:r>
        <w:rPr>
          <w:rFonts w:ascii="Times New Roman" w:hAnsi="Times New Roman"/>
        </w:rPr>
        <w:t>in remi</w:t>
      </w:r>
      <w:r w:rsidRPr="00512CE1">
        <w:rPr>
          <w:rFonts w:ascii="Times New Roman" w:hAnsi="Times New Roman"/>
        </w:rPr>
        <w:t>ssion on maintenance therapy.</w:t>
      </w:r>
      <w:r>
        <w:rPr>
          <w:rFonts w:ascii="Times New Roman" w:hAnsi="Times New Roman"/>
        </w:rPr>
        <w:t xml:space="preserve"> Patients with CIDP who relapse after cessation of Ig therapy may restart treatment with Ig according to the Criteria. </w:t>
      </w:r>
    </w:p>
    <w:p w14:paraId="3BDFE515" w14:textId="77777777" w:rsidR="00A36DE2" w:rsidRPr="00AC453C" w:rsidRDefault="00A36DE2" w:rsidP="008B6093">
      <w:pPr>
        <w:spacing w:after="120"/>
      </w:pPr>
      <w:r>
        <w:lastRenderedPageBreak/>
        <w:t xml:space="preserve">ESC recalled that the evidence presented in the original DCAR was based on limited, mixed quality evidence with studies generally small, of short follow-up duration, and often at high risk of bias. </w:t>
      </w:r>
      <w:r w:rsidRPr="00AC453C">
        <w:t>Based on the benefits and harms reported in the evidence (April 2020), it was suggested that relative to:</w:t>
      </w:r>
    </w:p>
    <w:p w14:paraId="1764387D" w14:textId="77777777" w:rsidR="00A36DE2" w:rsidRDefault="00A36DE2" w:rsidP="00A36DE2">
      <w:pPr>
        <w:pStyle w:val="Style8"/>
        <w:numPr>
          <w:ilvl w:val="0"/>
          <w:numId w:val="20"/>
        </w:numPr>
        <w:spacing w:before="120" w:after="120"/>
        <w:rPr>
          <w:rFonts w:ascii="Times New Roman" w:hAnsi="Times New Roman"/>
        </w:rPr>
      </w:pPr>
      <w:r w:rsidRPr="00AC453C">
        <w:rPr>
          <w:rFonts w:ascii="Times New Roman" w:hAnsi="Times New Roman"/>
        </w:rPr>
        <w:t>No treatment: Ig has inferior safety and superior effectiveness; noting that Ig is rarely associated with serious adverse events.</w:t>
      </w:r>
    </w:p>
    <w:p w14:paraId="7AD7CF6D" w14:textId="77777777" w:rsidR="00A36DE2" w:rsidRDefault="00A36DE2" w:rsidP="00A36DE2">
      <w:pPr>
        <w:pStyle w:val="Style8"/>
        <w:numPr>
          <w:ilvl w:val="0"/>
          <w:numId w:val="20"/>
        </w:numPr>
        <w:spacing w:before="120" w:after="120"/>
        <w:rPr>
          <w:rFonts w:ascii="Times New Roman" w:hAnsi="Times New Roman"/>
        </w:rPr>
      </w:pPr>
      <w:r w:rsidRPr="00AC453C">
        <w:rPr>
          <w:rFonts w:ascii="Times New Roman" w:hAnsi="Times New Roman"/>
        </w:rPr>
        <w:t xml:space="preserve">Steroids: Ig has superior safety and non-inferior effectiveness. </w:t>
      </w:r>
    </w:p>
    <w:p w14:paraId="443D7565" w14:textId="66DA28A9" w:rsidR="00A36DE2" w:rsidRPr="00AC453C" w:rsidRDefault="00A36DE2" w:rsidP="00A36DE2">
      <w:pPr>
        <w:pStyle w:val="Style8"/>
        <w:numPr>
          <w:ilvl w:val="0"/>
          <w:numId w:val="20"/>
        </w:numPr>
        <w:spacing w:before="120" w:after="120"/>
        <w:rPr>
          <w:rFonts w:ascii="Times New Roman" w:hAnsi="Times New Roman"/>
        </w:rPr>
      </w:pPr>
      <w:r w:rsidRPr="00AC453C">
        <w:rPr>
          <w:rFonts w:ascii="Times New Roman" w:hAnsi="Times New Roman"/>
        </w:rPr>
        <w:t>Plasma exchange, immunosuppressants / immunomodulatory drugs (excluding</w:t>
      </w:r>
      <w:r w:rsidR="005764BC">
        <w:rPr>
          <w:rFonts w:ascii="Times New Roman" w:hAnsi="Times New Roman"/>
        </w:rPr>
        <w:t xml:space="preserve"> corticosteroids</w:t>
      </w:r>
      <w:r w:rsidRPr="00AC453C">
        <w:rPr>
          <w:rFonts w:ascii="Times New Roman" w:hAnsi="Times New Roman"/>
        </w:rPr>
        <w:t>), and combination therapy: there is insufficient evidence to comment on the relative safety and effectiveness of Ig.</w:t>
      </w:r>
    </w:p>
    <w:p w14:paraId="04CD73A5" w14:textId="5A56CE68" w:rsidR="00A36DE2" w:rsidRDefault="00A36DE2" w:rsidP="00A36DE2">
      <w:pPr>
        <w:pStyle w:val="Style8"/>
        <w:spacing w:before="120" w:after="120"/>
        <w:rPr>
          <w:rFonts w:ascii="Times New Roman" w:hAnsi="Times New Roman"/>
        </w:rPr>
      </w:pPr>
      <w:r>
        <w:rPr>
          <w:rFonts w:ascii="Times New Roman" w:hAnsi="Times New Roman"/>
        </w:rPr>
        <w:t xml:space="preserve">ESC noted that the </w:t>
      </w:r>
      <w:r w:rsidRPr="003E4F7C">
        <w:rPr>
          <w:rFonts w:ascii="Times New Roman" w:hAnsi="Times New Roman"/>
        </w:rPr>
        <w:t>update of the systematic literature review of comparative safety and effectiveness of Ig for CIDP</w:t>
      </w:r>
      <w:r>
        <w:rPr>
          <w:rFonts w:ascii="Times New Roman" w:hAnsi="Times New Roman"/>
        </w:rPr>
        <w:t xml:space="preserve"> found</w:t>
      </w:r>
      <w:r w:rsidRPr="003E4F7C">
        <w:rPr>
          <w:rFonts w:ascii="Times New Roman" w:hAnsi="Times New Roman"/>
        </w:rPr>
        <w:t xml:space="preserve"> no additional randomised control trial (RCT) evidence comparing Ig with</w:t>
      </w:r>
      <w:r w:rsidR="005764BC">
        <w:rPr>
          <w:rFonts w:ascii="Times New Roman" w:hAnsi="Times New Roman"/>
        </w:rPr>
        <w:t xml:space="preserve"> corticosteroids</w:t>
      </w:r>
      <w:r w:rsidRPr="003E4F7C">
        <w:rPr>
          <w:rFonts w:ascii="Times New Roman" w:hAnsi="Times New Roman"/>
        </w:rPr>
        <w:t>, PE, immunosuppressants, or combination therapies for CIDP</w:t>
      </w:r>
      <w:r>
        <w:rPr>
          <w:rFonts w:ascii="Times New Roman" w:hAnsi="Times New Roman"/>
        </w:rPr>
        <w:t>.  The evidence base for Ig therapy in patients with CIDP is very small, and of low quality, as was the evidence base for PE and corticosteroid therapy. ESC agreed that lack of quality data limits the conclusions that can be made about the effectiveness, impact of adverse events (AEs) and long-term safety of Ig compared to PE or corticosteroid therapy in the treatment of CIDP.</w:t>
      </w:r>
    </w:p>
    <w:p w14:paraId="58DA2D26" w14:textId="77777777" w:rsidR="00A36DE2" w:rsidRDefault="00A36DE2" w:rsidP="008B6093">
      <w:pPr>
        <w:pStyle w:val="Style8"/>
        <w:rPr>
          <w:rFonts w:ascii="Times New Roman" w:hAnsi="Times New Roman"/>
        </w:rPr>
      </w:pPr>
      <w:r w:rsidRPr="00C76E22">
        <w:rPr>
          <w:rFonts w:ascii="Times New Roman" w:hAnsi="Times New Roman"/>
        </w:rPr>
        <w:t>Evidence from two RCTs (Hartung et al. 2019  PATH study; and, Kuitwaard et al. 2020b  DOSE study) was included to update the review on the safety and effectiveness of Ig for CIDP. Both trials were conducted in patients with CIDP who had been stabilised on IVIg and were assessing Ig as maintenance therapy.</w:t>
      </w:r>
    </w:p>
    <w:p w14:paraId="4502EB16" w14:textId="77777777" w:rsidR="00A36DE2" w:rsidRPr="0091559C" w:rsidRDefault="00A36DE2" w:rsidP="008B6093">
      <w:pPr>
        <w:pStyle w:val="Style8"/>
        <w:rPr>
          <w:rFonts w:ascii="Times New Roman" w:hAnsi="Times New Roman"/>
        </w:rPr>
      </w:pPr>
      <w:r w:rsidRPr="0091559C">
        <w:rPr>
          <w:rFonts w:ascii="Times New Roman" w:hAnsi="Times New Roman"/>
        </w:rPr>
        <w:t xml:space="preserve">In the RCT </w:t>
      </w:r>
      <w:r>
        <w:rPr>
          <w:rFonts w:ascii="Times New Roman" w:hAnsi="Times New Roman"/>
        </w:rPr>
        <w:t>evaluating</w:t>
      </w:r>
      <w:r w:rsidRPr="0091559C">
        <w:rPr>
          <w:rFonts w:ascii="Times New Roman" w:hAnsi="Times New Roman"/>
        </w:rPr>
        <w:t xml:space="preserve"> two doses of subcutaneous Ig (SCIg) in stabilised CIDP patients, both SCIg doses (0.2 g/kg and 0.4 g/kg) performed better than placebo for reducing relapse rate; time to relapse; and patient reported outcome scores. The RCT also found there were more </w:t>
      </w:r>
      <w:r>
        <w:rPr>
          <w:rFonts w:ascii="Times New Roman" w:hAnsi="Times New Roman"/>
        </w:rPr>
        <w:t xml:space="preserve">AEs </w:t>
      </w:r>
      <w:r w:rsidRPr="0091559C">
        <w:rPr>
          <w:rFonts w:ascii="Times New Roman" w:hAnsi="Times New Roman"/>
        </w:rPr>
        <w:t xml:space="preserve">associated with SCIg treatment (either dose) than placebo, and found few differences in the effectiveness or safety between the two SCIg doses. ESC advised that MSAC may wish to consider a recommendation for patients to </w:t>
      </w:r>
      <w:r>
        <w:rPr>
          <w:rFonts w:ascii="Times New Roman" w:hAnsi="Times New Roman"/>
        </w:rPr>
        <w:t xml:space="preserve">either: </w:t>
      </w:r>
      <w:r w:rsidRPr="0091559C">
        <w:rPr>
          <w:rFonts w:ascii="Times New Roman" w:hAnsi="Times New Roman"/>
        </w:rPr>
        <w:t>start treatment at the lower SCIg dose (0.2 g/kg) and increase if required; or, start at the higher dose (0.4 g/kg) and reduce the dose when the patient</w:t>
      </w:r>
      <w:r>
        <w:rPr>
          <w:rFonts w:ascii="Times New Roman" w:hAnsi="Times New Roman"/>
        </w:rPr>
        <w:t>’s condition is stable</w:t>
      </w:r>
      <w:r w:rsidRPr="0091559C">
        <w:rPr>
          <w:rFonts w:ascii="Times New Roman" w:hAnsi="Times New Roman"/>
        </w:rPr>
        <w:t>.</w:t>
      </w:r>
    </w:p>
    <w:p w14:paraId="1C01947E" w14:textId="77777777" w:rsidR="00A36DE2" w:rsidRPr="0016765C" w:rsidRDefault="00A36DE2" w:rsidP="008B6093">
      <w:pPr>
        <w:pStyle w:val="Style8"/>
        <w:rPr>
          <w:rFonts w:ascii="Times New Roman" w:hAnsi="Times New Roman"/>
        </w:rPr>
      </w:pPr>
      <w:r w:rsidRPr="0091559C">
        <w:rPr>
          <w:rFonts w:ascii="Times New Roman" w:hAnsi="Times New Roman"/>
        </w:rPr>
        <w:t xml:space="preserve">ESC noted </w:t>
      </w:r>
      <w:r>
        <w:rPr>
          <w:rFonts w:ascii="Times New Roman" w:hAnsi="Times New Roman"/>
        </w:rPr>
        <w:t>the other</w:t>
      </w:r>
      <w:r w:rsidRPr="0091559C">
        <w:rPr>
          <w:rFonts w:ascii="Times New Roman" w:hAnsi="Times New Roman"/>
        </w:rPr>
        <w:t xml:space="preserve"> RCT by Kuitwaard et al 2005b</w:t>
      </w:r>
      <w:r w:rsidRPr="0091559C">
        <w:rPr>
          <w:rStyle w:val="FootnoteReference"/>
          <w:rFonts w:ascii="Times New Roman" w:hAnsi="Times New Roman"/>
        </w:rPr>
        <w:footnoteReference w:id="19"/>
      </w:r>
      <w:r w:rsidRPr="0091559C">
        <w:rPr>
          <w:rFonts w:ascii="Times New Roman" w:hAnsi="Times New Roman"/>
        </w:rPr>
        <w:t xml:space="preserve"> considered two intravenous Ig (IVIg) dose and interval regimens (normal individualised dose and interval, and half the individualised dose at half the interval) showed similar safety and effectiveness when compared in a cross-over RCT. ESC advised that MSAC may wish to provide advice on whether it is appropriate for more flexible dosing regimens to be offered to patients with CIDP receiving IVIg. The applicant </w:t>
      </w:r>
      <w:r>
        <w:rPr>
          <w:rFonts w:ascii="Times New Roman" w:hAnsi="Times New Roman"/>
        </w:rPr>
        <w:t>clarified</w:t>
      </w:r>
      <w:r w:rsidRPr="0091559C">
        <w:rPr>
          <w:rFonts w:ascii="Times New Roman" w:hAnsi="Times New Roman"/>
        </w:rPr>
        <w:t xml:space="preserve"> that the Criteria currently allows for flexibility in dosing between 0.4 and 2.0 g/kg per 6 weeks for IVIg, though broader options could be considered if there were evidence to support </w:t>
      </w:r>
      <w:r>
        <w:rPr>
          <w:rFonts w:ascii="Times New Roman" w:hAnsi="Times New Roman"/>
        </w:rPr>
        <w:t>this</w:t>
      </w:r>
      <w:r w:rsidRPr="0091559C">
        <w:rPr>
          <w:rFonts w:ascii="Times New Roman" w:hAnsi="Times New Roman"/>
        </w:rPr>
        <w:t>.</w:t>
      </w:r>
    </w:p>
    <w:p w14:paraId="03AA7607" w14:textId="77777777" w:rsidR="00A36DE2" w:rsidRDefault="00A36DE2" w:rsidP="008B6093">
      <w:pPr>
        <w:pStyle w:val="Style8"/>
        <w:rPr>
          <w:rFonts w:ascii="Times New Roman" w:hAnsi="Times New Roman"/>
        </w:rPr>
      </w:pPr>
      <w:r w:rsidRPr="00B76DD6">
        <w:rPr>
          <w:rFonts w:ascii="Times New Roman" w:hAnsi="Times New Roman"/>
        </w:rPr>
        <w:lastRenderedPageBreak/>
        <w:t>The Extended assessment of harms in the revised 1564 DCAR was updated to include nine articles. ESC noted that based on evidence found, PE appeared to be a relatively safe treatment with the most common AEs being hypotension and problems with venous access. The frequency of mild or moderate AEs associated with PE was low (2.05%) in one systematic review (SR) in patients with neurological conditions receiving PE. In three other retrospective studies, the frequency of mild or moderate</w:t>
      </w:r>
      <w:r>
        <w:rPr>
          <w:rFonts w:ascii="Times New Roman" w:hAnsi="Times New Roman"/>
        </w:rPr>
        <w:t xml:space="preserve"> AEs </w:t>
      </w:r>
      <w:r w:rsidRPr="00EE2E80">
        <w:rPr>
          <w:rFonts w:ascii="Times New Roman" w:hAnsi="Times New Roman"/>
        </w:rPr>
        <w:t>ranged from 5.31% to 8% per PE procedure</w:t>
      </w:r>
      <w:r>
        <w:rPr>
          <w:rFonts w:ascii="Times New Roman" w:hAnsi="Times New Roman"/>
        </w:rPr>
        <w:t xml:space="preserve">. ESC noted the </w:t>
      </w:r>
      <w:r w:rsidRPr="005E5078">
        <w:rPr>
          <w:rFonts w:ascii="Times New Roman" w:hAnsi="Times New Roman"/>
        </w:rPr>
        <w:t>erratum (</w:t>
      </w:r>
      <w:r w:rsidRPr="005E5078">
        <w:rPr>
          <w:rFonts w:ascii="Times New Roman" w:hAnsi="Times New Roman"/>
          <w:u w:val="single"/>
        </w:rPr>
        <w:t>Attachment A</w:t>
      </w:r>
      <w:r w:rsidRPr="005E5078">
        <w:rPr>
          <w:rFonts w:ascii="Times New Roman" w:hAnsi="Times New Roman"/>
        </w:rPr>
        <w:t>) to</w:t>
      </w:r>
      <w:r>
        <w:rPr>
          <w:rFonts w:ascii="Times New Roman" w:hAnsi="Times New Roman"/>
        </w:rPr>
        <w:t xml:space="preserve"> the DCAR clarifying the overall AE rate associated with PE in the study by </w:t>
      </w:r>
      <w:r w:rsidRPr="00B76DD6">
        <w:rPr>
          <w:rFonts w:ascii="Times New Roman" w:hAnsi="Times New Roman"/>
        </w:rPr>
        <w:t>Nieto-Aristizábal et al. 2020</w:t>
      </w:r>
      <w:r>
        <w:rPr>
          <w:rFonts w:ascii="Times New Roman" w:hAnsi="Times New Roman"/>
        </w:rPr>
        <w:t xml:space="preserve"> should be reported as up to 40% per patient and 8% per procedure.</w:t>
      </w:r>
    </w:p>
    <w:p w14:paraId="3D7E8C43" w14:textId="67E5203E" w:rsidR="00A36DE2" w:rsidRPr="00EF5E3D" w:rsidRDefault="00A36DE2" w:rsidP="008B6093">
      <w:pPr>
        <w:pStyle w:val="Style8"/>
        <w:rPr>
          <w:rFonts w:ascii="Times New Roman" w:hAnsi="Times New Roman"/>
        </w:rPr>
      </w:pPr>
      <w:r w:rsidRPr="00EF5E3D">
        <w:rPr>
          <w:rFonts w:ascii="Times New Roman" w:hAnsi="Times New Roman"/>
        </w:rPr>
        <w:t>For patients taking long-term</w:t>
      </w:r>
      <w:r w:rsidR="005764BC">
        <w:rPr>
          <w:rFonts w:ascii="Times New Roman" w:hAnsi="Times New Roman"/>
        </w:rPr>
        <w:t xml:space="preserve"> corticosteroids</w:t>
      </w:r>
      <w:r w:rsidRPr="00EF5E3D">
        <w:rPr>
          <w:rFonts w:ascii="Times New Roman" w:hAnsi="Times New Roman"/>
        </w:rPr>
        <w:t>, the frequency of AEs was found to be high, with the most frequent AEs being serious infection (37% of patients) and hypertension (&gt;30%). However, ESC noted that only the most frequent events were reported, and the widely varying populations included in these studies raises some uncertainty about the applicability of the findings to the population of interest. ESC also noted that AEs associated with</w:t>
      </w:r>
      <w:r w:rsidR="005764BC">
        <w:rPr>
          <w:rFonts w:ascii="Times New Roman" w:hAnsi="Times New Roman"/>
        </w:rPr>
        <w:t xml:space="preserve"> corticosteroids</w:t>
      </w:r>
      <w:r w:rsidRPr="00EF5E3D">
        <w:rPr>
          <w:rFonts w:ascii="Times New Roman" w:hAnsi="Times New Roman"/>
        </w:rPr>
        <w:t xml:space="preserve"> appeared to be dose related, with several AEs increasing in rate linearly with dosage. The extended assessment of harms of IVIg reported that the most common AEs were headache, hypertension, rash and nausea although the rates of these were low. AEs occurred in 2.9% of infusions and 16.9% of patients with autoimmune neurological conditions receiving IVIg in an outpatient setting. Within the CIDP subgroup, the AE rates were 1.9% of infusions and 12.2% of patients.</w:t>
      </w:r>
    </w:p>
    <w:p w14:paraId="3AD7B624" w14:textId="5CA414AA" w:rsidR="00A36DE2" w:rsidRDefault="00A36DE2" w:rsidP="008B6093">
      <w:pPr>
        <w:pStyle w:val="Style8"/>
        <w:rPr>
          <w:rFonts w:ascii="Times New Roman" w:hAnsi="Times New Roman"/>
        </w:rPr>
      </w:pPr>
      <w:r>
        <w:rPr>
          <w:rFonts w:ascii="Times New Roman" w:hAnsi="Times New Roman"/>
        </w:rPr>
        <w:t>ESC noted that the economic evaluation in the revised 1564 DCAR now presents three distinct models using three different comparators of</w:t>
      </w:r>
      <w:r w:rsidR="005764BC">
        <w:rPr>
          <w:rFonts w:ascii="Times New Roman" w:hAnsi="Times New Roman"/>
        </w:rPr>
        <w:t xml:space="preserve"> corticosteroids</w:t>
      </w:r>
      <w:r>
        <w:rPr>
          <w:rFonts w:ascii="Times New Roman" w:hAnsi="Times New Roman"/>
        </w:rPr>
        <w:t>, PE and placebo. ESC recalled that at its previous consideration of this application in February 2020, the economic model in the original 1564 DCAR presented</w:t>
      </w:r>
      <w:r w:rsidRPr="000446C4">
        <w:rPr>
          <w:rFonts w:ascii="Times New Roman" w:hAnsi="Times New Roman"/>
        </w:rPr>
        <w:t xml:space="preserve"> </w:t>
      </w:r>
      <w:r>
        <w:rPr>
          <w:rFonts w:ascii="Times New Roman" w:hAnsi="Times New Roman"/>
        </w:rPr>
        <w:t>just one comparison of Ig versus</w:t>
      </w:r>
      <w:r w:rsidR="005764BC">
        <w:rPr>
          <w:rFonts w:ascii="Times New Roman" w:hAnsi="Times New Roman"/>
        </w:rPr>
        <w:t xml:space="preserve"> corticosteroids</w:t>
      </w:r>
      <w:r>
        <w:rPr>
          <w:rFonts w:ascii="Times New Roman" w:hAnsi="Times New Roman"/>
        </w:rPr>
        <w:t xml:space="preserve">. Overall, ESC considered that specific issues raised by MSAC had been addressed in the new model including: health states allowing patients to cease treatment with Ig or a comparator due to disease remission or treatment failure; base case starting with trial based inputs for efficacy, safety, cessation rates and doses over the trial time horizon; and inclusion of dose and time on treatment informed by BloodSTAR data and/or clinician input to reflect treatment in Australia. </w:t>
      </w:r>
    </w:p>
    <w:p w14:paraId="007347B7" w14:textId="77777777" w:rsidR="00A36DE2" w:rsidRDefault="00A36DE2" w:rsidP="008B6093">
      <w:pPr>
        <w:pStyle w:val="Style8"/>
        <w:rPr>
          <w:rFonts w:ascii="Times New Roman" w:hAnsi="Times New Roman"/>
        </w:rPr>
      </w:pPr>
      <w:r>
        <w:rPr>
          <w:rFonts w:ascii="Times New Roman" w:hAnsi="Times New Roman"/>
        </w:rPr>
        <w:t xml:space="preserve">ESC considered the patient profile in the clinical evidence was representative of the demographic characteristics of patients with CIDP in Australia but noted that many trials exclude children. The NBA Annual Report (2017-18) reported that approximately 9% of patients receiving Ig therapy for any medical condition were </w:t>
      </w:r>
      <w:r w:rsidRPr="00305D88">
        <w:rPr>
          <w:rFonts w:ascii="Times New Roman" w:hAnsi="Times New Roman"/>
        </w:rPr>
        <w:t>≤18 years</w:t>
      </w:r>
      <w:r>
        <w:rPr>
          <w:rFonts w:ascii="Times New Roman" w:hAnsi="Times New Roman"/>
        </w:rPr>
        <w:t xml:space="preserve">; however, the percentage of children receiving Ig for CIDP was not reported and it was assumed that children comprise only a small proportion of CIDP patients in Australia. </w:t>
      </w:r>
      <w:r w:rsidRPr="00792144">
        <w:rPr>
          <w:rFonts w:ascii="Times New Roman" w:hAnsi="Times New Roman"/>
        </w:rPr>
        <w:t xml:space="preserve">ESC </w:t>
      </w:r>
      <w:r>
        <w:rPr>
          <w:rFonts w:ascii="Times New Roman" w:hAnsi="Times New Roman"/>
        </w:rPr>
        <w:t xml:space="preserve">also </w:t>
      </w:r>
      <w:r w:rsidRPr="00792144">
        <w:rPr>
          <w:rFonts w:ascii="Times New Roman" w:hAnsi="Times New Roman"/>
        </w:rPr>
        <w:t>noted some differences between the doses used in trials versus in clinical practice but noted that the model appropriately uses doses used in clinical practice</w:t>
      </w:r>
      <w:r>
        <w:rPr>
          <w:rFonts w:ascii="Times New Roman" w:hAnsi="Times New Roman"/>
        </w:rPr>
        <w:t xml:space="preserve"> (BloodSTAR data)</w:t>
      </w:r>
      <w:r w:rsidRPr="00792144">
        <w:rPr>
          <w:rFonts w:ascii="Times New Roman" w:hAnsi="Times New Roman"/>
        </w:rPr>
        <w:t>,</w:t>
      </w:r>
      <w:r>
        <w:rPr>
          <w:rFonts w:ascii="Times New Roman" w:hAnsi="Times New Roman"/>
        </w:rPr>
        <w:t xml:space="preserve"> assuming</w:t>
      </w:r>
      <w:r w:rsidRPr="00792144">
        <w:rPr>
          <w:rFonts w:ascii="Times New Roman" w:hAnsi="Times New Roman"/>
        </w:rPr>
        <w:t xml:space="preserve"> lower effectiveness with lower doses. </w:t>
      </w:r>
    </w:p>
    <w:p w14:paraId="6192F9A4" w14:textId="77777777" w:rsidR="00A36DE2" w:rsidRDefault="00A36DE2" w:rsidP="008B6093">
      <w:pPr>
        <w:pStyle w:val="Style8"/>
        <w:rPr>
          <w:rFonts w:ascii="Times New Roman" w:hAnsi="Times New Roman"/>
        </w:rPr>
      </w:pPr>
      <w:r>
        <w:rPr>
          <w:rFonts w:ascii="Times New Roman" w:hAnsi="Times New Roman"/>
        </w:rPr>
        <w:t xml:space="preserve">The Criteria V3 and current guidelines recommend that Ig dosing and treatment interval be adjusted based on patient response, as </w:t>
      </w:r>
      <w:r w:rsidRPr="007A70B6">
        <w:rPr>
          <w:rFonts w:ascii="Times New Roman" w:hAnsi="Times New Roman"/>
        </w:rPr>
        <w:t>considerable interpatient variability exists</w:t>
      </w:r>
      <w:r>
        <w:rPr>
          <w:rFonts w:ascii="Times New Roman" w:hAnsi="Times New Roman"/>
        </w:rPr>
        <w:t xml:space="preserve">. ESC noted that there is little evidence to suggest an optimum dosing algorithm in CIDP patients. A study by Lunn et al proposed a dosing algorithm </w:t>
      </w:r>
      <w:r w:rsidRPr="007A70B6">
        <w:rPr>
          <w:rFonts w:ascii="Times New Roman" w:hAnsi="Times New Roman"/>
        </w:rPr>
        <w:t>to standardise the tapering of Ig doses in chronic inflammatory neuropathies based on patient response</w:t>
      </w:r>
      <w:r>
        <w:rPr>
          <w:rFonts w:ascii="Times New Roman" w:hAnsi="Times New Roman"/>
        </w:rPr>
        <w:t xml:space="preserve">. Study participants were treated with one or two IVIg doses of 2g/kg three weeks apart, and a third dose was not administered until the patient’s condition deteriorated, to establish the dose interval. The dose was then reduced by 20% per course until relapse, allowing dose optimisation. ESC noted the revised 1564 DCAR </w:t>
      </w:r>
      <w:r>
        <w:rPr>
          <w:rFonts w:ascii="Times New Roman" w:hAnsi="Times New Roman"/>
        </w:rPr>
        <w:lastRenderedPageBreak/>
        <w:t xml:space="preserve">tested this 20% dose reduction in a sensitivity analysis which reduced the ICER in the </w:t>
      </w:r>
      <w:r w:rsidRPr="00FE7CB1">
        <w:rPr>
          <w:rFonts w:ascii="Times New Roman" w:hAnsi="Times New Roman"/>
        </w:rPr>
        <w:t>Ig versus corticosteroids</w:t>
      </w:r>
      <w:r>
        <w:rPr>
          <w:rFonts w:ascii="Times New Roman" w:hAnsi="Times New Roman"/>
        </w:rPr>
        <w:t xml:space="preserve"> comparison</w:t>
      </w:r>
      <w:r w:rsidRPr="00FE7CB1">
        <w:rPr>
          <w:rFonts w:ascii="Times New Roman" w:hAnsi="Times New Roman"/>
        </w:rPr>
        <w:t xml:space="preserve"> </w:t>
      </w:r>
      <w:r>
        <w:rPr>
          <w:rFonts w:ascii="Times New Roman" w:hAnsi="Times New Roman"/>
        </w:rPr>
        <w:t xml:space="preserve">by 27% (to </w:t>
      </w:r>
      <w:r w:rsidRPr="00FE7CB1">
        <w:rPr>
          <w:rFonts w:ascii="Times New Roman" w:hAnsi="Times New Roman"/>
        </w:rPr>
        <w:t>$84,934</w:t>
      </w:r>
      <w:r>
        <w:rPr>
          <w:rFonts w:ascii="Times New Roman" w:hAnsi="Times New Roman"/>
        </w:rPr>
        <w:t>/QALY).</w:t>
      </w:r>
    </w:p>
    <w:p w14:paraId="5E7FF154" w14:textId="2B406683" w:rsidR="00A36DE2" w:rsidRDefault="00A36DE2" w:rsidP="008B6093">
      <w:pPr>
        <w:pStyle w:val="Style8"/>
        <w:rPr>
          <w:rFonts w:ascii="Times New Roman" w:hAnsi="Times New Roman"/>
        </w:rPr>
      </w:pPr>
      <w:r>
        <w:rPr>
          <w:rFonts w:ascii="Times New Roman" w:hAnsi="Times New Roman"/>
        </w:rPr>
        <w:t>ESC noted that in the main comparison of Ig versus</w:t>
      </w:r>
      <w:r w:rsidR="005764BC">
        <w:rPr>
          <w:rFonts w:ascii="Times New Roman" w:hAnsi="Times New Roman"/>
        </w:rPr>
        <w:t xml:space="preserve"> corticosteroids</w:t>
      </w:r>
      <w:r>
        <w:rPr>
          <w:rFonts w:ascii="Times New Roman" w:hAnsi="Times New Roman"/>
        </w:rPr>
        <w:t xml:space="preserve">, the base case ICER was </w:t>
      </w:r>
      <w:r w:rsidRPr="007B1330">
        <w:rPr>
          <w:rFonts w:ascii="Times New Roman" w:hAnsi="Times New Roman"/>
        </w:rPr>
        <w:t>$116,088</w:t>
      </w:r>
      <w:r>
        <w:rPr>
          <w:rFonts w:ascii="Times New Roman" w:hAnsi="Times New Roman"/>
        </w:rPr>
        <w:t xml:space="preserve"> per quality-adjusted life-year (QALY), modelled over a 10-year time horizon. This is significantly lower than the ICER for the same comparison estimated in the original DCAR (</w:t>
      </w:r>
      <w:r w:rsidRPr="00110B08">
        <w:rPr>
          <w:rFonts w:ascii="Times New Roman" w:hAnsi="Times New Roman"/>
        </w:rPr>
        <w:t>$197,472 per QALY</w:t>
      </w:r>
      <w:r>
        <w:rPr>
          <w:rFonts w:ascii="Times New Roman" w:hAnsi="Times New Roman"/>
        </w:rPr>
        <w:t>) due to the incorporation of severe and long-term AEs associated with</w:t>
      </w:r>
      <w:r w:rsidR="005764BC">
        <w:rPr>
          <w:rFonts w:ascii="Times New Roman" w:hAnsi="Times New Roman"/>
        </w:rPr>
        <w:t xml:space="preserve"> corticosteroid</w:t>
      </w:r>
      <w:r>
        <w:rPr>
          <w:rFonts w:ascii="Times New Roman" w:hAnsi="Times New Roman"/>
        </w:rPr>
        <w:t xml:space="preserve"> use in the revised model. ESC noted that due to uncertainty in the quality of the effectiveness and safety data (i.e. uncertain estimates for severe AEs associated with</w:t>
      </w:r>
      <w:r w:rsidR="005764BC">
        <w:rPr>
          <w:rFonts w:ascii="Times New Roman" w:hAnsi="Times New Roman"/>
        </w:rPr>
        <w:t xml:space="preserve"> corticosteroids</w:t>
      </w:r>
      <w:r>
        <w:rPr>
          <w:rFonts w:ascii="Times New Roman" w:hAnsi="Times New Roman"/>
        </w:rPr>
        <w:t>), the true ICER may be higher than predicted.</w:t>
      </w:r>
      <w:r w:rsidRPr="00165433">
        <w:rPr>
          <w:rFonts w:ascii="Times New Roman" w:hAnsi="Times New Roman"/>
        </w:rPr>
        <w:t xml:space="preserve"> </w:t>
      </w:r>
      <w:r>
        <w:rPr>
          <w:rFonts w:ascii="Times New Roman" w:hAnsi="Times New Roman"/>
        </w:rPr>
        <w:t>ESC queried whether the patient population with giant cell arteritis (GCA) in the study by Wilson et al is representative of a CIDP population, noting that SAE for</w:t>
      </w:r>
      <w:r w:rsidR="005764BC">
        <w:rPr>
          <w:rFonts w:ascii="Times New Roman" w:hAnsi="Times New Roman"/>
        </w:rPr>
        <w:t xml:space="preserve"> corticosteroids</w:t>
      </w:r>
      <w:r>
        <w:rPr>
          <w:rFonts w:ascii="Times New Roman" w:hAnsi="Times New Roman"/>
        </w:rPr>
        <w:t xml:space="preserve"> are duration and dose dependent.</w:t>
      </w:r>
    </w:p>
    <w:p w14:paraId="6D5A0645" w14:textId="77777777" w:rsidR="00A36DE2" w:rsidRDefault="00A36DE2" w:rsidP="008B6093">
      <w:pPr>
        <w:pStyle w:val="Style8"/>
        <w:rPr>
          <w:rFonts w:ascii="Times New Roman" w:hAnsi="Times New Roman"/>
        </w:rPr>
      </w:pPr>
      <w:r>
        <w:rPr>
          <w:rFonts w:ascii="Times New Roman" w:hAnsi="Times New Roman"/>
        </w:rPr>
        <w:t xml:space="preserve">ESC noted results of the secondary comparisons of Ig versus PE and Ig versus placebo produced ICERs of </w:t>
      </w:r>
      <w:r w:rsidRPr="006600CF">
        <w:rPr>
          <w:rFonts w:ascii="Times New Roman" w:hAnsi="Times New Roman"/>
        </w:rPr>
        <w:t>$128,614</w:t>
      </w:r>
      <w:r>
        <w:rPr>
          <w:rFonts w:ascii="Times New Roman" w:hAnsi="Times New Roman"/>
        </w:rPr>
        <w:t xml:space="preserve">/QALY and </w:t>
      </w:r>
      <w:r w:rsidRPr="006600CF">
        <w:rPr>
          <w:rFonts w:ascii="Times New Roman" w:hAnsi="Times New Roman"/>
        </w:rPr>
        <w:t>$92,983</w:t>
      </w:r>
      <w:r>
        <w:rPr>
          <w:rFonts w:ascii="Times New Roman" w:hAnsi="Times New Roman"/>
        </w:rPr>
        <w:t>/QALY, respectively.</w:t>
      </w:r>
    </w:p>
    <w:p w14:paraId="31AF6E58" w14:textId="77777777" w:rsidR="00A36DE2" w:rsidRDefault="00A36DE2" w:rsidP="008B6093">
      <w:pPr>
        <w:pStyle w:val="Style8"/>
        <w:rPr>
          <w:rFonts w:ascii="Times New Roman" w:hAnsi="Times New Roman"/>
        </w:rPr>
      </w:pPr>
      <w:r>
        <w:rPr>
          <w:rFonts w:ascii="Times New Roman" w:hAnsi="Times New Roman"/>
        </w:rPr>
        <w:t xml:space="preserve">The financial impacts </w:t>
      </w:r>
      <w:r w:rsidRPr="002472E4">
        <w:rPr>
          <w:rFonts w:ascii="Times New Roman" w:hAnsi="Times New Roman"/>
        </w:rPr>
        <w:t xml:space="preserve">and predicted </w:t>
      </w:r>
      <w:r>
        <w:rPr>
          <w:rFonts w:ascii="Times New Roman" w:hAnsi="Times New Roman"/>
        </w:rPr>
        <w:t>Ig use</w:t>
      </w:r>
      <w:r w:rsidRPr="002472E4">
        <w:rPr>
          <w:rFonts w:ascii="Times New Roman" w:hAnsi="Times New Roman"/>
        </w:rPr>
        <w:t xml:space="preserve"> </w:t>
      </w:r>
      <w:r>
        <w:rPr>
          <w:rFonts w:ascii="Times New Roman" w:hAnsi="Times New Roman"/>
        </w:rPr>
        <w:t>for the treatment of</w:t>
      </w:r>
      <w:r w:rsidRPr="002472E4">
        <w:rPr>
          <w:rFonts w:ascii="Times New Roman" w:hAnsi="Times New Roman"/>
        </w:rPr>
        <w:t xml:space="preserve"> CIDP were estimated </w:t>
      </w:r>
      <w:r>
        <w:rPr>
          <w:rFonts w:ascii="Times New Roman" w:hAnsi="Times New Roman"/>
        </w:rPr>
        <w:t xml:space="preserve">using a market-based approach </w:t>
      </w:r>
      <w:r w:rsidRPr="002472E4">
        <w:rPr>
          <w:rFonts w:ascii="Times New Roman" w:hAnsi="Times New Roman"/>
        </w:rPr>
        <w:t>for a 5-year period from 2021-22 to 2025-26</w:t>
      </w:r>
      <w:r>
        <w:rPr>
          <w:rFonts w:ascii="Times New Roman" w:hAnsi="Times New Roman"/>
        </w:rPr>
        <w:t>. T</w:t>
      </w:r>
      <w:r w:rsidRPr="00717D90">
        <w:rPr>
          <w:rFonts w:ascii="Times New Roman" w:hAnsi="Times New Roman"/>
        </w:rPr>
        <w:t xml:space="preserve">he </w:t>
      </w:r>
      <w:r>
        <w:rPr>
          <w:rFonts w:ascii="Times New Roman" w:hAnsi="Times New Roman"/>
        </w:rPr>
        <w:t xml:space="preserve">revised </w:t>
      </w:r>
      <w:r w:rsidRPr="00717D90">
        <w:rPr>
          <w:rFonts w:ascii="Times New Roman" w:hAnsi="Times New Roman"/>
        </w:rPr>
        <w:t xml:space="preserve">DCAR estimated </w:t>
      </w:r>
      <w:r>
        <w:rPr>
          <w:rFonts w:ascii="Times New Roman" w:hAnsi="Times New Roman"/>
        </w:rPr>
        <w:t>n</w:t>
      </w:r>
      <w:r w:rsidRPr="00717D90">
        <w:rPr>
          <w:rFonts w:ascii="Times New Roman" w:hAnsi="Times New Roman"/>
        </w:rPr>
        <w:t>et government costs for Ig use and delivery for CIDP treatment are projected to be $1</w:t>
      </w:r>
      <w:r>
        <w:rPr>
          <w:rFonts w:ascii="Times New Roman" w:hAnsi="Times New Roman"/>
        </w:rPr>
        <w:t>28</w:t>
      </w:r>
      <w:r w:rsidRPr="00717D90">
        <w:rPr>
          <w:rFonts w:ascii="Times New Roman" w:hAnsi="Times New Roman"/>
        </w:rPr>
        <w:t>.</w:t>
      </w:r>
      <w:r>
        <w:rPr>
          <w:rFonts w:ascii="Times New Roman" w:hAnsi="Times New Roman"/>
        </w:rPr>
        <w:t>2</w:t>
      </w:r>
      <w:r w:rsidRPr="00717D90">
        <w:rPr>
          <w:rFonts w:ascii="Times New Roman" w:hAnsi="Times New Roman"/>
        </w:rPr>
        <w:t xml:space="preserve"> million in 202</w:t>
      </w:r>
      <w:r>
        <w:rPr>
          <w:rFonts w:ascii="Times New Roman" w:hAnsi="Times New Roman"/>
        </w:rPr>
        <w:t>1-22</w:t>
      </w:r>
      <w:r w:rsidRPr="00717D90">
        <w:rPr>
          <w:rFonts w:ascii="Times New Roman" w:hAnsi="Times New Roman"/>
        </w:rPr>
        <w:t>, increasing to $1</w:t>
      </w:r>
      <w:r>
        <w:rPr>
          <w:rFonts w:ascii="Times New Roman" w:hAnsi="Times New Roman"/>
        </w:rPr>
        <w:t>52</w:t>
      </w:r>
      <w:r w:rsidRPr="00717D90">
        <w:rPr>
          <w:rFonts w:ascii="Times New Roman" w:hAnsi="Times New Roman"/>
        </w:rPr>
        <w:t>.</w:t>
      </w:r>
      <w:r>
        <w:rPr>
          <w:rFonts w:ascii="Times New Roman" w:hAnsi="Times New Roman"/>
        </w:rPr>
        <w:t>6</w:t>
      </w:r>
      <w:r w:rsidRPr="00717D90">
        <w:rPr>
          <w:rFonts w:ascii="Times New Roman" w:hAnsi="Times New Roman"/>
        </w:rPr>
        <w:t xml:space="preserve"> million by 20</w:t>
      </w:r>
      <w:r>
        <w:rPr>
          <w:rFonts w:ascii="Times New Roman" w:hAnsi="Times New Roman"/>
        </w:rPr>
        <w:t>25-26</w:t>
      </w:r>
      <w:r w:rsidRPr="00717D90">
        <w:rPr>
          <w:rFonts w:ascii="Times New Roman" w:hAnsi="Times New Roman"/>
        </w:rPr>
        <w:t xml:space="preserve">. </w:t>
      </w:r>
      <w:r>
        <w:rPr>
          <w:rFonts w:ascii="Times New Roman" w:hAnsi="Times New Roman"/>
        </w:rPr>
        <w:t xml:space="preserve">The projections are based on the available utilisation data under </w:t>
      </w:r>
      <w:r w:rsidRPr="00717D90">
        <w:rPr>
          <w:rFonts w:ascii="Times New Roman" w:hAnsi="Times New Roman"/>
        </w:rPr>
        <w:t>Criteria V2 or when patients were transitioning to the Criteria V3</w:t>
      </w:r>
      <w:r>
        <w:rPr>
          <w:rFonts w:ascii="Times New Roman" w:hAnsi="Times New Roman"/>
        </w:rPr>
        <w:t xml:space="preserve">. ESC considered the methods used and calculations were appropriate but noted there is some uncertainty about whether the trends observed under the V2 Criteria period would continue under the Criteria V3. </w:t>
      </w:r>
    </w:p>
    <w:p w14:paraId="3228E163" w14:textId="77777777" w:rsidR="00A36DE2" w:rsidRDefault="00A36DE2" w:rsidP="008B6093">
      <w:pPr>
        <w:pStyle w:val="Style8"/>
        <w:rPr>
          <w:rFonts w:ascii="Times New Roman" w:hAnsi="Times New Roman"/>
        </w:rPr>
      </w:pPr>
      <w:r>
        <w:rPr>
          <w:rFonts w:ascii="Times New Roman" w:hAnsi="Times New Roman"/>
        </w:rPr>
        <w:t>ESC noted that consistent with previous reviews of Ig, t</w:t>
      </w:r>
      <w:r w:rsidRPr="00E87591">
        <w:rPr>
          <w:rFonts w:ascii="Times New Roman" w:hAnsi="Times New Roman"/>
        </w:rPr>
        <w:t>he cost per gram of Ig used in the base case is $60.41</w:t>
      </w:r>
      <w:r>
        <w:rPr>
          <w:rFonts w:ascii="Times New Roman" w:hAnsi="Times New Roman"/>
        </w:rPr>
        <w:t xml:space="preserve">. This represents the cost per gram of domestic IVIg (excluding the cost of plasma fractionation) and is calculated based on the costs and grams of IVIg issued according to the National Report on the Issue and Use of Ig in 2017/18. Sensitivity analyses were performed using the following  prices: highest = $140.18/g based on the cost of domestic IVIg including the cost of plasma fractionation; lowest price = $44.94/g based on cost of imported IVIg; and an estimated weighted average price, including plasma fractionation costs = $94.51/g. Changes to the price per gram of Ig had a large impact on both the ICER and the financial estimates. Therefore, ESC queried whether pricing arrangements to reduce the cost per gram of Ig could be explored by the NBA. It was noted that the applicant recently finalised a procurement process of new national contracts for the supply of imported Ig products. ESC advised that, should the updated prices for imported Ig be substantially different to those already considered in the DCAR, then MSAC should have visibility of the new prices. </w:t>
      </w:r>
    </w:p>
    <w:p w14:paraId="61C41ECC" w14:textId="77777777" w:rsidR="008B6093" w:rsidRDefault="008B6093" w:rsidP="008B6093">
      <w:pPr>
        <w:pStyle w:val="Heading1"/>
        <w:rPr>
          <w:rFonts w:ascii="Arial" w:hAnsi="Arial" w:cs="Arial"/>
        </w:rPr>
      </w:pPr>
      <w:r>
        <w:rPr>
          <w:rFonts w:ascii="Arial" w:hAnsi="Arial" w:cs="Arial"/>
        </w:rPr>
        <w:t>Other significant factors</w:t>
      </w:r>
    </w:p>
    <w:p w14:paraId="19BDA80A" w14:textId="0090E504" w:rsidR="008B6093" w:rsidRDefault="008B6093" w:rsidP="008B6093">
      <w:r>
        <w:t xml:space="preserve">Following finalisation of the revised 1564 DCAR, errors were identified in the report which have been corrected in the Erratum to the </w:t>
      </w:r>
      <w:r w:rsidRPr="005E5078">
        <w:t>DCAR (</w:t>
      </w:r>
      <w:r w:rsidRPr="005E5078">
        <w:rPr>
          <w:u w:val="single"/>
        </w:rPr>
        <w:t>Attachment A</w:t>
      </w:r>
      <w:r w:rsidRPr="005E5078">
        <w:t>) and updated</w:t>
      </w:r>
      <w:r>
        <w:t xml:space="preserve"> in this ESC Report.</w:t>
      </w:r>
    </w:p>
    <w:p w14:paraId="1BE454F5" w14:textId="77777777" w:rsidR="008B6093" w:rsidRDefault="008B6093" w:rsidP="008B6093">
      <w:r>
        <w:t xml:space="preserve">In the economic model for IVIg versus PE, the calculations of costs associated with central venous access were corrected. A programming error resulted in this cost being repeatedly added for each cycle of PE, rather than as a one-off cost in maintenance phase of treatment, and some repetitions of this cost in the IVIg arm also. The corrected calculations increase the base case ICER from </w:t>
      </w:r>
      <w:r w:rsidRPr="00AE40FE">
        <w:t>$94,038</w:t>
      </w:r>
      <w:r>
        <w:t xml:space="preserve"> to </w:t>
      </w:r>
      <w:r w:rsidRPr="00AE40FE">
        <w:t xml:space="preserve">$128,614 </w:t>
      </w:r>
      <w:r>
        <w:t>in this comparison.</w:t>
      </w:r>
    </w:p>
    <w:p w14:paraId="219BF83E" w14:textId="77777777" w:rsidR="008B6093" w:rsidRDefault="008B6093" w:rsidP="008B6093">
      <w:r>
        <w:lastRenderedPageBreak/>
        <w:t xml:space="preserve">The amendments also include a correction to the AE rate reported from the </w:t>
      </w:r>
      <w:r w:rsidRPr="00B810EA">
        <w:t>(Nieto-Aristizábal et al. 2020)</w:t>
      </w:r>
      <w:r>
        <w:t xml:space="preserve">, which should be reported as up to 40% per patient and 8% per procedure, </w:t>
      </w:r>
      <w:r w:rsidRPr="004108D2">
        <w:t>rather than 40% per procedure</w:t>
      </w:r>
      <w:r>
        <w:t>. This AE value was not incorporated into the economic model.</w:t>
      </w:r>
    </w:p>
    <w:p w14:paraId="5D4DAE2D" w14:textId="77777777" w:rsidR="008B6093" w:rsidRDefault="008B6093" w:rsidP="008B6093">
      <w:pPr>
        <w:pStyle w:val="Heading1"/>
        <w:rPr>
          <w:rFonts w:ascii="Arial" w:hAnsi="Arial" w:cs="Arial"/>
        </w:rPr>
      </w:pPr>
      <w:r>
        <w:rPr>
          <w:rFonts w:ascii="Arial" w:hAnsi="Arial" w:cs="Arial"/>
        </w:rPr>
        <w:t>Applicant comments on MSAC’s Public Summary Document</w:t>
      </w:r>
    </w:p>
    <w:p w14:paraId="2D3945A9" w14:textId="2D4DCF74" w:rsidR="00846E51" w:rsidRPr="00C55C32" w:rsidRDefault="00846E51" w:rsidP="00846E51">
      <w:r w:rsidRPr="00C55C32">
        <w:t>The National Blood Authority (NBA) notes MSAC’s advice to the NBA and proposed advice to the Minister regarding the funding of Ig therapy for the treatment of CIDP.</w:t>
      </w:r>
    </w:p>
    <w:p w14:paraId="6614A647" w14:textId="77777777" w:rsidR="00846E51" w:rsidRPr="00C55C32" w:rsidRDefault="00846E51" w:rsidP="00846E51">
      <w:r w:rsidRPr="00C55C32">
        <w:t xml:space="preserve">The NBA agrees that work needs to continue to manage the access and use of Ig under the national blood arrangements in accordance with the NBA’s statutory responsibilities. This work is ongoing through the NBA Immunoglobulin Governance Program, the NBA National Immunoglobulin Advisory Committee (NIGAC), four NIGAC expert Specialist Working Groups, the development, implementation and continuous review of national access criteria to inform clinical decisions to ensure the most appropriate use of this precious and costly blood product, the development and provision of clinical education, and NBA ICT systems that manage product access, use and information nationally. The acquisition and use of blood products is also underpinned by national supply arrangements through the NBA’s commercial procurement and contract management activities that deliver the best value for money for governments. </w:t>
      </w:r>
    </w:p>
    <w:p w14:paraId="337A986A" w14:textId="77777777" w:rsidR="00846E51" w:rsidRPr="00C55C32" w:rsidRDefault="00846E51" w:rsidP="00846E51">
      <w:r w:rsidRPr="00C55C32">
        <w:t>As noted by MSAC in the specific context of CIDP, the growth in the use of Ig is being driven by increased demand. Concurrent with MSAC’s consideration of Application 1564, the NBA initiated an external performance review of the NBA Ig Governance Program. This review noted that the NBA has been successful in moderating the overall growth in demand for Ig from almost 12% annually (a growth level in Australia that is consistent with a number of other comparable countries) to 7.3%. The review concluded that, in addition to significant savings already achieved, this reduced level of demand will save governments some $2.2 billion by 2030-31 compared with costs associated with the unmoderated growth in demand. This moderated growth has been achieved through more targeted and appropriate access to Ig than through access to Ig being ceased for those requiring this treatment.</w:t>
      </w:r>
    </w:p>
    <w:p w14:paraId="09CE1A62" w14:textId="27DABD7D" w:rsidR="004975C3" w:rsidRPr="00C55C32" w:rsidRDefault="00846E51" w:rsidP="00846E51">
      <w:r w:rsidRPr="00C55C32">
        <w:t>The NBA will continue this work, including through the current Ig performance improvement program, taking account of MSAC’s advice in relation to CIDP. The NBA will continue to pursue improvements in the information and evidence base to ensure Ig therapy for CIDP reflects the most appropriate use</w:t>
      </w:r>
      <w:r w:rsidR="007D5C8F">
        <w:t xml:space="preserve">. </w:t>
      </w:r>
      <w:r w:rsidR="007D5C8F" w:rsidRPr="007D5C8F">
        <w:t>Any material uplift to current activities and systems will require a commensurate increase in funding</w:t>
      </w:r>
      <w:r w:rsidRPr="00C55C32">
        <w:t>.</w:t>
      </w:r>
    </w:p>
    <w:p w14:paraId="4B888752" w14:textId="77777777" w:rsidR="008B6093" w:rsidRDefault="008B6093" w:rsidP="008B6093">
      <w:pPr>
        <w:pStyle w:val="Heading1"/>
        <w:rPr>
          <w:rFonts w:ascii="Arial" w:hAnsi="Arial" w:cs="Arial"/>
        </w:rPr>
      </w:pPr>
      <w:r>
        <w:rPr>
          <w:rFonts w:ascii="Arial" w:hAnsi="Arial" w:cs="Arial"/>
        </w:rPr>
        <w:t>Further information on MSAC</w:t>
      </w:r>
    </w:p>
    <w:p w14:paraId="74914BF8" w14:textId="13513079" w:rsidR="008B6093" w:rsidRPr="009A5DF3" w:rsidRDefault="008B6093" w:rsidP="009A5DF3">
      <w:pPr>
        <w:rPr>
          <w:szCs w:val="24"/>
        </w:rPr>
      </w:pPr>
      <w:r w:rsidRPr="00F715D1">
        <w:rPr>
          <w:szCs w:val="24"/>
        </w:rPr>
        <w:t xml:space="preserve">MSAC Terms of Reference and other information are available on the MSAC Website: </w:t>
      </w:r>
      <w:r>
        <w:rPr>
          <w:szCs w:val="24"/>
        </w:rPr>
        <w:br/>
      </w:r>
      <w:hyperlink r:id="rId24" w:tooltip="Link to Medical Services Advisory Committee website" w:history="1">
        <w:r w:rsidRPr="00F715D1">
          <w:rPr>
            <w:rStyle w:val="Hyperlink"/>
            <w:szCs w:val="24"/>
          </w:rPr>
          <w:t>visit the MSAC website</w:t>
        </w:r>
      </w:hyperlink>
    </w:p>
    <w:sectPr w:rsidR="008B6093" w:rsidRPr="009A5DF3" w:rsidSect="001F0A85">
      <w:footerReference w:type="default" r:id="rId2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CF1C0" w14:textId="77777777" w:rsidR="005B2705" w:rsidRDefault="005B2705" w:rsidP="00065623">
      <w:r>
        <w:separator/>
      </w:r>
    </w:p>
  </w:endnote>
  <w:endnote w:type="continuationSeparator" w:id="0">
    <w:p w14:paraId="62AED81D" w14:textId="77777777" w:rsidR="005B2705" w:rsidRDefault="005B2705" w:rsidP="00065623">
      <w:r>
        <w:continuationSeparator/>
      </w:r>
    </w:p>
  </w:endnote>
  <w:endnote w:type="continuationNotice" w:id="1">
    <w:p w14:paraId="3729CF2D" w14:textId="77777777" w:rsidR="005B2705" w:rsidRDefault="005B2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ato-Regular">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25A16B21" w14:textId="5A5F9C5B" w:rsidR="005B2705" w:rsidRDefault="005B2705" w:rsidP="00C10778">
        <w:pPr>
          <w:pStyle w:val="Footer"/>
          <w:jc w:val="right"/>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42555" w14:textId="77777777" w:rsidR="005B2705" w:rsidRDefault="005B2705" w:rsidP="00065623">
      <w:r>
        <w:separator/>
      </w:r>
    </w:p>
  </w:footnote>
  <w:footnote w:type="continuationSeparator" w:id="0">
    <w:p w14:paraId="0B72D599" w14:textId="77777777" w:rsidR="005B2705" w:rsidRDefault="005B2705" w:rsidP="00065623">
      <w:r>
        <w:continuationSeparator/>
      </w:r>
    </w:p>
  </w:footnote>
  <w:footnote w:type="continuationNotice" w:id="1">
    <w:p w14:paraId="708768A9" w14:textId="77777777" w:rsidR="005B2705" w:rsidRDefault="005B2705"/>
  </w:footnote>
  <w:footnote w:id="2">
    <w:p w14:paraId="6889A5C8" w14:textId="77777777" w:rsidR="005B2705" w:rsidRDefault="005B2705" w:rsidP="00E75AEE">
      <w:pPr>
        <w:pStyle w:val="FootnoteText"/>
      </w:pPr>
      <w:r>
        <w:rPr>
          <w:rStyle w:val="FootnoteReference"/>
        </w:rPr>
        <w:footnoteRef/>
      </w:r>
      <w:r>
        <w:t xml:space="preserve"> </w:t>
      </w:r>
      <w:r w:rsidRPr="000A5D9D">
        <w:t>Broers, MC, Bunschoten, C, Nieboer, D, Lingsma, HF &amp; Jacobs, BC 2019, 'Incidence and Prevalence of Chronic Inflammatory Demyelinating Polyradiculoneuropathy: A Systematic Review and Meta-Analysis', Neuroepidemiology, vol.52, pp. 161-72.</w:t>
      </w:r>
    </w:p>
  </w:footnote>
  <w:footnote w:id="3">
    <w:p w14:paraId="48ABE99E" w14:textId="77777777" w:rsidR="005B2705" w:rsidRPr="00D070E7" w:rsidRDefault="005B2705" w:rsidP="00D070E7">
      <w:pPr>
        <w:autoSpaceDE w:val="0"/>
        <w:autoSpaceDN w:val="0"/>
        <w:adjustRightInd w:val="0"/>
        <w:spacing w:before="0" w:after="0"/>
        <w:jc w:val="left"/>
        <w:rPr>
          <w:rFonts w:eastAsia="Lato-Regular"/>
          <w:color w:val="000000"/>
          <w:sz w:val="20"/>
          <w:lang w:eastAsia="en-US"/>
        </w:rPr>
      </w:pPr>
      <w:r w:rsidRPr="00D070E7">
        <w:rPr>
          <w:rStyle w:val="FootnoteReference"/>
          <w:sz w:val="20"/>
        </w:rPr>
        <w:footnoteRef/>
      </w:r>
      <w:r w:rsidRPr="00D070E7">
        <w:rPr>
          <w:sz w:val="20"/>
        </w:rPr>
        <w:t xml:space="preserve"> </w:t>
      </w:r>
      <w:r w:rsidRPr="00D070E7">
        <w:rPr>
          <w:rFonts w:eastAsia="Lato-Regular"/>
          <w:color w:val="000000"/>
          <w:sz w:val="20"/>
          <w:lang w:eastAsia="en-US"/>
        </w:rPr>
        <w:t xml:space="preserve">Broers MC, Bunschoten C, Drenthen J, et al. Misdiagnosis and diagnostic pitfalls of chronic inflammatory demyelinating polyradiculoneuropathy. </w:t>
      </w:r>
      <w:r w:rsidRPr="00D070E7">
        <w:rPr>
          <w:rFonts w:eastAsia="Lato-Regular"/>
          <w:i/>
          <w:iCs/>
          <w:color w:val="000000"/>
          <w:sz w:val="20"/>
          <w:lang w:eastAsia="en-US"/>
        </w:rPr>
        <w:t>Eur J</w:t>
      </w:r>
      <w:r w:rsidRPr="00D070E7">
        <w:rPr>
          <w:rFonts w:eastAsia="Lato-Regular"/>
          <w:color w:val="000000"/>
          <w:sz w:val="20"/>
          <w:lang w:eastAsia="en-US"/>
        </w:rPr>
        <w:t xml:space="preserve"> </w:t>
      </w:r>
      <w:r w:rsidRPr="00D070E7">
        <w:rPr>
          <w:rFonts w:eastAsia="Lato-Regular"/>
          <w:i/>
          <w:iCs/>
          <w:color w:val="000000"/>
          <w:sz w:val="20"/>
          <w:lang w:eastAsia="en-US"/>
        </w:rPr>
        <w:t>Neurol</w:t>
      </w:r>
      <w:r w:rsidRPr="00D070E7">
        <w:rPr>
          <w:rFonts w:eastAsia="Lato-Regular"/>
          <w:color w:val="000000"/>
          <w:sz w:val="20"/>
          <w:lang w:eastAsia="en-US"/>
        </w:rPr>
        <w:t xml:space="preserve">. 2021;28:2065–2073. </w:t>
      </w:r>
      <w:r w:rsidRPr="00D070E7">
        <w:rPr>
          <w:rFonts w:eastAsia="Lato-Regular"/>
          <w:color w:val="0000FF"/>
          <w:sz w:val="20"/>
          <w:lang w:eastAsia="en-US"/>
        </w:rPr>
        <w:t>https://doi.org/10.1111/ene.14796</w:t>
      </w:r>
    </w:p>
  </w:footnote>
  <w:footnote w:id="4">
    <w:p w14:paraId="7A0497EA" w14:textId="5FE4411D" w:rsidR="005B2705" w:rsidRDefault="005B2705">
      <w:pPr>
        <w:pStyle w:val="FootnoteText"/>
      </w:pPr>
      <w:r>
        <w:rPr>
          <w:rStyle w:val="FootnoteReference"/>
        </w:rPr>
        <w:footnoteRef/>
      </w:r>
      <w:r>
        <w:t xml:space="preserve"> </w:t>
      </w:r>
      <w:hyperlink r:id="rId1" w:history="1">
        <w:r w:rsidRPr="00B41A96">
          <w:rPr>
            <w:rStyle w:val="Hyperlink"/>
          </w:rPr>
          <w:t>https://www.pmc.gov.au/public-data/data-integration-partnership-australia</w:t>
        </w:r>
      </w:hyperlink>
    </w:p>
  </w:footnote>
  <w:footnote w:id="5">
    <w:p w14:paraId="31CCEF10" w14:textId="24BA35B4" w:rsidR="005B2705" w:rsidRDefault="005B2705">
      <w:pPr>
        <w:pStyle w:val="FootnoteText"/>
      </w:pPr>
      <w:r>
        <w:rPr>
          <w:rStyle w:val="FootnoteReference"/>
        </w:rPr>
        <w:footnoteRef/>
      </w:r>
      <w:r>
        <w:t xml:space="preserve"> </w:t>
      </w:r>
      <w:r w:rsidRPr="00D771DB">
        <w:t xml:space="preserve">National Blood Authority, 2018, </w:t>
      </w:r>
      <w:hyperlink r:id="rId2" w:history="1">
        <w:r w:rsidRPr="00D771DB">
          <w:rPr>
            <w:rStyle w:val="Hyperlink"/>
            <w:rFonts w:eastAsiaTheme="majorEastAsia"/>
            <w:i/>
          </w:rPr>
          <w:t>Criteria for the clinical use of immunoglobulin in Australia</w:t>
        </w:r>
      </w:hyperlink>
      <w:r w:rsidRPr="00D771DB">
        <w:rPr>
          <w:i/>
        </w:rPr>
        <w:t xml:space="preserve"> (</w:t>
      </w:r>
      <w:r>
        <w:t>version 3).</w:t>
      </w:r>
    </w:p>
  </w:footnote>
  <w:footnote w:id="6">
    <w:p w14:paraId="5299DCBF" w14:textId="7D4BE17B" w:rsidR="005B2705" w:rsidRDefault="005B2705">
      <w:pPr>
        <w:pStyle w:val="FootnoteText"/>
      </w:pPr>
      <w:r>
        <w:rPr>
          <w:rStyle w:val="FootnoteReference"/>
        </w:rPr>
        <w:footnoteRef/>
      </w:r>
      <w:r>
        <w:t xml:space="preserve"> </w:t>
      </w:r>
      <w:r w:rsidRPr="00B57FBC">
        <w:t>Mittal R, Milverton J, Schubert C, Parsons J (2021). Immunoglobulin for Chronic Inflammatory Demyelinating Polyneuropathy (CIDP). MSAC Application 1564.1, Re-submission assessment Report. Commonwealth of Australia, Canberra, ACT.</w:t>
      </w:r>
    </w:p>
  </w:footnote>
  <w:footnote w:id="7">
    <w:p w14:paraId="7A0B9E25" w14:textId="77777777" w:rsidR="005B2705" w:rsidRDefault="005B2705" w:rsidP="00CB1BAB">
      <w:pPr>
        <w:pStyle w:val="FootnoteText"/>
      </w:pPr>
      <w:r>
        <w:rPr>
          <w:rStyle w:val="FootnoteReference"/>
        </w:rPr>
        <w:footnoteRef/>
      </w:r>
      <w:r>
        <w:t xml:space="preserve"> </w:t>
      </w:r>
      <w:r w:rsidRPr="00001F1E">
        <w:t>Mittal R, Milverton J, Schubert C, Parsons J (2021). Immunoglobulin for Chronic Inflammatory Demyelinating Polyneuropathy (CIDP). MSAC Application 1564.1, Re-submission assessment Report. Commonwealth of Australia, Canberra, ACT.</w:t>
      </w:r>
    </w:p>
  </w:footnote>
  <w:footnote w:id="8">
    <w:p w14:paraId="20937451" w14:textId="77777777" w:rsidR="005B2705" w:rsidRDefault="005B2705" w:rsidP="00D0279F">
      <w:pPr>
        <w:pStyle w:val="FootnoteText"/>
      </w:pPr>
      <w:r>
        <w:rPr>
          <w:rStyle w:val="FootnoteReference"/>
        </w:rPr>
        <w:footnoteRef/>
      </w:r>
      <w:r>
        <w:t xml:space="preserve"> </w:t>
      </w:r>
      <w:r w:rsidRPr="001167B4">
        <w:t>Hartung, HP, Mallick, R, Bril, V, Lewis, RA, Sobue, G, Lawo, JP, Mielke, O, Durn, BL, Cornblath, DR, Merkies, ISJ &amp; van Schaik, IN 2019, 'Patient-reported outcomes with subcutaneous immunoglobulin in chronic inflammatory demyelinating polyneuropathy: the PATH study', European Journal of Neurology.</w:t>
      </w:r>
    </w:p>
  </w:footnote>
  <w:footnote w:id="9">
    <w:p w14:paraId="53E20923" w14:textId="77777777" w:rsidR="005B2705" w:rsidRDefault="005B2705" w:rsidP="00D0279F">
      <w:pPr>
        <w:pStyle w:val="FootnoteText"/>
      </w:pPr>
      <w:r>
        <w:rPr>
          <w:rStyle w:val="FootnoteReference"/>
        </w:rPr>
        <w:footnoteRef/>
      </w:r>
      <w:r>
        <w:t xml:space="preserve"> </w:t>
      </w:r>
      <w:r w:rsidRPr="001167B4">
        <w:t>Kuitwaard, K, Brusse, E, Jacobs, BC, Vrancken, AFJE, Eftimov, F, Notermans, NC, van der Kooi, AJ, Fokkink, WJR, Nieboer, D, Lingsma, HF, Merkies, ISJ &amp; van Doorn, PA 2020b, 'Randomized trial of intravenous immunoglobulin maintenance treatment regimens in chronic inflammatory demyelinating polyradiculoneuropathy', European Journal of Neurology.</w:t>
      </w:r>
    </w:p>
  </w:footnote>
  <w:footnote w:id="10">
    <w:p w14:paraId="52319092" w14:textId="77777777" w:rsidR="005B2705" w:rsidRDefault="005B2705" w:rsidP="00D0279F">
      <w:pPr>
        <w:pStyle w:val="FootnoteText"/>
      </w:pPr>
      <w:r>
        <w:rPr>
          <w:rStyle w:val="FootnoteReference"/>
        </w:rPr>
        <w:footnoteRef/>
      </w:r>
      <w:r>
        <w:t xml:space="preserve"> </w:t>
      </w:r>
      <w:r w:rsidRPr="00A97193">
        <w:t>Mittal R, Milverton J, Schubert C, Parsons J (2021). Immunoglobulin for Chronic Inflammatory Demyelinating Polyneuropathy (CIDP). MSAC Application 1564.1, Re-submission assessment Report. Commonwealth of Australia, Canberra, ACT</w:t>
      </w:r>
      <w:r>
        <w:t>. Table 25, page 71.</w:t>
      </w:r>
    </w:p>
  </w:footnote>
  <w:footnote w:id="11">
    <w:p w14:paraId="09ECDE5B" w14:textId="77777777" w:rsidR="005B2705" w:rsidRDefault="005B2705" w:rsidP="00A04940">
      <w:pPr>
        <w:pStyle w:val="FootnoteText"/>
      </w:pPr>
      <w:r>
        <w:rPr>
          <w:rStyle w:val="FootnoteReference"/>
        </w:rPr>
        <w:footnoteRef/>
      </w:r>
      <w:r>
        <w:t xml:space="preserve"> </w:t>
      </w:r>
      <w:r w:rsidRPr="00731591">
        <w:t>Rice, JB, White, AG, Scarpati, LM, Wan, G &amp; Nelson, WW 2017, 'Long-term Systemic Corticosteroid Exposure: A Systematic Literature Review', Clin Ther, vol. 39, no. 11, Nov, pp. 2216-2229.</w:t>
      </w:r>
    </w:p>
  </w:footnote>
  <w:footnote w:id="12">
    <w:p w14:paraId="5F1AEDD9" w14:textId="77777777" w:rsidR="005B2705" w:rsidRDefault="005B2705" w:rsidP="00A04940">
      <w:pPr>
        <w:pStyle w:val="FootnoteText"/>
      </w:pPr>
      <w:r>
        <w:rPr>
          <w:rStyle w:val="FootnoteReference"/>
        </w:rPr>
        <w:footnoteRef/>
      </w:r>
      <w:r>
        <w:t xml:space="preserve"> </w:t>
      </w:r>
      <w:r w:rsidRPr="00731591">
        <w:t>Huscher, D, Thiele, K, Gromnica-Ihle, E, Hein, G, Demary, W, Dreher, R, Zink, A &amp; Buttgereit, F 2009, 'Dose-related patterns of glucocorticoid-induced side effects', Ann Rheum Dis, vol. 68, no. 7, Jul, pp. 1119-1124.</w:t>
      </w:r>
    </w:p>
  </w:footnote>
  <w:footnote w:id="13">
    <w:p w14:paraId="27237ECB" w14:textId="77777777" w:rsidR="005B2705" w:rsidRDefault="005B2705" w:rsidP="00A04940">
      <w:pPr>
        <w:pStyle w:val="FootnoteText"/>
      </w:pPr>
      <w:r>
        <w:rPr>
          <w:rStyle w:val="FootnoteReference"/>
        </w:rPr>
        <w:footnoteRef/>
      </w:r>
      <w:r>
        <w:t xml:space="preserve"> </w:t>
      </w:r>
      <w:r w:rsidRPr="00731591">
        <w:t>Wilson, JC, Sarsour, K, Collinson, N, Tuckwell, K, Musselman, D, Klearman, M, Napalkov, P, Jick, SS, Stone, JH &amp; Meier, CR 2017a, 'Incidence of outcomes potentially associated with corticosteroid therapy in patients with giant cell arteritis', Semin Arthritis Rheum, vol. 46, no. 5, Apr, pp. 650-656.</w:t>
      </w:r>
    </w:p>
  </w:footnote>
  <w:footnote w:id="14">
    <w:p w14:paraId="17C3E6DF" w14:textId="77777777" w:rsidR="005B2705" w:rsidRDefault="005B2705" w:rsidP="00A04940">
      <w:pPr>
        <w:pStyle w:val="FootnoteText"/>
      </w:pPr>
      <w:r>
        <w:rPr>
          <w:rStyle w:val="FootnoteReference"/>
        </w:rPr>
        <w:footnoteRef/>
      </w:r>
      <w:r>
        <w:t xml:space="preserve"> </w:t>
      </w:r>
      <w:r w:rsidRPr="00731591">
        <w:t>van Lieverloo, GGA, Peric, S, Doneddu, PE, Gallia, F, Nikolic, A, Wieske, L, Verhamme, C, van Schaik, IN, Nobile-Orazio, E, Basta, I &amp; Eftimov, F 2018, 'Corticosteroids in chronic inflammatory demyelinating polyneuropathy : A retrospective, multicentre study, comparing efficacy and safety of daily prednisolone, pulsed dexamethasone, and pulsed intravenous methylprednisolone', J Neurol, vol. 265, no. 9, Sep, pp. 2052-2059.</w:t>
      </w:r>
    </w:p>
  </w:footnote>
  <w:footnote w:id="15">
    <w:p w14:paraId="733B3477" w14:textId="77777777" w:rsidR="005B2705" w:rsidRDefault="005B2705" w:rsidP="00104EA1">
      <w:pPr>
        <w:pStyle w:val="FootnoteText"/>
      </w:pPr>
      <w:r>
        <w:rPr>
          <w:rStyle w:val="FootnoteReference"/>
        </w:rPr>
        <w:footnoteRef/>
      </w:r>
      <w:r>
        <w:t xml:space="preserve"> </w:t>
      </w:r>
      <w:r w:rsidRPr="00104EA1">
        <w:t>Ortiz-Salas, P, Velez-Van-Meerbeke, A, Galvis-Gomez, CA &amp; Rodriguez, QJ 2016, 'Human Immunoglobulin Versus Plasmapheresis in Guillain-Barre Syndrome and Myasthenia Gravis: A Meta-Analysis', J Clin Neuromuscul Dis, vol. 18, no. 1, Sep, pp. 1-11.</w:t>
      </w:r>
    </w:p>
  </w:footnote>
  <w:footnote w:id="16">
    <w:p w14:paraId="4158B9CF" w14:textId="77777777" w:rsidR="005B2705" w:rsidRDefault="005B2705" w:rsidP="00104EA1">
      <w:pPr>
        <w:pStyle w:val="FootnoteText"/>
      </w:pPr>
      <w:r>
        <w:rPr>
          <w:rStyle w:val="FootnoteReference"/>
        </w:rPr>
        <w:footnoteRef/>
      </w:r>
      <w:r>
        <w:t xml:space="preserve"> </w:t>
      </w:r>
      <w:r w:rsidRPr="00104EA1">
        <w:t>Basic-Jukic, N, Kes, P, Glavas-Boras, S, Brunetta, B, Bubic-Filipi, L &amp; Puretic, Z 2005, 'Complications of Therapeutic Plasma Exchange: Experience With 4857 Treatments', Therapeutic Apheresis and Dialysis, vol. 9, no. 5, pp. 391-395.</w:t>
      </w:r>
    </w:p>
  </w:footnote>
  <w:footnote w:id="17">
    <w:p w14:paraId="069C1274" w14:textId="77C9CAD7" w:rsidR="005B2705" w:rsidRDefault="005B2705">
      <w:pPr>
        <w:pStyle w:val="FootnoteText"/>
      </w:pPr>
      <w:r>
        <w:rPr>
          <w:rStyle w:val="FootnoteReference"/>
        </w:rPr>
        <w:footnoteRef/>
      </w:r>
      <w:r>
        <w:t xml:space="preserve"> </w:t>
      </w:r>
      <w:r w:rsidRPr="00F870B6">
        <w:t>Waheed, W, Ayer, GA, Jadoo, CL, Badger, GJ, Aboukhatwa, M, Brannagan, TH, 3rd &amp; Tandan, R 2019, 'Safety of intravenous immune globulin in an outpatient setting for patients with neuromuscular disease', Muscle Nerve, vol. 60, no. 5, Nov, pp. 528-537.</w:t>
      </w:r>
    </w:p>
  </w:footnote>
  <w:footnote w:id="18">
    <w:p w14:paraId="655B6E60" w14:textId="77777777" w:rsidR="005B2705" w:rsidRDefault="005B2705" w:rsidP="00A36DE2">
      <w:pPr>
        <w:pStyle w:val="FootnoteText"/>
        <w:rPr>
          <w:rFonts w:ascii="Calibri" w:hAnsi="Calibri"/>
        </w:rPr>
      </w:pPr>
      <w:r>
        <w:rPr>
          <w:rStyle w:val="FootnoteReference"/>
        </w:rPr>
        <w:footnoteRef/>
      </w:r>
      <w:r>
        <w:t xml:space="preserve"> </w:t>
      </w:r>
      <w:r w:rsidRPr="00D771DB">
        <w:t xml:space="preserve">National Blood Authority, 2018, </w:t>
      </w:r>
      <w:hyperlink r:id="rId3" w:history="1">
        <w:r w:rsidRPr="00A46086">
          <w:rPr>
            <w:rStyle w:val="Hyperlink"/>
            <w:i/>
          </w:rPr>
          <w:t>Criteria for the clinical use of immunoglobulin in Australia</w:t>
        </w:r>
      </w:hyperlink>
      <w:r w:rsidRPr="00D771DB">
        <w:rPr>
          <w:i/>
        </w:rPr>
        <w:t xml:space="preserve"> (</w:t>
      </w:r>
      <w:r w:rsidRPr="00D771DB">
        <w:t>version 3).</w:t>
      </w:r>
      <w:r>
        <w:t xml:space="preserve"> </w:t>
      </w:r>
    </w:p>
  </w:footnote>
  <w:footnote w:id="19">
    <w:p w14:paraId="7FA649CA" w14:textId="77777777" w:rsidR="005B2705" w:rsidRDefault="005B2705" w:rsidP="00A36DE2">
      <w:pPr>
        <w:pStyle w:val="FootnoteText"/>
      </w:pPr>
      <w:r>
        <w:rPr>
          <w:rStyle w:val="FootnoteReference"/>
        </w:rPr>
        <w:footnoteRef/>
      </w:r>
      <w:r>
        <w:t xml:space="preserve"> </w:t>
      </w:r>
      <w:r w:rsidRPr="0090149B">
        <w:t>Kuitwaard, K, Brusse, E, Jacobs, BC, Vrancken, AFJE, Eftimov, F, Notermans, NC, van der Kooi, AJ, Fokkink, WJR, Nieboer, D, Lingsma, HF, Merkies, ISJ &amp; van Doorn, PA 2020b, 'Randomized trial of intravenous immunoglobulin maintenance treatment regimens in chronic inflammatory demyelinating polyradiculoneuropathy', European Journal of Neurology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0B8"/>
    <w:multiLevelType w:val="hybridMultilevel"/>
    <w:tmpl w:val="97EC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D337C"/>
    <w:multiLevelType w:val="hybridMultilevel"/>
    <w:tmpl w:val="9FA63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91FFC"/>
    <w:multiLevelType w:val="hybridMultilevel"/>
    <w:tmpl w:val="7EFC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534D0"/>
    <w:multiLevelType w:val="hybridMultilevel"/>
    <w:tmpl w:val="92A2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021BD"/>
    <w:multiLevelType w:val="hybridMultilevel"/>
    <w:tmpl w:val="0ED42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59281E"/>
    <w:multiLevelType w:val="hybridMultilevel"/>
    <w:tmpl w:val="87320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A1AFB"/>
    <w:multiLevelType w:val="hybridMultilevel"/>
    <w:tmpl w:val="71D0AE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DC629E7"/>
    <w:multiLevelType w:val="hybridMultilevel"/>
    <w:tmpl w:val="61D0C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9" w15:restartNumberingAfterBreak="0">
    <w:nsid w:val="16026CCF"/>
    <w:multiLevelType w:val="hybridMultilevel"/>
    <w:tmpl w:val="300E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75D3E"/>
    <w:multiLevelType w:val="hybridMultilevel"/>
    <w:tmpl w:val="99B6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9C41DD"/>
    <w:multiLevelType w:val="hybridMultilevel"/>
    <w:tmpl w:val="05F83A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90C8A"/>
    <w:multiLevelType w:val="hybridMultilevel"/>
    <w:tmpl w:val="5B58D0D0"/>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4F3685"/>
    <w:multiLevelType w:val="hybridMultilevel"/>
    <w:tmpl w:val="888C0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A07EC"/>
    <w:multiLevelType w:val="singleLevel"/>
    <w:tmpl w:val="FC24B238"/>
    <w:lvl w:ilvl="0">
      <w:start w:val="1"/>
      <w:numFmt w:val="decimal"/>
      <w:pStyle w:val="ESNumberedSectionHeading"/>
      <w:lvlText w:val="A.%1"/>
      <w:lvlJc w:val="left"/>
      <w:pPr>
        <w:ind w:left="644" w:hanging="360"/>
      </w:pPr>
      <w:rPr>
        <w:rFonts w:ascii="Calibri" w:hAnsi="Calibri" w:hint="default"/>
        <w:b/>
        <w:i w:val="0"/>
        <w:color w:val="auto"/>
        <w:sz w:val="24"/>
      </w:rPr>
    </w:lvl>
  </w:abstractNum>
  <w:abstractNum w:abstractNumId="15"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6" w15:restartNumberingAfterBreak="0">
    <w:nsid w:val="23FC2BB9"/>
    <w:multiLevelType w:val="hybridMultilevel"/>
    <w:tmpl w:val="728610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A630F4"/>
    <w:multiLevelType w:val="hybridMultilevel"/>
    <w:tmpl w:val="9A08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21B86"/>
    <w:multiLevelType w:val="hybridMultilevel"/>
    <w:tmpl w:val="9CEEC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011BEF"/>
    <w:multiLevelType w:val="hybridMultilevel"/>
    <w:tmpl w:val="CBB20B6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563B2"/>
    <w:multiLevelType w:val="hybridMultilevel"/>
    <w:tmpl w:val="DA2A031E"/>
    <w:lvl w:ilvl="0" w:tplc="06AE94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32D59"/>
    <w:multiLevelType w:val="hybridMultilevel"/>
    <w:tmpl w:val="CE4E0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50DEF"/>
    <w:multiLevelType w:val="hybridMultilevel"/>
    <w:tmpl w:val="6E16BD1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FB826A5"/>
    <w:multiLevelType w:val="hybridMultilevel"/>
    <w:tmpl w:val="655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5F43D5"/>
    <w:multiLevelType w:val="hybridMultilevel"/>
    <w:tmpl w:val="06BCC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192488D"/>
    <w:multiLevelType w:val="hybridMultilevel"/>
    <w:tmpl w:val="FBB85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9" w15:restartNumberingAfterBreak="0">
    <w:nsid w:val="45F473A9"/>
    <w:multiLevelType w:val="hybridMultilevel"/>
    <w:tmpl w:val="C8FE2AF8"/>
    <w:lvl w:ilvl="0" w:tplc="57F6110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685840"/>
    <w:multiLevelType w:val="hybridMultilevel"/>
    <w:tmpl w:val="0EA41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83606AE"/>
    <w:multiLevelType w:val="hybridMultilevel"/>
    <w:tmpl w:val="C7360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C02C2C"/>
    <w:multiLevelType w:val="hybridMultilevel"/>
    <w:tmpl w:val="219EF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BC70D5"/>
    <w:multiLevelType w:val="hybridMultilevel"/>
    <w:tmpl w:val="C4B8522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D65B07"/>
    <w:multiLevelType w:val="hybridMultilevel"/>
    <w:tmpl w:val="8658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455CD9"/>
    <w:multiLevelType w:val="hybridMultilevel"/>
    <w:tmpl w:val="1212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38" w15:restartNumberingAfterBreak="0">
    <w:nsid w:val="5ECD267F"/>
    <w:multiLevelType w:val="hybridMultilevel"/>
    <w:tmpl w:val="E894FA1A"/>
    <w:lvl w:ilvl="0" w:tplc="F190BE2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DF6851"/>
    <w:multiLevelType w:val="hybridMultilevel"/>
    <w:tmpl w:val="852ED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B32BE"/>
    <w:multiLevelType w:val="hybridMultilevel"/>
    <w:tmpl w:val="2788D6C6"/>
    <w:lvl w:ilvl="0" w:tplc="B0DA2C7E">
      <w:start w:val="1"/>
      <w:numFmt w:val="decimal"/>
      <w:pStyle w:val="MainBodySectionHeading-numbered"/>
      <w:lvlText w:val="A.%1"/>
      <w:lvlJc w:val="left"/>
      <w:pPr>
        <w:ind w:left="720" w:hanging="360"/>
      </w:pPr>
      <w:rPr>
        <w:rFonts w:ascii="Calibri" w:hAnsi="Calibri" w:hint="default"/>
        <w:b/>
        <w:i w:val="0"/>
        <w:color w:val="auto"/>
        <w:sz w:val="28"/>
      </w:rPr>
    </w:lvl>
    <w:lvl w:ilvl="1" w:tplc="3412F0B6" w:tentative="1">
      <w:start w:val="1"/>
      <w:numFmt w:val="lowerLetter"/>
      <w:lvlText w:val="%2."/>
      <w:lvlJc w:val="left"/>
      <w:pPr>
        <w:ind w:left="1440" w:hanging="360"/>
      </w:pPr>
    </w:lvl>
    <w:lvl w:ilvl="2" w:tplc="0A2C92E8" w:tentative="1">
      <w:start w:val="1"/>
      <w:numFmt w:val="lowerRoman"/>
      <w:lvlText w:val="%3."/>
      <w:lvlJc w:val="right"/>
      <w:pPr>
        <w:ind w:left="2160" w:hanging="180"/>
      </w:pPr>
    </w:lvl>
    <w:lvl w:ilvl="3" w:tplc="51E06328" w:tentative="1">
      <w:start w:val="1"/>
      <w:numFmt w:val="decimal"/>
      <w:lvlText w:val="%4."/>
      <w:lvlJc w:val="left"/>
      <w:pPr>
        <w:ind w:left="2880" w:hanging="360"/>
      </w:pPr>
    </w:lvl>
    <w:lvl w:ilvl="4" w:tplc="55121EB0" w:tentative="1">
      <w:start w:val="1"/>
      <w:numFmt w:val="lowerLetter"/>
      <w:lvlText w:val="%5."/>
      <w:lvlJc w:val="left"/>
      <w:pPr>
        <w:ind w:left="3600" w:hanging="360"/>
      </w:pPr>
    </w:lvl>
    <w:lvl w:ilvl="5" w:tplc="C0BC6618" w:tentative="1">
      <w:start w:val="1"/>
      <w:numFmt w:val="lowerRoman"/>
      <w:lvlText w:val="%6."/>
      <w:lvlJc w:val="right"/>
      <w:pPr>
        <w:ind w:left="4320" w:hanging="180"/>
      </w:pPr>
    </w:lvl>
    <w:lvl w:ilvl="6" w:tplc="2C762004" w:tentative="1">
      <w:start w:val="1"/>
      <w:numFmt w:val="decimal"/>
      <w:lvlText w:val="%7."/>
      <w:lvlJc w:val="left"/>
      <w:pPr>
        <w:ind w:left="5040" w:hanging="360"/>
      </w:pPr>
    </w:lvl>
    <w:lvl w:ilvl="7" w:tplc="AAE0D5E4" w:tentative="1">
      <w:start w:val="1"/>
      <w:numFmt w:val="lowerLetter"/>
      <w:lvlText w:val="%8."/>
      <w:lvlJc w:val="left"/>
      <w:pPr>
        <w:ind w:left="5760" w:hanging="360"/>
      </w:pPr>
    </w:lvl>
    <w:lvl w:ilvl="8" w:tplc="37CCD67A" w:tentative="1">
      <w:start w:val="1"/>
      <w:numFmt w:val="lowerRoman"/>
      <w:lvlText w:val="%9."/>
      <w:lvlJc w:val="right"/>
      <w:pPr>
        <w:ind w:left="6480" w:hanging="180"/>
      </w:pPr>
    </w:lvl>
  </w:abstractNum>
  <w:abstractNum w:abstractNumId="41" w15:restartNumberingAfterBreak="0">
    <w:nsid w:val="67AD2C75"/>
    <w:multiLevelType w:val="hybridMultilevel"/>
    <w:tmpl w:val="A0266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CD30EE"/>
    <w:multiLevelType w:val="hybridMultilevel"/>
    <w:tmpl w:val="9C364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807D32"/>
    <w:multiLevelType w:val="hybridMultilevel"/>
    <w:tmpl w:val="6610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F72474"/>
    <w:multiLevelType w:val="hybridMultilevel"/>
    <w:tmpl w:val="7982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01888"/>
    <w:multiLevelType w:val="hybridMultilevel"/>
    <w:tmpl w:val="ACF6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82890"/>
    <w:multiLevelType w:val="hybridMultilevel"/>
    <w:tmpl w:val="CC6A9A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200C70"/>
    <w:multiLevelType w:val="multilevel"/>
    <w:tmpl w:val="37B0CA18"/>
    <w:lvl w:ilvl="0">
      <w:start w:val="1"/>
      <w:numFmt w:val="none"/>
      <w:pStyle w:val="ESSectionHeading-numbered0"/>
      <w:lvlText w:val="A.1"/>
      <w:lvlJc w:val="left"/>
      <w:pPr>
        <w:ind w:left="1134" w:hanging="1134"/>
      </w:pPr>
      <w:rPr>
        <w:rFonts w:ascii="Calibri" w:hAnsi="Calibri" w:hint="default"/>
        <w:b/>
        <w:i w:val="0"/>
        <w:color w:val="auto"/>
        <w:sz w:val="24"/>
      </w:rPr>
    </w:lvl>
    <w:lvl w:ilvl="1">
      <w:start w:val="2"/>
      <w:numFmt w:val="decimal"/>
      <w:lvlText w:val="B.%2"/>
      <w:lvlJc w:val="left"/>
      <w:pPr>
        <w:ind w:left="1134" w:hanging="1134"/>
      </w:pPr>
      <w:rPr>
        <w:rFonts w:ascii="Calibri" w:hAnsi="Calibri" w:hint="default"/>
        <w:b/>
        <w:i w:val="0"/>
        <w:color w:val="auto"/>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48" w15:restartNumberingAfterBreak="0">
    <w:nsid w:val="7D5A409C"/>
    <w:multiLevelType w:val="hybridMultilevel"/>
    <w:tmpl w:val="65E2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28"/>
  </w:num>
  <w:num w:numId="2">
    <w:abstractNumId w:val="19"/>
  </w:num>
  <w:num w:numId="3">
    <w:abstractNumId w:val="29"/>
  </w:num>
  <w:num w:numId="4">
    <w:abstractNumId w:val="27"/>
  </w:num>
  <w:num w:numId="5">
    <w:abstractNumId w:val="45"/>
  </w:num>
  <w:num w:numId="6">
    <w:abstractNumId w:val="41"/>
  </w:num>
  <w:num w:numId="7">
    <w:abstractNumId w:val="37"/>
  </w:num>
  <w:num w:numId="8">
    <w:abstractNumId w:val="8"/>
  </w:num>
  <w:num w:numId="9">
    <w:abstractNumId w:val="49"/>
  </w:num>
  <w:num w:numId="10">
    <w:abstractNumId w:val="40"/>
  </w:num>
  <w:num w:numId="11">
    <w:abstractNumId w:val="15"/>
  </w:num>
  <w:num w:numId="12">
    <w:abstractNumId w:val="47"/>
  </w:num>
  <w:num w:numId="13">
    <w:abstractNumId w:val="14"/>
  </w:num>
  <w:num w:numId="14">
    <w:abstractNumId w:val="21"/>
  </w:num>
  <w:num w:numId="15">
    <w:abstractNumId w:val="24"/>
  </w:num>
  <w:num w:numId="16">
    <w:abstractNumId w:val="43"/>
  </w:num>
  <w:num w:numId="17">
    <w:abstractNumId w:val="44"/>
  </w:num>
  <w:num w:numId="18">
    <w:abstractNumId w:val="35"/>
  </w:num>
  <w:num w:numId="19">
    <w:abstractNumId w:val="0"/>
  </w:num>
  <w:num w:numId="20">
    <w:abstractNumId w:val="48"/>
  </w:num>
  <w:num w:numId="21">
    <w:abstractNumId w:val="36"/>
  </w:num>
  <w:num w:numId="22">
    <w:abstractNumId w:val="23"/>
  </w:num>
  <w:num w:numId="23">
    <w:abstractNumId w:val="9"/>
  </w:num>
  <w:num w:numId="24">
    <w:abstractNumId w:val="5"/>
  </w:num>
  <w:num w:numId="25">
    <w:abstractNumId w:val="31"/>
  </w:num>
  <w:num w:numId="26">
    <w:abstractNumId w:val="22"/>
  </w:num>
  <w:num w:numId="27">
    <w:abstractNumId w:val="33"/>
  </w:num>
  <w:num w:numId="28">
    <w:abstractNumId w:val="12"/>
  </w:num>
  <w:num w:numId="29">
    <w:abstractNumId w:val="46"/>
  </w:num>
  <w:num w:numId="30">
    <w:abstractNumId w:val="6"/>
  </w:num>
  <w:num w:numId="31">
    <w:abstractNumId w:val="30"/>
  </w:num>
  <w:num w:numId="32">
    <w:abstractNumId w:val="26"/>
  </w:num>
  <w:num w:numId="33">
    <w:abstractNumId w:val="1"/>
  </w:num>
  <w:num w:numId="34">
    <w:abstractNumId w:val="11"/>
  </w:num>
  <w:num w:numId="35">
    <w:abstractNumId w:val="2"/>
  </w:num>
  <w:num w:numId="36">
    <w:abstractNumId w:val="32"/>
  </w:num>
  <w:num w:numId="37">
    <w:abstractNumId w:val="4"/>
  </w:num>
  <w:num w:numId="38">
    <w:abstractNumId w:val="39"/>
  </w:num>
  <w:num w:numId="39">
    <w:abstractNumId w:val="13"/>
  </w:num>
  <w:num w:numId="40">
    <w:abstractNumId w:val="7"/>
  </w:num>
  <w:num w:numId="41">
    <w:abstractNumId w:val="10"/>
  </w:num>
  <w:num w:numId="42">
    <w:abstractNumId w:val="34"/>
  </w:num>
  <w:num w:numId="43">
    <w:abstractNumId w:val="42"/>
  </w:num>
  <w:num w:numId="44">
    <w:abstractNumId w:val="3"/>
  </w:num>
  <w:num w:numId="45">
    <w:abstractNumId w:val="16"/>
  </w:num>
  <w:num w:numId="46">
    <w:abstractNumId w:val="17"/>
  </w:num>
  <w:num w:numId="47">
    <w:abstractNumId w:val="38"/>
  </w:num>
  <w:num w:numId="48">
    <w:abstractNumId w:val="20"/>
  </w:num>
  <w:num w:numId="49">
    <w:abstractNumId w:val="25"/>
  </w:num>
  <w:num w:numId="5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09C3"/>
    <w:rsid w:val="00001884"/>
    <w:rsid w:val="00001F1E"/>
    <w:rsid w:val="00007F4D"/>
    <w:rsid w:val="00012D9C"/>
    <w:rsid w:val="00014478"/>
    <w:rsid w:val="00014731"/>
    <w:rsid w:val="000171A6"/>
    <w:rsid w:val="000173B6"/>
    <w:rsid w:val="000213E9"/>
    <w:rsid w:val="00021DA2"/>
    <w:rsid w:val="00021F99"/>
    <w:rsid w:val="000229A1"/>
    <w:rsid w:val="00025467"/>
    <w:rsid w:val="000268A1"/>
    <w:rsid w:val="0002795D"/>
    <w:rsid w:val="000313ED"/>
    <w:rsid w:val="00036707"/>
    <w:rsid w:val="000446C4"/>
    <w:rsid w:val="00045B29"/>
    <w:rsid w:val="00050DC0"/>
    <w:rsid w:val="0005259B"/>
    <w:rsid w:val="0005360C"/>
    <w:rsid w:val="00054151"/>
    <w:rsid w:val="0006073C"/>
    <w:rsid w:val="00060C99"/>
    <w:rsid w:val="00062EEA"/>
    <w:rsid w:val="000632EF"/>
    <w:rsid w:val="000644D7"/>
    <w:rsid w:val="000645CB"/>
    <w:rsid w:val="00065623"/>
    <w:rsid w:val="00066CA4"/>
    <w:rsid w:val="000677F2"/>
    <w:rsid w:val="000704B6"/>
    <w:rsid w:val="00072449"/>
    <w:rsid w:val="00076F94"/>
    <w:rsid w:val="000803E7"/>
    <w:rsid w:val="00080939"/>
    <w:rsid w:val="000827F0"/>
    <w:rsid w:val="00086197"/>
    <w:rsid w:val="00086DA4"/>
    <w:rsid w:val="000871FA"/>
    <w:rsid w:val="0008767E"/>
    <w:rsid w:val="00092CA0"/>
    <w:rsid w:val="000935E2"/>
    <w:rsid w:val="000937E4"/>
    <w:rsid w:val="00095062"/>
    <w:rsid w:val="000963FD"/>
    <w:rsid w:val="000A17A0"/>
    <w:rsid w:val="000A221C"/>
    <w:rsid w:val="000A4A10"/>
    <w:rsid w:val="000A5D9D"/>
    <w:rsid w:val="000A63D3"/>
    <w:rsid w:val="000A7286"/>
    <w:rsid w:val="000A738E"/>
    <w:rsid w:val="000B7332"/>
    <w:rsid w:val="000C0B13"/>
    <w:rsid w:val="000C4DAC"/>
    <w:rsid w:val="000C5B29"/>
    <w:rsid w:val="000C6E58"/>
    <w:rsid w:val="000C7DB2"/>
    <w:rsid w:val="000D3E05"/>
    <w:rsid w:val="000D3EE3"/>
    <w:rsid w:val="000D5C36"/>
    <w:rsid w:val="000D64D5"/>
    <w:rsid w:val="000E0E64"/>
    <w:rsid w:val="000E2025"/>
    <w:rsid w:val="000E396B"/>
    <w:rsid w:val="000E3C10"/>
    <w:rsid w:val="000E6588"/>
    <w:rsid w:val="000F0321"/>
    <w:rsid w:val="000F10A3"/>
    <w:rsid w:val="000F1CB0"/>
    <w:rsid w:val="000F21FE"/>
    <w:rsid w:val="000F2308"/>
    <w:rsid w:val="000F50ED"/>
    <w:rsid w:val="00100A34"/>
    <w:rsid w:val="00104710"/>
    <w:rsid w:val="00104EA1"/>
    <w:rsid w:val="00105759"/>
    <w:rsid w:val="00110B08"/>
    <w:rsid w:val="00110BBD"/>
    <w:rsid w:val="001135CB"/>
    <w:rsid w:val="00115B82"/>
    <w:rsid w:val="00115C51"/>
    <w:rsid w:val="001167B4"/>
    <w:rsid w:val="00121180"/>
    <w:rsid w:val="001218F6"/>
    <w:rsid w:val="00122094"/>
    <w:rsid w:val="0012327B"/>
    <w:rsid w:val="00124CA5"/>
    <w:rsid w:val="0013032B"/>
    <w:rsid w:val="0013112F"/>
    <w:rsid w:val="00131C56"/>
    <w:rsid w:val="001354EC"/>
    <w:rsid w:val="00135BCF"/>
    <w:rsid w:val="00136257"/>
    <w:rsid w:val="0013694B"/>
    <w:rsid w:val="00136969"/>
    <w:rsid w:val="0014545A"/>
    <w:rsid w:val="0015055B"/>
    <w:rsid w:val="0015335C"/>
    <w:rsid w:val="001538CF"/>
    <w:rsid w:val="00155BF4"/>
    <w:rsid w:val="00157D30"/>
    <w:rsid w:val="00162DFD"/>
    <w:rsid w:val="00165433"/>
    <w:rsid w:val="0016765C"/>
    <w:rsid w:val="00167C8A"/>
    <w:rsid w:val="0017102C"/>
    <w:rsid w:val="00171066"/>
    <w:rsid w:val="00171759"/>
    <w:rsid w:val="00176527"/>
    <w:rsid w:val="00186AAC"/>
    <w:rsid w:val="001945E5"/>
    <w:rsid w:val="001951EC"/>
    <w:rsid w:val="001A415F"/>
    <w:rsid w:val="001A669F"/>
    <w:rsid w:val="001B1394"/>
    <w:rsid w:val="001B1DFA"/>
    <w:rsid w:val="001B3876"/>
    <w:rsid w:val="001B6086"/>
    <w:rsid w:val="001B7E90"/>
    <w:rsid w:val="001C19D7"/>
    <w:rsid w:val="001C6505"/>
    <w:rsid w:val="001C7004"/>
    <w:rsid w:val="001C739E"/>
    <w:rsid w:val="001C75D8"/>
    <w:rsid w:val="001D24A5"/>
    <w:rsid w:val="001D2A85"/>
    <w:rsid w:val="001D47FB"/>
    <w:rsid w:val="001E0968"/>
    <w:rsid w:val="001E1570"/>
    <w:rsid w:val="001E1583"/>
    <w:rsid w:val="001E1728"/>
    <w:rsid w:val="001E457C"/>
    <w:rsid w:val="001F00FB"/>
    <w:rsid w:val="001F0A85"/>
    <w:rsid w:val="001F11FA"/>
    <w:rsid w:val="001F3C4C"/>
    <w:rsid w:val="001F53FE"/>
    <w:rsid w:val="001F5710"/>
    <w:rsid w:val="001F7DC0"/>
    <w:rsid w:val="00202701"/>
    <w:rsid w:val="00202F0F"/>
    <w:rsid w:val="002036DE"/>
    <w:rsid w:val="00206760"/>
    <w:rsid w:val="00210E68"/>
    <w:rsid w:val="0021159F"/>
    <w:rsid w:val="00215359"/>
    <w:rsid w:val="00216469"/>
    <w:rsid w:val="00223BEC"/>
    <w:rsid w:val="00225710"/>
    <w:rsid w:val="00235B3D"/>
    <w:rsid w:val="00236247"/>
    <w:rsid w:val="00237257"/>
    <w:rsid w:val="00237587"/>
    <w:rsid w:val="0024194E"/>
    <w:rsid w:val="00242AD4"/>
    <w:rsid w:val="00242F1D"/>
    <w:rsid w:val="00243A7C"/>
    <w:rsid w:val="002472E4"/>
    <w:rsid w:val="00250929"/>
    <w:rsid w:val="002512CB"/>
    <w:rsid w:val="00251354"/>
    <w:rsid w:val="0025250A"/>
    <w:rsid w:val="00252638"/>
    <w:rsid w:val="00253118"/>
    <w:rsid w:val="00253F77"/>
    <w:rsid w:val="0025493F"/>
    <w:rsid w:val="00260445"/>
    <w:rsid w:val="00262ABD"/>
    <w:rsid w:val="0026318A"/>
    <w:rsid w:val="002649EC"/>
    <w:rsid w:val="00264F80"/>
    <w:rsid w:val="0026665D"/>
    <w:rsid w:val="00267F42"/>
    <w:rsid w:val="0027168E"/>
    <w:rsid w:val="00272907"/>
    <w:rsid w:val="00272D10"/>
    <w:rsid w:val="002755FB"/>
    <w:rsid w:val="00276004"/>
    <w:rsid w:val="00276CA5"/>
    <w:rsid w:val="00280998"/>
    <w:rsid w:val="002822DC"/>
    <w:rsid w:val="002830D8"/>
    <w:rsid w:val="00286470"/>
    <w:rsid w:val="00286676"/>
    <w:rsid w:val="00286890"/>
    <w:rsid w:val="00286BC8"/>
    <w:rsid w:val="0029348E"/>
    <w:rsid w:val="002943FD"/>
    <w:rsid w:val="002A0354"/>
    <w:rsid w:val="002A0FDD"/>
    <w:rsid w:val="002A117F"/>
    <w:rsid w:val="002A6B9A"/>
    <w:rsid w:val="002A7743"/>
    <w:rsid w:val="002B2E02"/>
    <w:rsid w:val="002B34D5"/>
    <w:rsid w:val="002C1895"/>
    <w:rsid w:val="002C2993"/>
    <w:rsid w:val="002C33B8"/>
    <w:rsid w:val="002C4608"/>
    <w:rsid w:val="002C66A0"/>
    <w:rsid w:val="002D0267"/>
    <w:rsid w:val="002D08AA"/>
    <w:rsid w:val="002D2973"/>
    <w:rsid w:val="002D31A1"/>
    <w:rsid w:val="002D4229"/>
    <w:rsid w:val="002D43CE"/>
    <w:rsid w:val="002D57BB"/>
    <w:rsid w:val="002D61C6"/>
    <w:rsid w:val="002E21C0"/>
    <w:rsid w:val="002E4460"/>
    <w:rsid w:val="002E5033"/>
    <w:rsid w:val="002F00B0"/>
    <w:rsid w:val="002F3D9D"/>
    <w:rsid w:val="002F54B1"/>
    <w:rsid w:val="002F5FCC"/>
    <w:rsid w:val="002F693D"/>
    <w:rsid w:val="00301462"/>
    <w:rsid w:val="00303414"/>
    <w:rsid w:val="00304C3C"/>
    <w:rsid w:val="00305D88"/>
    <w:rsid w:val="00305F05"/>
    <w:rsid w:val="0031181B"/>
    <w:rsid w:val="003136DF"/>
    <w:rsid w:val="00313C00"/>
    <w:rsid w:val="00320DCA"/>
    <w:rsid w:val="00321F0E"/>
    <w:rsid w:val="00332DD6"/>
    <w:rsid w:val="0033407E"/>
    <w:rsid w:val="00335680"/>
    <w:rsid w:val="00337945"/>
    <w:rsid w:val="0034047C"/>
    <w:rsid w:val="0034172F"/>
    <w:rsid w:val="00342FAC"/>
    <w:rsid w:val="00344582"/>
    <w:rsid w:val="0035026B"/>
    <w:rsid w:val="003507F9"/>
    <w:rsid w:val="003515D1"/>
    <w:rsid w:val="00352FCA"/>
    <w:rsid w:val="0035535A"/>
    <w:rsid w:val="00355494"/>
    <w:rsid w:val="00355B86"/>
    <w:rsid w:val="00355C4D"/>
    <w:rsid w:val="0035718D"/>
    <w:rsid w:val="00361DD2"/>
    <w:rsid w:val="003622C4"/>
    <w:rsid w:val="0036516F"/>
    <w:rsid w:val="00366186"/>
    <w:rsid w:val="003700A9"/>
    <w:rsid w:val="0037262F"/>
    <w:rsid w:val="00375392"/>
    <w:rsid w:val="0037616B"/>
    <w:rsid w:val="00376551"/>
    <w:rsid w:val="003802ED"/>
    <w:rsid w:val="003821E4"/>
    <w:rsid w:val="00382F0C"/>
    <w:rsid w:val="00386D67"/>
    <w:rsid w:val="00387098"/>
    <w:rsid w:val="00397CD1"/>
    <w:rsid w:val="003A078D"/>
    <w:rsid w:val="003A1374"/>
    <w:rsid w:val="003A1477"/>
    <w:rsid w:val="003A191E"/>
    <w:rsid w:val="003A3055"/>
    <w:rsid w:val="003A326F"/>
    <w:rsid w:val="003A4101"/>
    <w:rsid w:val="003A4F78"/>
    <w:rsid w:val="003B01EE"/>
    <w:rsid w:val="003B02B8"/>
    <w:rsid w:val="003B0CA4"/>
    <w:rsid w:val="003B4D35"/>
    <w:rsid w:val="003B7B0C"/>
    <w:rsid w:val="003C0827"/>
    <w:rsid w:val="003C11BE"/>
    <w:rsid w:val="003C2284"/>
    <w:rsid w:val="003C5497"/>
    <w:rsid w:val="003D0524"/>
    <w:rsid w:val="003D1C24"/>
    <w:rsid w:val="003D1C34"/>
    <w:rsid w:val="003D2991"/>
    <w:rsid w:val="003D2F15"/>
    <w:rsid w:val="003D30C7"/>
    <w:rsid w:val="003D4BFC"/>
    <w:rsid w:val="003D6984"/>
    <w:rsid w:val="003D6A0F"/>
    <w:rsid w:val="003D6C61"/>
    <w:rsid w:val="003D73B9"/>
    <w:rsid w:val="003E1045"/>
    <w:rsid w:val="003E3728"/>
    <w:rsid w:val="003E44A3"/>
    <w:rsid w:val="003E450E"/>
    <w:rsid w:val="003E4F7C"/>
    <w:rsid w:val="003E63C9"/>
    <w:rsid w:val="003E77BC"/>
    <w:rsid w:val="003F0834"/>
    <w:rsid w:val="003F30AD"/>
    <w:rsid w:val="003F37AC"/>
    <w:rsid w:val="003F4138"/>
    <w:rsid w:val="003F5106"/>
    <w:rsid w:val="003F5C03"/>
    <w:rsid w:val="003F5EE6"/>
    <w:rsid w:val="003F7426"/>
    <w:rsid w:val="004031F7"/>
    <w:rsid w:val="004033E0"/>
    <w:rsid w:val="004040B3"/>
    <w:rsid w:val="00404A53"/>
    <w:rsid w:val="0040505D"/>
    <w:rsid w:val="0040530E"/>
    <w:rsid w:val="00410178"/>
    <w:rsid w:val="004108D2"/>
    <w:rsid w:val="00411BC8"/>
    <w:rsid w:val="004137CE"/>
    <w:rsid w:val="004159FA"/>
    <w:rsid w:val="00416C31"/>
    <w:rsid w:val="00420945"/>
    <w:rsid w:val="00420AAD"/>
    <w:rsid w:val="0042114B"/>
    <w:rsid w:val="0042679A"/>
    <w:rsid w:val="0043067F"/>
    <w:rsid w:val="00432704"/>
    <w:rsid w:val="00432D2A"/>
    <w:rsid w:val="00433060"/>
    <w:rsid w:val="00435982"/>
    <w:rsid w:val="00441D5C"/>
    <w:rsid w:val="004426B8"/>
    <w:rsid w:val="00443F1D"/>
    <w:rsid w:val="00444117"/>
    <w:rsid w:val="00444EC6"/>
    <w:rsid w:val="00447A3E"/>
    <w:rsid w:val="004506C6"/>
    <w:rsid w:val="00451310"/>
    <w:rsid w:val="00452DFC"/>
    <w:rsid w:val="00453948"/>
    <w:rsid w:val="00460A84"/>
    <w:rsid w:val="00460DB6"/>
    <w:rsid w:val="00461523"/>
    <w:rsid w:val="00464EA7"/>
    <w:rsid w:val="004658B6"/>
    <w:rsid w:val="0046732A"/>
    <w:rsid w:val="0046745E"/>
    <w:rsid w:val="0047005A"/>
    <w:rsid w:val="0047497D"/>
    <w:rsid w:val="0048177E"/>
    <w:rsid w:val="004851AB"/>
    <w:rsid w:val="00485B7B"/>
    <w:rsid w:val="00486D86"/>
    <w:rsid w:val="00491DF7"/>
    <w:rsid w:val="00495285"/>
    <w:rsid w:val="0049592D"/>
    <w:rsid w:val="004975C3"/>
    <w:rsid w:val="004A1079"/>
    <w:rsid w:val="004A1E7E"/>
    <w:rsid w:val="004A34F2"/>
    <w:rsid w:val="004A4E41"/>
    <w:rsid w:val="004A738E"/>
    <w:rsid w:val="004B01A4"/>
    <w:rsid w:val="004B0A47"/>
    <w:rsid w:val="004B1914"/>
    <w:rsid w:val="004B2358"/>
    <w:rsid w:val="004B45A1"/>
    <w:rsid w:val="004B4D34"/>
    <w:rsid w:val="004B7F44"/>
    <w:rsid w:val="004C0219"/>
    <w:rsid w:val="004C22B8"/>
    <w:rsid w:val="004C3DD9"/>
    <w:rsid w:val="004C43A3"/>
    <w:rsid w:val="004D1800"/>
    <w:rsid w:val="004D1FF7"/>
    <w:rsid w:val="004D6F50"/>
    <w:rsid w:val="004D73EF"/>
    <w:rsid w:val="004E348D"/>
    <w:rsid w:val="004E3ABF"/>
    <w:rsid w:val="004E432D"/>
    <w:rsid w:val="004E5C21"/>
    <w:rsid w:val="004F163F"/>
    <w:rsid w:val="004F35E3"/>
    <w:rsid w:val="004F45F9"/>
    <w:rsid w:val="0050114C"/>
    <w:rsid w:val="0050188B"/>
    <w:rsid w:val="00502A4A"/>
    <w:rsid w:val="00503CBB"/>
    <w:rsid w:val="00506791"/>
    <w:rsid w:val="00511EE0"/>
    <w:rsid w:val="00512CE1"/>
    <w:rsid w:val="00512E0F"/>
    <w:rsid w:val="00514BAF"/>
    <w:rsid w:val="00516ACE"/>
    <w:rsid w:val="00517923"/>
    <w:rsid w:val="00520B99"/>
    <w:rsid w:val="00525516"/>
    <w:rsid w:val="00527700"/>
    <w:rsid w:val="00527718"/>
    <w:rsid w:val="00531292"/>
    <w:rsid w:val="005313CC"/>
    <w:rsid w:val="005347A4"/>
    <w:rsid w:val="00534832"/>
    <w:rsid w:val="00540996"/>
    <w:rsid w:val="0054131F"/>
    <w:rsid w:val="005420D3"/>
    <w:rsid w:val="00543F92"/>
    <w:rsid w:val="00544BA0"/>
    <w:rsid w:val="00545E74"/>
    <w:rsid w:val="00546355"/>
    <w:rsid w:val="00546882"/>
    <w:rsid w:val="00550556"/>
    <w:rsid w:val="00551222"/>
    <w:rsid w:val="00552DFF"/>
    <w:rsid w:val="00555911"/>
    <w:rsid w:val="00556665"/>
    <w:rsid w:val="00560472"/>
    <w:rsid w:val="00565224"/>
    <w:rsid w:val="00566DC3"/>
    <w:rsid w:val="00567131"/>
    <w:rsid w:val="0056736C"/>
    <w:rsid w:val="00573D72"/>
    <w:rsid w:val="00573F22"/>
    <w:rsid w:val="00574E36"/>
    <w:rsid w:val="005764BC"/>
    <w:rsid w:val="00576ED3"/>
    <w:rsid w:val="00577497"/>
    <w:rsid w:val="005775C5"/>
    <w:rsid w:val="005779AD"/>
    <w:rsid w:val="00581907"/>
    <w:rsid w:val="00582BF7"/>
    <w:rsid w:val="00583D1B"/>
    <w:rsid w:val="005856E5"/>
    <w:rsid w:val="0058659C"/>
    <w:rsid w:val="005868E2"/>
    <w:rsid w:val="00590817"/>
    <w:rsid w:val="00590A73"/>
    <w:rsid w:val="00591A5C"/>
    <w:rsid w:val="005922DB"/>
    <w:rsid w:val="00592696"/>
    <w:rsid w:val="00592E9D"/>
    <w:rsid w:val="005938FD"/>
    <w:rsid w:val="00594478"/>
    <w:rsid w:val="005A14E4"/>
    <w:rsid w:val="005A39E7"/>
    <w:rsid w:val="005A653F"/>
    <w:rsid w:val="005B0733"/>
    <w:rsid w:val="005B1719"/>
    <w:rsid w:val="005B2705"/>
    <w:rsid w:val="005B3AFA"/>
    <w:rsid w:val="005B4EB8"/>
    <w:rsid w:val="005B50B8"/>
    <w:rsid w:val="005B59F4"/>
    <w:rsid w:val="005B6BD2"/>
    <w:rsid w:val="005C5F83"/>
    <w:rsid w:val="005D0332"/>
    <w:rsid w:val="005D4812"/>
    <w:rsid w:val="005D55F4"/>
    <w:rsid w:val="005D637D"/>
    <w:rsid w:val="005D7FED"/>
    <w:rsid w:val="005E144D"/>
    <w:rsid w:val="005E3645"/>
    <w:rsid w:val="005E42A8"/>
    <w:rsid w:val="005E5078"/>
    <w:rsid w:val="005E5BC9"/>
    <w:rsid w:val="005E792F"/>
    <w:rsid w:val="005F004E"/>
    <w:rsid w:val="005F0305"/>
    <w:rsid w:val="005F3999"/>
    <w:rsid w:val="005F6BA2"/>
    <w:rsid w:val="00603339"/>
    <w:rsid w:val="00603860"/>
    <w:rsid w:val="00605638"/>
    <w:rsid w:val="006057CF"/>
    <w:rsid w:val="006074D3"/>
    <w:rsid w:val="00607D37"/>
    <w:rsid w:val="00610126"/>
    <w:rsid w:val="00610D6A"/>
    <w:rsid w:val="00611744"/>
    <w:rsid w:val="00612225"/>
    <w:rsid w:val="00612A11"/>
    <w:rsid w:val="0061621F"/>
    <w:rsid w:val="0061732A"/>
    <w:rsid w:val="00620D12"/>
    <w:rsid w:val="006238AB"/>
    <w:rsid w:val="0063069B"/>
    <w:rsid w:val="00632CFD"/>
    <w:rsid w:val="0063740F"/>
    <w:rsid w:val="00640A46"/>
    <w:rsid w:val="00640E3E"/>
    <w:rsid w:val="00647CC8"/>
    <w:rsid w:val="00652E31"/>
    <w:rsid w:val="0065529B"/>
    <w:rsid w:val="00655599"/>
    <w:rsid w:val="006600CF"/>
    <w:rsid w:val="00660125"/>
    <w:rsid w:val="00661C37"/>
    <w:rsid w:val="00664B71"/>
    <w:rsid w:val="006655F0"/>
    <w:rsid w:val="00667472"/>
    <w:rsid w:val="00671F06"/>
    <w:rsid w:val="00673EA6"/>
    <w:rsid w:val="00674A96"/>
    <w:rsid w:val="00675B1C"/>
    <w:rsid w:val="00675E0D"/>
    <w:rsid w:val="00676A80"/>
    <w:rsid w:val="00676C49"/>
    <w:rsid w:val="00682A7E"/>
    <w:rsid w:val="00685001"/>
    <w:rsid w:val="006853A3"/>
    <w:rsid w:val="00686EB3"/>
    <w:rsid w:val="00690AF7"/>
    <w:rsid w:val="0069247C"/>
    <w:rsid w:val="006926B1"/>
    <w:rsid w:val="00692C20"/>
    <w:rsid w:val="00693716"/>
    <w:rsid w:val="006945C8"/>
    <w:rsid w:val="006962C9"/>
    <w:rsid w:val="006974FC"/>
    <w:rsid w:val="006A2085"/>
    <w:rsid w:val="006A27C7"/>
    <w:rsid w:val="006A69D2"/>
    <w:rsid w:val="006A7956"/>
    <w:rsid w:val="006B13A8"/>
    <w:rsid w:val="006B241A"/>
    <w:rsid w:val="006B5BE7"/>
    <w:rsid w:val="006B7F3E"/>
    <w:rsid w:val="006C1938"/>
    <w:rsid w:val="006C26E3"/>
    <w:rsid w:val="006C2C52"/>
    <w:rsid w:val="006C3324"/>
    <w:rsid w:val="006C5230"/>
    <w:rsid w:val="006C5FEF"/>
    <w:rsid w:val="006D1502"/>
    <w:rsid w:val="006D1A8B"/>
    <w:rsid w:val="006D3C8F"/>
    <w:rsid w:val="006D4424"/>
    <w:rsid w:val="006D7D0C"/>
    <w:rsid w:val="006E131E"/>
    <w:rsid w:val="006E2F06"/>
    <w:rsid w:val="006E3C99"/>
    <w:rsid w:val="006E7A8E"/>
    <w:rsid w:val="006F16CC"/>
    <w:rsid w:val="006F21F6"/>
    <w:rsid w:val="006F2A30"/>
    <w:rsid w:val="006F2F3D"/>
    <w:rsid w:val="006F47F4"/>
    <w:rsid w:val="006F6028"/>
    <w:rsid w:val="006F68CA"/>
    <w:rsid w:val="007020DF"/>
    <w:rsid w:val="00702596"/>
    <w:rsid w:val="00702BD7"/>
    <w:rsid w:val="00703892"/>
    <w:rsid w:val="0070456F"/>
    <w:rsid w:val="00704573"/>
    <w:rsid w:val="0070458B"/>
    <w:rsid w:val="00707FED"/>
    <w:rsid w:val="007127AD"/>
    <w:rsid w:val="00713D11"/>
    <w:rsid w:val="0071498A"/>
    <w:rsid w:val="00714EB0"/>
    <w:rsid w:val="0071713F"/>
    <w:rsid w:val="00717D90"/>
    <w:rsid w:val="00720E2A"/>
    <w:rsid w:val="00722408"/>
    <w:rsid w:val="00722776"/>
    <w:rsid w:val="007229D6"/>
    <w:rsid w:val="007231DD"/>
    <w:rsid w:val="007232C5"/>
    <w:rsid w:val="00723375"/>
    <w:rsid w:val="007243C1"/>
    <w:rsid w:val="00727AF9"/>
    <w:rsid w:val="00731492"/>
    <w:rsid w:val="00731591"/>
    <w:rsid w:val="00732C4E"/>
    <w:rsid w:val="007335AD"/>
    <w:rsid w:val="00736B3B"/>
    <w:rsid w:val="00737335"/>
    <w:rsid w:val="007438CC"/>
    <w:rsid w:val="00744C5D"/>
    <w:rsid w:val="0074572B"/>
    <w:rsid w:val="00745C38"/>
    <w:rsid w:val="00745E42"/>
    <w:rsid w:val="00746EEF"/>
    <w:rsid w:val="0075364C"/>
    <w:rsid w:val="007554DA"/>
    <w:rsid w:val="0076004B"/>
    <w:rsid w:val="00761612"/>
    <w:rsid w:val="007647CD"/>
    <w:rsid w:val="00764EAD"/>
    <w:rsid w:val="00766E36"/>
    <w:rsid w:val="0077218C"/>
    <w:rsid w:val="00775963"/>
    <w:rsid w:val="00776A7A"/>
    <w:rsid w:val="00780B26"/>
    <w:rsid w:val="00780F14"/>
    <w:rsid w:val="00781968"/>
    <w:rsid w:val="007836A2"/>
    <w:rsid w:val="007849B8"/>
    <w:rsid w:val="007911A7"/>
    <w:rsid w:val="00792144"/>
    <w:rsid w:val="00792360"/>
    <w:rsid w:val="0079379F"/>
    <w:rsid w:val="00794D30"/>
    <w:rsid w:val="00796192"/>
    <w:rsid w:val="007964EB"/>
    <w:rsid w:val="007977DF"/>
    <w:rsid w:val="00797D8D"/>
    <w:rsid w:val="007A0F08"/>
    <w:rsid w:val="007A3B26"/>
    <w:rsid w:val="007A41B0"/>
    <w:rsid w:val="007A6BE5"/>
    <w:rsid w:val="007A70B6"/>
    <w:rsid w:val="007A7B08"/>
    <w:rsid w:val="007B1330"/>
    <w:rsid w:val="007B60C8"/>
    <w:rsid w:val="007C23E6"/>
    <w:rsid w:val="007C2D6A"/>
    <w:rsid w:val="007C45D5"/>
    <w:rsid w:val="007C4959"/>
    <w:rsid w:val="007C5DAE"/>
    <w:rsid w:val="007C721C"/>
    <w:rsid w:val="007C7662"/>
    <w:rsid w:val="007D328A"/>
    <w:rsid w:val="007D5AF0"/>
    <w:rsid w:val="007D5C8F"/>
    <w:rsid w:val="007D6C35"/>
    <w:rsid w:val="007D7ECB"/>
    <w:rsid w:val="007E0C0F"/>
    <w:rsid w:val="007E0EAF"/>
    <w:rsid w:val="007E4ECE"/>
    <w:rsid w:val="007E550B"/>
    <w:rsid w:val="007E5929"/>
    <w:rsid w:val="007E6E81"/>
    <w:rsid w:val="007E777D"/>
    <w:rsid w:val="007F09D8"/>
    <w:rsid w:val="007F393E"/>
    <w:rsid w:val="007F4E20"/>
    <w:rsid w:val="007F5142"/>
    <w:rsid w:val="00800624"/>
    <w:rsid w:val="00802404"/>
    <w:rsid w:val="00802DB6"/>
    <w:rsid w:val="00804C58"/>
    <w:rsid w:val="008053D7"/>
    <w:rsid w:val="00806A9C"/>
    <w:rsid w:val="008108CC"/>
    <w:rsid w:val="00810A65"/>
    <w:rsid w:val="0081182E"/>
    <w:rsid w:val="00812580"/>
    <w:rsid w:val="00816171"/>
    <w:rsid w:val="00816297"/>
    <w:rsid w:val="008227C1"/>
    <w:rsid w:val="00827C06"/>
    <w:rsid w:val="0083013B"/>
    <w:rsid w:val="00830513"/>
    <w:rsid w:val="008352AA"/>
    <w:rsid w:val="0083547B"/>
    <w:rsid w:val="00835FCC"/>
    <w:rsid w:val="00836274"/>
    <w:rsid w:val="0084375B"/>
    <w:rsid w:val="0084530D"/>
    <w:rsid w:val="008461E8"/>
    <w:rsid w:val="0084645A"/>
    <w:rsid w:val="00846E51"/>
    <w:rsid w:val="00850724"/>
    <w:rsid w:val="00850D88"/>
    <w:rsid w:val="00851079"/>
    <w:rsid w:val="00851518"/>
    <w:rsid w:val="00853805"/>
    <w:rsid w:val="0086104A"/>
    <w:rsid w:val="0086167C"/>
    <w:rsid w:val="00862DFB"/>
    <w:rsid w:val="00866DBE"/>
    <w:rsid w:val="00867856"/>
    <w:rsid w:val="00880B2C"/>
    <w:rsid w:val="0088197A"/>
    <w:rsid w:val="00882737"/>
    <w:rsid w:val="00884974"/>
    <w:rsid w:val="00885601"/>
    <w:rsid w:val="008903EE"/>
    <w:rsid w:val="008910B1"/>
    <w:rsid w:val="00892105"/>
    <w:rsid w:val="00893331"/>
    <w:rsid w:val="00894B89"/>
    <w:rsid w:val="00896E79"/>
    <w:rsid w:val="008A0363"/>
    <w:rsid w:val="008A0D74"/>
    <w:rsid w:val="008A1661"/>
    <w:rsid w:val="008A1CFB"/>
    <w:rsid w:val="008A4B44"/>
    <w:rsid w:val="008A5C67"/>
    <w:rsid w:val="008A6286"/>
    <w:rsid w:val="008A6C0C"/>
    <w:rsid w:val="008A7405"/>
    <w:rsid w:val="008B2809"/>
    <w:rsid w:val="008B4EE6"/>
    <w:rsid w:val="008B6093"/>
    <w:rsid w:val="008C4784"/>
    <w:rsid w:val="008C6DE4"/>
    <w:rsid w:val="008D01AD"/>
    <w:rsid w:val="008D414C"/>
    <w:rsid w:val="008D6C16"/>
    <w:rsid w:val="008E2DF5"/>
    <w:rsid w:val="008E5FE3"/>
    <w:rsid w:val="008E6DF9"/>
    <w:rsid w:val="008E7A4E"/>
    <w:rsid w:val="008F237A"/>
    <w:rsid w:val="008F49D3"/>
    <w:rsid w:val="0090149B"/>
    <w:rsid w:val="00901821"/>
    <w:rsid w:val="00901AB6"/>
    <w:rsid w:val="009075AC"/>
    <w:rsid w:val="00910420"/>
    <w:rsid w:val="009110E5"/>
    <w:rsid w:val="00912AD8"/>
    <w:rsid w:val="0091316D"/>
    <w:rsid w:val="00914FA8"/>
    <w:rsid w:val="0091559C"/>
    <w:rsid w:val="00917BC4"/>
    <w:rsid w:val="00920A83"/>
    <w:rsid w:val="00931720"/>
    <w:rsid w:val="009330D6"/>
    <w:rsid w:val="00933B33"/>
    <w:rsid w:val="00933E3F"/>
    <w:rsid w:val="0093488A"/>
    <w:rsid w:val="00934A73"/>
    <w:rsid w:val="009351F0"/>
    <w:rsid w:val="0093543C"/>
    <w:rsid w:val="00935652"/>
    <w:rsid w:val="00935749"/>
    <w:rsid w:val="00940F74"/>
    <w:rsid w:val="009418C0"/>
    <w:rsid w:val="00943312"/>
    <w:rsid w:val="00943856"/>
    <w:rsid w:val="00945F48"/>
    <w:rsid w:val="00947E12"/>
    <w:rsid w:val="009505F6"/>
    <w:rsid w:val="00950C0C"/>
    <w:rsid w:val="00953715"/>
    <w:rsid w:val="0095714E"/>
    <w:rsid w:val="009606B7"/>
    <w:rsid w:val="00961AD6"/>
    <w:rsid w:val="00963F5B"/>
    <w:rsid w:val="0096414D"/>
    <w:rsid w:val="00964755"/>
    <w:rsid w:val="009708F1"/>
    <w:rsid w:val="009743F9"/>
    <w:rsid w:val="00975157"/>
    <w:rsid w:val="00976B13"/>
    <w:rsid w:val="009858FC"/>
    <w:rsid w:val="00985B9B"/>
    <w:rsid w:val="00987D1D"/>
    <w:rsid w:val="00990773"/>
    <w:rsid w:val="00990BF9"/>
    <w:rsid w:val="00996A1D"/>
    <w:rsid w:val="0099740D"/>
    <w:rsid w:val="009A4058"/>
    <w:rsid w:val="009A4EA0"/>
    <w:rsid w:val="009A5DF3"/>
    <w:rsid w:val="009A702B"/>
    <w:rsid w:val="009A71B6"/>
    <w:rsid w:val="009B174B"/>
    <w:rsid w:val="009B2270"/>
    <w:rsid w:val="009B2DB2"/>
    <w:rsid w:val="009B2DD5"/>
    <w:rsid w:val="009B4A06"/>
    <w:rsid w:val="009B53B2"/>
    <w:rsid w:val="009B7E2B"/>
    <w:rsid w:val="009C0E45"/>
    <w:rsid w:val="009C34E7"/>
    <w:rsid w:val="009C5E6A"/>
    <w:rsid w:val="009D0CE4"/>
    <w:rsid w:val="009D1BAC"/>
    <w:rsid w:val="009D5A5E"/>
    <w:rsid w:val="009D6139"/>
    <w:rsid w:val="009D64AB"/>
    <w:rsid w:val="009D67DF"/>
    <w:rsid w:val="009D692E"/>
    <w:rsid w:val="009E1B8C"/>
    <w:rsid w:val="009E2FFB"/>
    <w:rsid w:val="009F622A"/>
    <w:rsid w:val="009F729B"/>
    <w:rsid w:val="00A009C9"/>
    <w:rsid w:val="00A021B7"/>
    <w:rsid w:val="00A0363A"/>
    <w:rsid w:val="00A04940"/>
    <w:rsid w:val="00A06169"/>
    <w:rsid w:val="00A112FB"/>
    <w:rsid w:val="00A13217"/>
    <w:rsid w:val="00A15EF6"/>
    <w:rsid w:val="00A167E1"/>
    <w:rsid w:val="00A16A41"/>
    <w:rsid w:val="00A22AD2"/>
    <w:rsid w:val="00A250E5"/>
    <w:rsid w:val="00A27E20"/>
    <w:rsid w:val="00A30752"/>
    <w:rsid w:val="00A30A85"/>
    <w:rsid w:val="00A30FBE"/>
    <w:rsid w:val="00A317E6"/>
    <w:rsid w:val="00A33470"/>
    <w:rsid w:val="00A35A4F"/>
    <w:rsid w:val="00A368F8"/>
    <w:rsid w:val="00A36DE2"/>
    <w:rsid w:val="00A44C6E"/>
    <w:rsid w:val="00A46086"/>
    <w:rsid w:val="00A461D7"/>
    <w:rsid w:val="00A46A74"/>
    <w:rsid w:val="00A52FEC"/>
    <w:rsid w:val="00A54D89"/>
    <w:rsid w:val="00A55C56"/>
    <w:rsid w:val="00A55D78"/>
    <w:rsid w:val="00A57407"/>
    <w:rsid w:val="00A659EE"/>
    <w:rsid w:val="00A672B1"/>
    <w:rsid w:val="00A70F14"/>
    <w:rsid w:val="00A71845"/>
    <w:rsid w:val="00A72D47"/>
    <w:rsid w:val="00A75E27"/>
    <w:rsid w:val="00A82F24"/>
    <w:rsid w:val="00A8603E"/>
    <w:rsid w:val="00A87B90"/>
    <w:rsid w:val="00A909C6"/>
    <w:rsid w:val="00A94833"/>
    <w:rsid w:val="00A95558"/>
    <w:rsid w:val="00A95CC6"/>
    <w:rsid w:val="00A967C0"/>
    <w:rsid w:val="00A96916"/>
    <w:rsid w:val="00A97193"/>
    <w:rsid w:val="00AA3E4B"/>
    <w:rsid w:val="00AA414D"/>
    <w:rsid w:val="00AA502F"/>
    <w:rsid w:val="00AA689B"/>
    <w:rsid w:val="00AB37FD"/>
    <w:rsid w:val="00AB48EB"/>
    <w:rsid w:val="00AB5293"/>
    <w:rsid w:val="00AB570D"/>
    <w:rsid w:val="00AB589A"/>
    <w:rsid w:val="00AC0916"/>
    <w:rsid w:val="00AC453C"/>
    <w:rsid w:val="00AC6187"/>
    <w:rsid w:val="00AD026F"/>
    <w:rsid w:val="00AD1266"/>
    <w:rsid w:val="00AD3B71"/>
    <w:rsid w:val="00AD3D2A"/>
    <w:rsid w:val="00AD6089"/>
    <w:rsid w:val="00AD612E"/>
    <w:rsid w:val="00AD6253"/>
    <w:rsid w:val="00AD68C2"/>
    <w:rsid w:val="00AE40FE"/>
    <w:rsid w:val="00AE4ACD"/>
    <w:rsid w:val="00AE4C2D"/>
    <w:rsid w:val="00AE59E7"/>
    <w:rsid w:val="00AE76A3"/>
    <w:rsid w:val="00AF1F27"/>
    <w:rsid w:val="00AF42B0"/>
    <w:rsid w:val="00AF502E"/>
    <w:rsid w:val="00AF64E7"/>
    <w:rsid w:val="00AF6FC8"/>
    <w:rsid w:val="00AF72BF"/>
    <w:rsid w:val="00B003D3"/>
    <w:rsid w:val="00B01671"/>
    <w:rsid w:val="00B0181D"/>
    <w:rsid w:val="00B02E35"/>
    <w:rsid w:val="00B03576"/>
    <w:rsid w:val="00B0472C"/>
    <w:rsid w:val="00B102D9"/>
    <w:rsid w:val="00B1132D"/>
    <w:rsid w:val="00B11593"/>
    <w:rsid w:val="00B1481E"/>
    <w:rsid w:val="00B14F76"/>
    <w:rsid w:val="00B1779B"/>
    <w:rsid w:val="00B21484"/>
    <w:rsid w:val="00B21B35"/>
    <w:rsid w:val="00B259E8"/>
    <w:rsid w:val="00B31EDD"/>
    <w:rsid w:val="00B324C5"/>
    <w:rsid w:val="00B33D7B"/>
    <w:rsid w:val="00B360D5"/>
    <w:rsid w:val="00B37582"/>
    <w:rsid w:val="00B40031"/>
    <w:rsid w:val="00B40410"/>
    <w:rsid w:val="00B40955"/>
    <w:rsid w:val="00B411FE"/>
    <w:rsid w:val="00B46C7E"/>
    <w:rsid w:val="00B524D8"/>
    <w:rsid w:val="00B52FCF"/>
    <w:rsid w:val="00B5526C"/>
    <w:rsid w:val="00B57FBC"/>
    <w:rsid w:val="00B6033B"/>
    <w:rsid w:val="00B650C7"/>
    <w:rsid w:val="00B70ECB"/>
    <w:rsid w:val="00B75123"/>
    <w:rsid w:val="00B76DD6"/>
    <w:rsid w:val="00B77601"/>
    <w:rsid w:val="00B77773"/>
    <w:rsid w:val="00B80080"/>
    <w:rsid w:val="00B80C6D"/>
    <w:rsid w:val="00B810EA"/>
    <w:rsid w:val="00B81817"/>
    <w:rsid w:val="00B82C34"/>
    <w:rsid w:val="00B83D81"/>
    <w:rsid w:val="00B85F61"/>
    <w:rsid w:val="00B91C38"/>
    <w:rsid w:val="00B92D1F"/>
    <w:rsid w:val="00B954AB"/>
    <w:rsid w:val="00B9636C"/>
    <w:rsid w:val="00B972B2"/>
    <w:rsid w:val="00BA09DE"/>
    <w:rsid w:val="00BA3C88"/>
    <w:rsid w:val="00BA4E7F"/>
    <w:rsid w:val="00BA5A83"/>
    <w:rsid w:val="00BA6799"/>
    <w:rsid w:val="00BB1297"/>
    <w:rsid w:val="00BB16CA"/>
    <w:rsid w:val="00BB18CD"/>
    <w:rsid w:val="00BB26AB"/>
    <w:rsid w:val="00BB32BA"/>
    <w:rsid w:val="00BB6640"/>
    <w:rsid w:val="00BB6F21"/>
    <w:rsid w:val="00BB77CD"/>
    <w:rsid w:val="00BC04A2"/>
    <w:rsid w:val="00BC44F4"/>
    <w:rsid w:val="00BC45FE"/>
    <w:rsid w:val="00BC5505"/>
    <w:rsid w:val="00BC59BD"/>
    <w:rsid w:val="00BD0938"/>
    <w:rsid w:val="00BD1D9D"/>
    <w:rsid w:val="00BD3874"/>
    <w:rsid w:val="00BD6C4E"/>
    <w:rsid w:val="00BE34E5"/>
    <w:rsid w:val="00BE396E"/>
    <w:rsid w:val="00BE5414"/>
    <w:rsid w:val="00BE69AC"/>
    <w:rsid w:val="00BF0479"/>
    <w:rsid w:val="00BF0DFE"/>
    <w:rsid w:val="00BF270F"/>
    <w:rsid w:val="00BF3109"/>
    <w:rsid w:val="00BF4914"/>
    <w:rsid w:val="00BF5F33"/>
    <w:rsid w:val="00C0013C"/>
    <w:rsid w:val="00C0149D"/>
    <w:rsid w:val="00C04A09"/>
    <w:rsid w:val="00C05EDF"/>
    <w:rsid w:val="00C10778"/>
    <w:rsid w:val="00C134F8"/>
    <w:rsid w:val="00C13B47"/>
    <w:rsid w:val="00C1782D"/>
    <w:rsid w:val="00C200ED"/>
    <w:rsid w:val="00C20749"/>
    <w:rsid w:val="00C20B8A"/>
    <w:rsid w:val="00C20BEE"/>
    <w:rsid w:val="00C21AF6"/>
    <w:rsid w:val="00C22C29"/>
    <w:rsid w:val="00C23388"/>
    <w:rsid w:val="00C25680"/>
    <w:rsid w:val="00C25C17"/>
    <w:rsid w:val="00C26B53"/>
    <w:rsid w:val="00C26BEA"/>
    <w:rsid w:val="00C34180"/>
    <w:rsid w:val="00C429DE"/>
    <w:rsid w:val="00C44F4E"/>
    <w:rsid w:val="00C45D90"/>
    <w:rsid w:val="00C47C98"/>
    <w:rsid w:val="00C50309"/>
    <w:rsid w:val="00C5031B"/>
    <w:rsid w:val="00C505E6"/>
    <w:rsid w:val="00C50B10"/>
    <w:rsid w:val="00C53FF9"/>
    <w:rsid w:val="00C54F96"/>
    <w:rsid w:val="00C55C32"/>
    <w:rsid w:val="00C57996"/>
    <w:rsid w:val="00C614AF"/>
    <w:rsid w:val="00C6170B"/>
    <w:rsid w:val="00C61CD8"/>
    <w:rsid w:val="00C639AE"/>
    <w:rsid w:val="00C6571B"/>
    <w:rsid w:val="00C67123"/>
    <w:rsid w:val="00C703C1"/>
    <w:rsid w:val="00C76642"/>
    <w:rsid w:val="00C76E22"/>
    <w:rsid w:val="00C80335"/>
    <w:rsid w:val="00C808E5"/>
    <w:rsid w:val="00C84A2B"/>
    <w:rsid w:val="00C84EFB"/>
    <w:rsid w:val="00C86C09"/>
    <w:rsid w:val="00C90108"/>
    <w:rsid w:val="00C90EB4"/>
    <w:rsid w:val="00C91AB6"/>
    <w:rsid w:val="00C93FF5"/>
    <w:rsid w:val="00C95F48"/>
    <w:rsid w:val="00C96074"/>
    <w:rsid w:val="00C962C6"/>
    <w:rsid w:val="00CA5A8A"/>
    <w:rsid w:val="00CA6500"/>
    <w:rsid w:val="00CB1778"/>
    <w:rsid w:val="00CB1BAB"/>
    <w:rsid w:val="00CB38F6"/>
    <w:rsid w:val="00CB65FC"/>
    <w:rsid w:val="00CB6F6B"/>
    <w:rsid w:val="00CB7E7D"/>
    <w:rsid w:val="00CB7EEC"/>
    <w:rsid w:val="00CC038A"/>
    <w:rsid w:val="00CC23B0"/>
    <w:rsid w:val="00CC68A5"/>
    <w:rsid w:val="00CD059B"/>
    <w:rsid w:val="00CD23BF"/>
    <w:rsid w:val="00CD26E2"/>
    <w:rsid w:val="00CD2D31"/>
    <w:rsid w:val="00CD5843"/>
    <w:rsid w:val="00CD712E"/>
    <w:rsid w:val="00CD7AAF"/>
    <w:rsid w:val="00CD7E7B"/>
    <w:rsid w:val="00CE5521"/>
    <w:rsid w:val="00CF1DFB"/>
    <w:rsid w:val="00CF305A"/>
    <w:rsid w:val="00CF6CFC"/>
    <w:rsid w:val="00D0279F"/>
    <w:rsid w:val="00D070E7"/>
    <w:rsid w:val="00D10820"/>
    <w:rsid w:val="00D118AD"/>
    <w:rsid w:val="00D15284"/>
    <w:rsid w:val="00D1627F"/>
    <w:rsid w:val="00D17207"/>
    <w:rsid w:val="00D1735A"/>
    <w:rsid w:val="00D27B27"/>
    <w:rsid w:val="00D31CD8"/>
    <w:rsid w:val="00D32CBB"/>
    <w:rsid w:val="00D32F23"/>
    <w:rsid w:val="00D33B5D"/>
    <w:rsid w:val="00D41D61"/>
    <w:rsid w:val="00D43701"/>
    <w:rsid w:val="00D4426A"/>
    <w:rsid w:val="00D4431E"/>
    <w:rsid w:val="00D46A79"/>
    <w:rsid w:val="00D46F2D"/>
    <w:rsid w:val="00D4755A"/>
    <w:rsid w:val="00D47A2C"/>
    <w:rsid w:val="00D51F31"/>
    <w:rsid w:val="00D52775"/>
    <w:rsid w:val="00D5346A"/>
    <w:rsid w:val="00D55D87"/>
    <w:rsid w:val="00D55F83"/>
    <w:rsid w:val="00D57D5A"/>
    <w:rsid w:val="00D635CB"/>
    <w:rsid w:val="00D701CC"/>
    <w:rsid w:val="00D70C50"/>
    <w:rsid w:val="00D719D9"/>
    <w:rsid w:val="00D749B8"/>
    <w:rsid w:val="00D769FB"/>
    <w:rsid w:val="00D77350"/>
    <w:rsid w:val="00D779C4"/>
    <w:rsid w:val="00D80708"/>
    <w:rsid w:val="00D83BB2"/>
    <w:rsid w:val="00D9261F"/>
    <w:rsid w:val="00D92DB8"/>
    <w:rsid w:val="00D93418"/>
    <w:rsid w:val="00D93E3F"/>
    <w:rsid w:val="00DA06B6"/>
    <w:rsid w:val="00DA2189"/>
    <w:rsid w:val="00DA2F53"/>
    <w:rsid w:val="00DA73AC"/>
    <w:rsid w:val="00DB07D6"/>
    <w:rsid w:val="00DB1E71"/>
    <w:rsid w:val="00DB4A4B"/>
    <w:rsid w:val="00DB4D17"/>
    <w:rsid w:val="00DB5E78"/>
    <w:rsid w:val="00DB6890"/>
    <w:rsid w:val="00DC0E3C"/>
    <w:rsid w:val="00DC0E70"/>
    <w:rsid w:val="00DC1070"/>
    <w:rsid w:val="00DC2939"/>
    <w:rsid w:val="00DC322F"/>
    <w:rsid w:val="00DC3FFD"/>
    <w:rsid w:val="00DC41A6"/>
    <w:rsid w:val="00DC5BDA"/>
    <w:rsid w:val="00DD0AF1"/>
    <w:rsid w:val="00DD311A"/>
    <w:rsid w:val="00DD6E16"/>
    <w:rsid w:val="00DE16C3"/>
    <w:rsid w:val="00DE1748"/>
    <w:rsid w:val="00DE552A"/>
    <w:rsid w:val="00DE739E"/>
    <w:rsid w:val="00DF115E"/>
    <w:rsid w:val="00DF372A"/>
    <w:rsid w:val="00DF5F1F"/>
    <w:rsid w:val="00DF60E1"/>
    <w:rsid w:val="00DF74B2"/>
    <w:rsid w:val="00E00A8B"/>
    <w:rsid w:val="00E01F95"/>
    <w:rsid w:val="00E02561"/>
    <w:rsid w:val="00E031DE"/>
    <w:rsid w:val="00E03D34"/>
    <w:rsid w:val="00E06462"/>
    <w:rsid w:val="00E16CCC"/>
    <w:rsid w:val="00E20EB0"/>
    <w:rsid w:val="00E259E0"/>
    <w:rsid w:val="00E31F56"/>
    <w:rsid w:val="00E34293"/>
    <w:rsid w:val="00E37DFA"/>
    <w:rsid w:val="00E40DC3"/>
    <w:rsid w:val="00E469B5"/>
    <w:rsid w:val="00E46BFB"/>
    <w:rsid w:val="00E521B1"/>
    <w:rsid w:val="00E526C7"/>
    <w:rsid w:val="00E529FC"/>
    <w:rsid w:val="00E52FD6"/>
    <w:rsid w:val="00E540DF"/>
    <w:rsid w:val="00E56C68"/>
    <w:rsid w:val="00E57B85"/>
    <w:rsid w:val="00E57F6E"/>
    <w:rsid w:val="00E61488"/>
    <w:rsid w:val="00E61604"/>
    <w:rsid w:val="00E62F27"/>
    <w:rsid w:val="00E63126"/>
    <w:rsid w:val="00E713BF"/>
    <w:rsid w:val="00E7197E"/>
    <w:rsid w:val="00E7276F"/>
    <w:rsid w:val="00E73A45"/>
    <w:rsid w:val="00E7422C"/>
    <w:rsid w:val="00E74504"/>
    <w:rsid w:val="00E74BB1"/>
    <w:rsid w:val="00E7560F"/>
    <w:rsid w:val="00E75AEE"/>
    <w:rsid w:val="00E81ECC"/>
    <w:rsid w:val="00E82317"/>
    <w:rsid w:val="00E846B1"/>
    <w:rsid w:val="00E87591"/>
    <w:rsid w:val="00E924FD"/>
    <w:rsid w:val="00E936DA"/>
    <w:rsid w:val="00E93998"/>
    <w:rsid w:val="00E97375"/>
    <w:rsid w:val="00E97447"/>
    <w:rsid w:val="00E97E29"/>
    <w:rsid w:val="00EA3CBC"/>
    <w:rsid w:val="00EA6905"/>
    <w:rsid w:val="00EB3A80"/>
    <w:rsid w:val="00EB6835"/>
    <w:rsid w:val="00EC0237"/>
    <w:rsid w:val="00EC105B"/>
    <w:rsid w:val="00EC216B"/>
    <w:rsid w:val="00EC46FB"/>
    <w:rsid w:val="00ED247C"/>
    <w:rsid w:val="00ED4E80"/>
    <w:rsid w:val="00ED5806"/>
    <w:rsid w:val="00ED63E9"/>
    <w:rsid w:val="00EE1B4A"/>
    <w:rsid w:val="00EE2D09"/>
    <w:rsid w:val="00EE2E80"/>
    <w:rsid w:val="00EE51C0"/>
    <w:rsid w:val="00EE7649"/>
    <w:rsid w:val="00EF00A8"/>
    <w:rsid w:val="00EF0D14"/>
    <w:rsid w:val="00EF0E22"/>
    <w:rsid w:val="00EF1B7E"/>
    <w:rsid w:val="00EF1C49"/>
    <w:rsid w:val="00EF3110"/>
    <w:rsid w:val="00EF342F"/>
    <w:rsid w:val="00EF5E3D"/>
    <w:rsid w:val="00F0084A"/>
    <w:rsid w:val="00F00E75"/>
    <w:rsid w:val="00F04BBB"/>
    <w:rsid w:val="00F04F02"/>
    <w:rsid w:val="00F06702"/>
    <w:rsid w:val="00F162E4"/>
    <w:rsid w:val="00F16E5D"/>
    <w:rsid w:val="00F2152F"/>
    <w:rsid w:val="00F22299"/>
    <w:rsid w:val="00F22725"/>
    <w:rsid w:val="00F2353D"/>
    <w:rsid w:val="00F25F0C"/>
    <w:rsid w:val="00F31BD9"/>
    <w:rsid w:val="00F326F1"/>
    <w:rsid w:val="00F32C60"/>
    <w:rsid w:val="00F355E9"/>
    <w:rsid w:val="00F405A0"/>
    <w:rsid w:val="00F42704"/>
    <w:rsid w:val="00F5012F"/>
    <w:rsid w:val="00F51E0F"/>
    <w:rsid w:val="00F52A70"/>
    <w:rsid w:val="00F530A0"/>
    <w:rsid w:val="00F53378"/>
    <w:rsid w:val="00F60AAE"/>
    <w:rsid w:val="00F64B99"/>
    <w:rsid w:val="00F65EC0"/>
    <w:rsid w:val="00F7360A"/>
    <w:rsid w:val="00F7484F"/>
    <w:rsid w:val="00F75C09"/>
    <w:rsid w:val="00F771D0"/>
    <w:rsid w:val="00F8174C"/>
    <w:rsid w:val="00F870B6"/>
    <w:rsid w:val="00F878C8"/>
    <w:rsid w:val="00F92462"/>
    <w:rsid w:val="00F929AE"/>
    <w:rsid w:val="00F92D41"/>
    <w:rsid w:val="00F95BE5"/>
    <w:rsid w:val="00F95F91"/>
    <w:rsid w:val="00F96406"/>
    <w:rsid w:val="00F972E7"/>
    <w:rsid w:val="00FA1486"/>
    <w:rsid w:val="00FA36DD"/>
    <w:rsid w:val="00FA3E94"/>
    <w:rsid w:val="00FA507C"/>
    <w:rsid w:val="00FB1A11"/>
    <w:rsid w:val="00FB30FA"/>
    <w:rsid w:val="00FB7083"/>
    <w:rsid w:val="00FC08AA"/>
    <w:rsid w:val="00FC0952"/>
    <w:rsid w:val="00FC0D1D"/>
    <w:rsid w:val="00FC1261"/>
    <w:rsid w:val="00FC13AA"/>
    <w:rsid w:val="00FC2897"/>
    <w:rsid w:val="00FC664E"/>
    <w:rsid w:val="00FC74F3"/>
    <w:rsid w:val="00FC7964"/>
    <w:rsid w:val="00FC7B05"/>
    <w:rsid w:val="00FD04C5"/>
    <w:rsid w:val="00FD0D5E"/>
    <w:rsid w:val="00FD2F98"/>
    <w:rsid w:val="00FD51A4"/>
    <w:rsid w:val="00FD59CA"/>
    <w:rsid w:val="00FD60FF"/>
    <w:rsid w:val="00FD6187"/>
    <w:rsid w:val="00FD6801"/>
    <w:rsid w:val="00FD7119"/>
    <w:rsid w:val="00FD7283"/>
    <w:rsid w:val="00FE1A4B"/>
    <w:rsid w:val="00FE43FE"/>
    <w:rsid w:val="00FE58B0"/>
    <w:rsid w:val="00FE5A65"/>
    <w:rsid w:val="00FE5F2A"/>
    <w:rsid w:val="00FE70BD"/>
    <w:rsid w:val="00FE7CB1"/>
    <w:rsid w:val="00FF1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C3"/>
    <w:rPr>
      <w:rFonts w:eastAsia="Times New Roman" w:cs="Times New Roman"/>
      <w:szCs w:val="20"/>
      <w:lang w:eastAsia="en-AU"/>
    </w:rPr>
  </w:style>
  <w:style w:type="paragraph" w:styleId="Heading1">
    <w:name w:val="heading 1"/>
    <w:basedOn w:val="Normal"/>
    <w:link w:val="Heading1Char"/>
    <w:uiPriority w:val="9"/>
    <w:qFormat/>
    <w:rsid w:val="00AF64E7"/>
    <w:pPr>
      <w:keepNext/>
      <w:keepLines/>
      <w:numPr>
        <w:numId w:val="3"/>
      </w:numPr>
      <w:ind w:hanging="720"/>
      <w:outlineLvl w:val="0"/>
    </w:pPr>
    <w:rPr>
      <w:rFonts w:eastAsiaTheme="majorEastAsia" w:cstheme="majorBidi"/>
      <w:b/>
      <w:bCs/>
      <w:szCs w:val="28"/>
    </w:rPr>
  </w:style>
  <w:style w:type="paragraph" w:styleId="Heading2">
    <w:name w:val="heading 2"/>
    <w:basedOn w:val="Normal"/>
    <w:link w:val="Heading2Char"/>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1"/>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C460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4137CE"/>
    <w:pPr>
      <w:keepNext/>
      <w:spacing w:line="312" w:lineRule="auto"/>
      <w:outlineLvl w:val="5"/>
    </w:pPr>
    <w:rPr>
      <w:rFonts w:ascii="Calibri" w:hAnsi="Calibri" w:cs="Tahoma"/>
      <w:sz w:val="22"/>
      <w:szCs w:val="22"/>
      <w:u w:val="single"/>
    </w:rPr>
  </w:style>
  <w:style w:type="paragraph" w:styleId="Heading7">
    <w:name w:val="heading 7"/>
    <w:basedOn w:val="Normal"/>
    <w:next w:val="Normal"/>
    <w:link w:val="Heading7Char"/>
    <w:qFormat/>
    <w:rsid w:val="004137CE"/>
    <w:pPr>
      <w:keepNext/>
      <w:spacing w:line="312" w:lineRule="auto"/>
      <w:outlineLvl w:val="6"/>
    </w:pPr>
    <w:rPr>
      <w:rFonts w:ascii="Calibri" w:hAnsi="Calibri" w:cs="Tahoma"/>
      <w:i/>
      <w:sz w:val="22"/>
      <w:szCs w:val="22"/>
    </w:rPr>
  </w:style>
  <w:style w:type="paragraph" w:styleId="Heading8">
    <w:name w:val="heading 8"/>
    <w:basedOn w:val="Normal"/>
    <w:next w:val="Normal"/>
    <w:link w:val="Heading8Char"/>
    <w:qFormat/>
    <w:rsid w:val="004137CE"/>
    <w:pPr>
      <w:keepNext/>
      <w:spacing w:line="312" w:lineRule="auto"/>
      <w:outlineLvl w:val="7"/>
    </w:pPr>
    <w:rPr>
      <w:rFonts w:ascii="Calibri" w:hAnsi="Calibri" w:cs="Tahoma"/>
      <w:sz w:val="22"/>
      <w:szCs w:val="22"/>
      <w:u w:val="single"/>
    </w:rPr>
  </w:style>
  <w:style w:type="paragraph" w:styleId="Heading9">
    <w:name w:val="heading 9"/>
    <w:basedOn w:val="Normal"/>
    <w:next w:val="Normal"/>
    <w:link w:val="Heading9Char"/>
    <w:qFormat/>
    <w:rsid w:val="004137CE"/>
    <w:pPr>
      <w:keepNext/>
      <w:spacing w:line="312" w:lineRule="auto"/>
      <w:outlineLvl w:val="8"/>
    </w:pPr>
    <w:rPr>
      <w:rFonts w:ascii="Calibri" w:hAnsi="Calibri"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vertAlign w:val="superscript"/>
    </w:rPr>
  </w:style>
  <w:style w:type="paragraph" w:styleId="ListParagraph">
    <w:name w:val="List Paragraph"/>
    <w:aliases w:val="Styl moj,Akapit z listą1,Akapit z listą11,Recommendation,List Paragraph1,List Paragraph11,L,Bullet point,Bullet table"/>
    <w:basedOn w:val="Normal"/>
    <w:link w:val="ListParagraphChar"/>
    <w:uiPriority w:val="34"/>
    <w:qFormat/>
    <w:rsid w:val="00065623"/>
    <w:pPr>
      <w:ind w:left="720"/>
      <w:contextualSpacing/>
    </w:pPr>
  </w:style>
  <w:style w:type="paragraph" w:styleId="BalloonText">
    <w:name w:val="Balloon Text"/>
    <w:basedOn w:val="Normal"/>
    <w:link w:val="BalloonTextChar"/>
    <w:semiHidden/>
    <w:unhideWhenUsed/>
    <w:rsid w:val="00065623"/>
    <w:rPr>
      <w:rFonts w:ascii="Tahoma" w:hAnsi="Tahoma" w:cs="Tahoma"/>
      <w:sz w:val="16"/>
      <w:szCs w:val="16"/>
    </w:rPr>
  </w:style>
  <w:style w:type="character" w:customStyle="1" w:styleId="BalloonTextChar">
    <w:name w:val="Balloon Text Char"/>
    <w:basedOn w:val="DefaultParagraphFont"/>
    <w:link w:val="BalloonText"/>
    <w:semiHidden/>
    <w:rsid w:val="00065623"/>
    <w:rPr>
      <w:rFonts w:ascii="Tahoma" w:eastAsia="Times New Roman" w:hAnsi="Tahoma" w:cs="Tahoma"/>
      <w:sz w:val="16"/>
      <w:szCs w:val="16"/>
      <w:lang w:eastAsia="en-AU"/>
    </w:rPr>
  </w:style>
  <w:style w:type="paragraph" w:styleId="Header">
    <w:name w:val="header"/>
    <w:basedOn w:val="Normal"/>
    <w:link w:val="HeaderChar"/>
    <w:unhideWhenUsed/>
    <w:rsid w:val="008227C1"/>
    <w:pPr>
      <w:tabs>
        <w:tab w:val="center" w:pos="4513"/>
        <w:tab w:val="right" w:pos="9026"/>
      </w:tabs>
    </w:pPr>
  </w:style>
  <w:style w:type="character" w:customStyle="1" w:styleId="HeaderChar">
    <w:name w:val="Header Char"/>
    <w:basedOn w:val="DefaultParagraphFont"/>
    <w:link w:val="Header"/>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Centered text,Summary box,Table Gridbeth"/>
    <w:basedOn w:val="TableNormal"/>
    <w:rsid w:val="00C20B8A"/>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67123"/>
    <w:pPr>
      <w:keepNext/>
      <w:spacing w:after="40"/>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pPr>
    <w:rPr>
      <w:rFonts w:asciiTheme="minorHAnsi" w:hAnsiTheme="minorHAnsi"/>
      <w:sz w:val="22"/>
    </w:rPr>
  </w:style>
  <w:style w:type="paragraph" w:customStyle="1" w:styleId="NormalBulletList">
    <w:name w:val="Normal Bullet List"/>
    <w:basedOn w:val="Normal"/>
    <w:uiPriority w:val="3"/>
    <w:qFormat/>
    <w:rsid w:val="00950C0C"/>
    <w:pPr>
      <w:numPr>
        <w:numId w:val="1"/>
      </w:numPr>
      <w:spacing w:line="276" w:lineRule="auto"/>
      <w:contextualSpacing/>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C90EB4"/>
    <w:rPr>
      <w:b/>
      <w:bCs/>
    </w:rPr>
  </w:style>
  <w:style w:type="character" w:customStyle="1" w:styleId="CommentSubjectChar">
    <w:name w:val="Comment Subject Char"/>
    <w:basedOn w:val="CommentTextChar"/>
    <w:link w:val="CommentSubject"/>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110E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110E5"/>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1"/>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
    <w:rsid w:val="00AF64E7"/>
    <w:rPr>
      <w:rFonts w:eastAsiaTheme="majorEastAsia" w:cstheme="majorBidi"/>
      <w:b/>
      <w:bCs/>
      <w:szCs w:val="28"/>
      <w:lang w:eastAsia="en-AU"/>
    </w:rPr>
  </w:style>
  <w:style w:type="character" w:customStyle="1" w:styleId="Heading3Char">
    <w:name w:val="Heading 3 Char"/>
    <w:basedOn w:val="DefaultParagraphFont"/>
    <w:link w:val="Heading3"/>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Recommendation Char,List Paragraph1 Char,List Paragraph11 Char,L Char,Bullet point Char,Bullet table Char"/>
    <w:link w:val="ListParagraph"/>
    <w:uiPriority w:val="34"/>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2"/>
      </w:numPr>
    </w:pPr>
  </w:style>
  <w:style w:type="paragraph" w:customStyle="1" w:styleId="Tabletext-left">
    <w:name w:val="Table text - left"/>
    <w:basedOn w:val="Normal"/>
    <w:link w:val="Tabletext-leftChar"/>
    <w:rsid w:val="00CB1778"/>
    <w:pPr>
      <w:keepNext/>
      <w:tabs>
        <w:tab w:val="left" w:pos="2835"/>
      </w:tabs>
      <w:spacing w:before="120" w:after="120" w:line="312" w:lineRule="auto"/>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5638"/>
    <w:pPr>
      <w:ind w:left="720"/>
    </w:pPr>
    <w:rPr>
      <w:rFonts w:eastAsiaTheme="minorEastAs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6791"/>
    <w:pPr>
      <w:ind w:left="720"/>
    </w:pPr>
    <w:rPr>
      <w:rFonts w:eastAsiaTheme="minorEastAs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5033"/>
    <w:pPr>
      <w:ind w:left="720"/>
    </w:pPr>
    <w:rPr>
      <w:rFonts w:eastAsiaTheme="minorEastAs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DD6E16"/>
    <w:rPr>
      <w:color w:val="800080" w:themeColor="followedHyperlink"/>
      <w:u w:val="single"/>
    </w:rPr>
  </w:style>
  <w:style w:type="paragraph" w:customStyle="1" w:styleId="Style8">
    <w:name w:val="Style8"/>
    <w:basedOn w:val="Normal"/>
    <w:qFormat/>
    <w:rsid w:val="00FE5A65"/>
    <w:rPr>
      <w:rFonts w:ascii="Arial" w:hAnsi="Arial"/>
    </w:rPr>
  </w:style>
  <w:style w:type="character" w:styleId="PageNumber">
    <w:name w:val="page number"/>
    <w:rsid w:val="00B57FBC"/>
    <w:rPr>
      <w:rFonts w:ascii="Tahoma" w:hAnsi="Tahoma"/>
      <w:b/>
      <w:sz w:val="18"/>
    </w:rPr>
  </w:style>
  <w:style w:type="table" w:customStyle="1" w:styleId="TableGridbeth1">
    <w:name w:val="Table Gridbeth1"/>
    <w:basedOn w:val="TableNormal"/>
    <w:next w:val="TableGrid"/>
    <w:uiPriority w:val="39"/>
    <w:rsid w:val="00BD0938"/>
    <w:pPr>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C4608"/>
    <w:rPr>
      <w:rFonts w:asciiTheme="majorHAnsi" w:eastAsiaTheme="majorEastAsia" w:hAnsiTheme="majorHAnsi" w:cstheme="majorBidi"/>
      <w:color w:val="365F91" w:themeColor="accent1" w:themeShade="BF"/>
      <w:szCs w:val="20"/>
      <w:lang w:eastAsia="en-AU"/>
    </w:rPr>
  </w:style>
  <w:style w:type="table" w:customStyle="1" w:styleId="TableGridbeth2">
    <w:name w:val="Table Gridbeth2"/>
    <w:basedOn w:val="TableNormal"/>
    <w:next w:val="TableGrid"/>
    <w:uiPriority w:val="39"/>
    <w:rsid w:val="002C4608"/>
    <w:pPr>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137CE"/>
    <w:rPr>
      <w:rFonts w:ascii="Calibri" w:eastAsia="Times New Roman" w:hAnsi="Calibri" w:cs="Tahoma"/>
      <w:sz w:val="22"/>
      <w:u w:val="single"/>
      <w:lang w:eastAsia="en-AU"/>
    </w:rPr>
  </w:style>
  <w:style w:type="character" w:customStyle="1" w:styleId="Heading7Char">
    <w:name w:val="Heading 7 Char"/>
    <w:basedOn w:val="DefaultParagraphFont"/>
    <w:link w:val="Heading7"/>
    <w:rsid w:val="004137CE"/>
    <w:rPr>
      <w:rFonts w:ascii="Calibri" w:eastAsia="Times New Roman" w:hAnsi="Calibri" w:cs="Tahoma"/>
      <w:i/>
      <w:sz w:val="22"/>
      <w:lang w:eastAsia="en-AU"/>
    </w:rPr>
  </w:style>
  <w:style w:type="character" w:customStyle="1" w:styleId="Heading8Char">
    <w:name w:val="Heading 8 Char"/>
    <w:basedOn w:val="DefaultParagraphFont"/>
    <w:link w:val="Heading8"/>
    <w:rsid w:val="004137CE"/>
    <w:rPr>
      <w:rFonts w:ascii="Calibri" w:eastAsia="Times New Roman" w:hAnsi="Calibri" w:cs="Tahoma"/>
      <w:sz w:val="22"/>
      <w:u w:val="single"/>
      <w:lang w:eastAsia="en-AU"/>
    </w:rPr>
  </w:style>
  <w:style w:type="character" w:customStyle="1" w:styleId="Heading9Char">
    <w:name w:val="Heading 9 Char"/>
    <w:basedOn w:val="DefaultParagraphFont"/>
    <w:link w:val="Heading9"/>
    <w:rsid w:val="004137CE"/>
    <w:rPr>
      <w:rFonts w:ascii="Calibri" w:eastAsia="Times New Roman" w:hAnsi="Calibri" w:cs="Tahoma"/>
      <w:sz w:val="22"/>
      <w:lang w:eastAsia="en-AU"/>
    </w:rPr>
  </w:style>
  <w:style w:type="numbering" w:customStyle="1" w:styleId="NoList1">
    <w:name w:val="No List1"/>
    <w:next w:val="NoList"/>
    <w:uiPriority w:val="99"/>
    <w:semiHidden/>
    <w:unhideWhenUsed/>
    <w:rsid w:val="004137CE"/>
  </w:style>
  <w:style w:type="paragraph" w:customStyle="1" w:styleId="Bullet">
    <w:name w:val="Bullet"/>
    <w:basedOn w:val="Normal"/>
    <w:rsid w:val="004137CE"/>
    <w:pPr>
      <w:numPr>
        <w:numId w:val="7"/>
      </w:numPr>
      <w:spacing w:line="312" w:lineRule="auto"/>
    </w:pPr>
    <w:rPr>
      <w:rFonts w:ascii="Calibri" w:hAnsi="Calibri" w:cs="Tahoma"/>
      <w:sz w:val="22"/>
      <w:szCs w:val="22"/>
    </w:rPr>
  </w:style>
  <w:style w:type="paragraph" w:styleId="Date">
    <w:name w:val="Date"/>
    <w:basedOn w:val="Normal"/>
    <w:next w:val="Normal"/>
    <w:link w:val="DateChar"/>
    <w:rsid w:val="004137CE"/>
    <w:pPr>
      <w:spacing w:line="312" w:lineRule="auto"/>
      <w:ind w:right="113"/>
      <w:jc w:val="right"/>
    </w:pPr>
    <w:rPr>
      <w:rFonts w:ascii="Arial" w:hAnsi="Arial" w:cs="Tahoma"/>
      <w:b/>
      <w:sz w:val="36"/>
      <w:szCs w:val="22"/>
    </w:rPr>
  </w:style>
  <w:style w:type="character" w:customStyle="1" w:styleId="DateChar">
    <w:name w:val="Date Char"/>
    <w:basedOn w:val="DefaultParagraphFont"/>
    <w:link w:val="Date"/>
    <w:rsid w:val="004137CE"/>
    <w:rPr>
      <w:rFonts w:ascii="Arial" w:eastAsia="Times New Roman" w:hAnsi="Arial" w:cs="Tahoma"/>
      <w:b/>
      <w:sz w:val="36"/>
      <w:lang w:eastAsia="en-AU"/>
    </w:rPr>
  </w:style>
  <w:style w:type="paragraph" w:customStyle="1" w:styleId="Summaryboxtext">
    <w:name w:val="Summary box text"/>
    <w:basedOn w:val="Normal"/>
    <w:rsid w:val="004137CE"/>
    <w:pPr>
      <w:spacing w:after="100" w:afterAutospacing="1" w:line="312" w:lineRule="auto"/>
    </w:pPr>
    <w:rPr>
      <w:rFonts w:ascii="Arial Narrow" w:hAnsi="Arial Narrow" w:cs="Tahoma"/>
      <w:sz w:val="22"/>
      <w:szCs w:val="22"/>
    </w:rPr>
  </w:style>
  <w:style w:type="paragraph" w:customStyle="1" w:styleId="Summaryboxheading">
    <w:name w:val="Summary box heading"/>
    <w:basedOn w:val="Summaryboxtext"/>
    <w:rsid w:val="004137CE"/>
    <w:pPr>
      <w:spacing w:before="120"/>
    </w:pPr>
    <w:rPr>
      <w:b/>
    </w:rPr>
  </w:style>
  <w:style w:type="paragraph" w:customStyle="1" w:styleId="Heading2a">
    <w:name w:val="Heading 2a"/>
    <w:basedOn w:val="Heading2"/>
    <w:rsid w:val="004137CE"/>
    <w:pPr>
      <w:keepLines w:val="0"/>
      <w:spacing w:line="312" w:lineRule="auto"/>
      <w:outlineLvl w:val="9"/>
    </w:pPr>
    <w:rPr>
      <w:rFonts w:ascii="Calibri" w:eastAsia="Times New Roman" w:hAnsi="Calibri" w:cs="Tahoma"/>
      <w:b/>
      <w:bCs w:val="0"/>
      <w:i w:val="0"/>
      <w:smallCaps/>
      <w:sz w:val="22"/>
      <w:szCs w:val="22"/>
    </w:rPr>
  </w:style>
  <w:style w:type="paragraph" w:customStyle="1" w:styleId="PublicationTitle">
    <w:name w:val="PublicationTitle"/>
    <w:basedOn w:val="Normal"/>
    <w:rsid w:val="004137CE"/>
    <w:pPr>
      <w:spacing w:line="480" w:lineRule="exact"/>
      <w:ind w:right="113"/>
      <w:jc w:val="right"/>
    </w:pPr>
    <w:rPr>
      <w:rFonts w:ascii="Arial" w:hAnsi="Arial" w:cs="Tahoma"/>
      <w:b/>
      <w:i/>
      <w:sz w:val="44"/>
      <w:szCs w:val="22"/>
    </w:rPr>
  </w:style>
  <w:style w:type="paragraph" w:customStyle="1" w:styleId="References">
    <w:name w:val="References"/>
    <w:basedOn w:val="Normal"/>
    <w:rsid w:val="004137CE"/>
    <w:pPr>
      <w:keepLines/>
      <w:spacing w:line="312" w:lineRule="auto"/>
      <w:ind w:left="1440" w:hanging="720"/>
    </w:pPr>
    <w:rPr>
      <w:rFonts w:ascii="Calibri" w:hAnsi="Calibri" w:cs="Tahoma"/>
      <w:sz w:val="22"/>
      <w:szCs w:val="22"/>
    </w:rPr>
  </w:style>
  <w:style w:type="paragraph" w:customStyle="1" w:styleId="Sub-title">
    <w:name w:val="Sub-title"/>
    <w:basedOn w:val="Normal"/>
    <w:rsid w:val="004137CE"/>
    <w:pPr>
      <w:spacing w:line="312" w:lineRule="auto"/>
      <w:ind w:right="113"/>
      <w:jc w:val="right"/>
    </w:pPr>
    <w:rPr>
      <w:rFonts w:ascii="Arial" w:hAnsi="Arial" w:cs="Tahoma"/>
      <w:b/>
      <w:sz w:val="32"/>
      <w:szCs w:val="22"/>
    </w:rPr>
  </w:style>
  <w:style w:type="paragraph" w:styleId="TableofFigures">
    <w:name w:val="table of figures"/>
    <w:basedOn w:val="Normal"/>
    <w:next w:val="Normal"/>
    <w:uiPriority w:val="99"/>
    <w:rsid w:val="004137CE"/>
    <w:pPr>
      <w:tabs>
        <w:tab w:val="left" w:pos="1800"/>
        <w:tab w:val="right" w:leader="dot" w:pos="9017"/>
      </w:tabs>
      <w:spacing w:after="120" w:line="312" w:lineRule="auto"/>
      <w:ind w:left="1800" w:right="720" w:hanging="1080"/>
    </w:pPr>
    <w:rPr>
      <w:rFonts w:ascii="Calibri" w:hAnsi="Calibri" w:cs="Tahoma"/>
      <w:noProof/>
      <w:sz w:val="22"/>
      <w:szCs w:val="22"/>
    </w:rPr>
  </w:style>
  <w:style w:type="paragraph" w:customStyle="1" w:styleId="TableText0">
    <w:name w:val="TableText"/>
    <w:basedOn w:val="Normal"/>
    <w:link w:val="TableTextChar0"/>
    <w:rsid w:val="004137CE"/>
    <w:pPr>
      <w:keepNext/>
      <w:spacing w:before="40" w:after="40" w:line="312" w:lineRule="auto"/>
    </w:pPr>
    <w:rPr>
      <w:rFonts w:ascii="Arial Narrow" w:hAnsi="Arial Narrow" w:cs="Tahoma"/>
      <w:sz w:val="18"/>
      <w:szCs w:val="22"/>
    </w:rPr>
  </w:style>
  <w:style w:type="character" w:customStyle="1" w:styleId="TableTextChar0">
    <w:name w:val="TableText Char"/>
    <w:link w:val="TableText0"/>
    <w:rsid w:val="004137CE"/>
    <w:rPr>
      <w:rFonts w:ascii="Arial Narrow" w:eastAsia="Times New Roman" w:hAnsi="Arial Narrow" w:cs="Tahoma"/>
      <w:sz w:val="18"/>
      <w:lang w:eastAsia="en-AU"/>
    </w:rPr>
  </w:style>
  <w:style w:type="paragraph" w:customStyle="1" w:styleId="TableName">
    <w:name w:val="TableName"/>
    <w:basedOn w:val="TableText0"/>
    <w:link w:val="TableNameChar"/>
    <w:rsid w:val="004137CE"/>
    <w:pPr>
      <w:ind w:left="1440" w:hanging="720"/>
    </w:pPr>
    <w:rPr>
      <w:b/>
      <w:sz w:val="20"/>
    </w:rPr>
  </w:style>
  <w:style w:type="character" w:customStyle="1" w:styleId="TableNameChar">
    <w:name w:val="TableName Char"/>
    <w:link w:val="TableName"/>
    <w:rsid w:val="004137CE"/>
    <w:rPr>
      <w:rFonts w:ascii="Arial Narrow" w:eastAsia="Times New Roman" w:hAnsi="Arial Narrow" w:cs="Tahoma"/>
      <w:b/>
      <w:sz w:val="20"/>
      <w:lang w:eastAsia="en-AU"/>
    </w:rPr>
  </w:style>
  <w:style w:type="paragraph" w:customStyle="1" w:styleId="TableNotes0">
    <w:name w:val="TableNotes"/>
    <w:basedOn w:val="TableText0"/>
    <w:link w:val="TableNotesChar0"/>
    <w:rsid w:val="004137CE"/>
    <w:pPr>
      <w:keepNext w:val="0"/>
      <w:keepLines/>
      <w:spacing w:before="0" w:after="360"/>
      <w:ind w:left="720"/>
      <w:contextualSpacing/>
    </w:pPr>
    <w:rPr>
      <w:sz w:val="16"/>
    </w:rPr>
  </w:style>
  <w:style w:type="character" w:customStyle="1" w:styleId="TableNotesChar0">
    <w:name w:val="TableNotes Char"/>
    <w:link w:val="TableNotes0"/>
    <w:rsid w:val="004137CE"/>
    <w:rPr>
      <w:rFonts w:ascii="Arial Narrow" w:eastAsia="Times New Roman" w:hAnsi="Arial Narrow" w:cs="Tahoma"/>
      <w:sz w:val="16"/>
      <w:lang w:eastAsia="en-AU"/>
    </w:rPr>
  </w:style>
  <w:style w:type="paragraph" w:styleId="Title">
    <w:name w:val="Title"/>
    <w:basedOn w:val="Normal"/>
    <w:link w:val="TitleChar"/>
    <w:qFormat/>
    <w:rsid w:val="004137CE"/>
    <w:pPr>
      <w:spacing w:line="312" w:lineRule="auto"/>
      <w:jc w:val="center"/>
    </w:pPr>
    <w:rPr>
      <w:rFonts w:ascii="Arial" w:hAnsi="Arial" w:cs="Tahoma"/>
      <w:b/>
      <w:smallCaps/>
      <w:sz w:val="44"/>
      <w:szCs w:val="22"/>
    </w:rPr>
  </w:style>
  <w:style w:type="character" w:customStyle="1" w:styleId="TitleChar">
    <w:name w:val="Title Char"/>
    <w:basedOn w:val="DefaultParagraphFont"/>
    <w:link w:val="Title"/>
    <w:rsid w:val="004137CE"/>
    <w:rPr>
      <w:rFonts w:ascii="Arial" w:eastAsia="Times New Roman" w:hAnsi="Arial" w:cs="Tahoma"/>
      <w:b/>
      <w:smallCaps/>
      <w:sz w:val="44"/>
      <w:lang w:eastAsia="en-AU"/>
    </w:rPr>
  </w:style>
  <w:style w:type="paragraph" w:styleId="TOC1">
    <w:name w:val="toc 1"/>
    <w:basedOn w:val="Normal"/>
    <w:next w:val="Normal"/>
    <w:autoRedefine/>
    <w:uiPriority w:val="39"/>
    <w:qFormat/>
    <w:rsid w:val="004137CE"/>
    <w:pPr>
      <w:tabs>
        <w:tab w:val="left" w:pos="1276"/>
        <w:tab w:val="right" w:leader="dot" w:pos="9017"/>
      </w:tabs>
      <w:spacing w:before="120" w:after="60" w:line="312" w:lineRule="auto"/>
      <w:ind w:right="-46"/>
    </w:pPr>
    <w:rPr>
      <w:rFonts w:ascii="Calibri" w:hAnsi="Calibri" w:cs="Tahoma"/>
      <w:b/>
      <w:noProof/>
      <w:sz w:val="22"/>
      <w:szCs w:val="22"/>
    </w:rPr>
  </w:style>
  <w:style w:type="paragraph" w:styleId="TOC2">
    <w:name w:val="toc 2"/>
    <w:basedOn w:val="Normal"/>
    <w:next w:val="Normal"/>
    <w:autoRedefine/>
    <w:uiPriority w:val="39"/>
    <w:qFormat/>
    <w:rsid w:val="004137CE"/>
    <w:pPr>
      <w:tabs>
        <w:tab w:val="right" w:leader="dot" w:pos="9017"/>
      </w:tabs>
      <w:spacing w:after="60" w:line="312" w:lineRule="auto"/>
      <w:ind w:left="851" w:right="720"/>
    </w:pPr>
    <w:rPr>
      <w:rFonts w:ascii="Calibri" w:hAnsi="Calibri" w:cs="Tahoma"/>
      <w:noProof/>
      <w:sz w:val="22"/>
      <w:szCs w:val="22"/>
    </w:rPr>
  </w:style>
  <w:style w:type="paragraph" w:styleId="TOC3">
    <w:name w:val="toc 3"/>
    <w:basedOn w:val="Normal"/>
    <w:next w:val="Normal"/>
    <w:autoRedefine/>
    <w:uiPriority w:val="39"/>
    <w:qFormat/>
    <w:rsid w:val="004137CE"/>
    <w:pPr>
      <w:tabs>
        <w:tab w:val="right" w:leader="dot" w:pos="9016"/>
      </w:tabs>
      <w:spacing w:line="312" w:lineRule="auto"/>
      <w:ind w:left="1418"/>
    </w:pPr>
    <w:rPr>
      <w:rFonts w:ascii="Calibri" w:hAnsi="Calibri" w:cs="Tahoma"/>
      <w:noProof/>
      <w:sz w:val="22"/>
      <w:szCs w:val="22"/>
    </w:rPr>
  </w:style>
  <w:style w:type="paragraph" w:styleId="TOC4">
    <w:name w:val="toc 4"/>
    <w:basedOn w:val="Normal"/>
    <w:next w:val="Normal"/>
    <w:autoRedefine/>
    <w:uiPriority w:val="39"/>
    <w:rsid w:val="004137CE"/>
    <w:pPr>
      <w:spacing w:line="312" w:lineRule="auto"/>
      <w:ind w:left="660"/>
    </w:pPr>
    <w:rPr>
      <w:rFonts w:ascii="Calibri" w:hAnsi="Calibri" w:cs="Tahoma"/>
      <w:sz w:val="22"/>
      <w:szCs w:val="22"/>
    </w:rPr>
  </w:style>
  <w:style w:type="paragraph" w:styleId="TOC5">
    <w:name w:val="toc 5"/>
    <w:basedOn w:val="Normal"/>
    <w:next w:val="Normal"/>
    <w:autoRedefine/>
    <w:uiPriority w:val="39"/>
    <w:rsid w:val="004137CE"/>
    <w:pPr>
      <w:spacing w:line="312" w:lineRule="auto"/>
      <w:ind w:left="880"/>
    </w:pPr>
    <w:rPr>
      <w:rFonts w:ascii="Calibri" w:hAnsi="Calibri" w:cs="Tahoma"/>
      <w:sz w:val="22"/>
      <w:szCs w:val="22"/>
    </w:rPr>
  </w:style>
  <w:style w:type="paragraph" w:styleId="TOC6">
    <w:name w:val="toc 6"/>
    <w:basedOn w:val="Normal"/>
    <w:next w:val="Normal"/>
    <w:autoRedefine/>
    <w:uiPriority w:val="39"/>
    <w:rsid w:val="004137CE"/>
    <w:pPr>
      <w:spacing w:line="312" w:lineRule="auto"/>
      <w:ind w:left="1100"/>
    </w:pPr>
    <w:rPr>
      <w:rFonts w:ascii="Calibri" w:hAnsi="Calibri" w:cs="Tahoma"/>
      <w:sz w:val="22"/>
      <w:szCs w:val="22"/>
    </w:rPr>
  </w:style>
  <w:style w:type="paragraph" w:styleId="TOC7">
    <w:name w:val="toc 7"/>
    <w:basedOn w:val="Normal"/>
    <w:next w:val="Normal"/>
    <w:autoRedefine/>
    <w:uiPriority w:val="39"/>
    <w:rsid w:val="004137CE"/>
    <w:pPr>
      <w:spacing w:line="312" w:lineRule="auto"/>
      <w:ind w:left="1320"/>
    </w:pPr>
    <w:rPr>
      <w:rFonts w:ascii="Calibri" w:hAnsi="Calibri" w:cs="Tahoma"/>
      <w:sz w:val="22"/>
      <w:szCs w:val="22"/>
    </w:rPr>
  </w:style>
  <w:style w:type="paragraph" w:styleId="TOC8">
    <w:name w:val="toc 8"/>
    <w:basedOn w:val="Normal"/>
    <w:next w:val="Normal"/>
    <w:autoRedefine/>
    <w:uiPriority w:val="39"/>
    <w:rsid w:val="004137CE"/>
    <w:pPr>
      <w:spacing w:line="312" w:lineRule="auto"/>
      <w:ind w:left="1540"/>
    </w:pPr>
    <w:rPr>
      <w:rFonts w:ascii="Calibri" w:hAnsi="Calibri" w:cs="Tahoma"/>
      <w:sz w:val="22"/>
      <w:szCs w:val="22"/>
    </w:rPr>
  </w:style>
  <w:style w:type="paragraph" w:styleId="TOC9">
    <w:name w:val="toc 9"/>
    <w:basedOn w:val="Normal"/>
    <w:next w:val="Normal"/>
    <w:autoRedefine/>
    <w:uiPriority w:val="39"/>
    <w:rsid w:val="004137CE"/>
    <w:pPr>
      <w:spacing w:line="312" w:lineRule="auto"/>
      <w:ind w:left="1760"/>
    </w:pPr>
    <w:rPr>
      <w:rFonts w:ascii="Calibri" w:hAnsi="Calibri" w:cs="Tahoma"/>
      <w:sz w:val="144"/>
      <w:szCs w:val="144"/>
    </w:rPr>
  </w:style>
  <w:style w:type="paragraph" w:customStyle="1" w:styleId="Dash">
    <w:name w:val="Dash"/>
    <w:basedOn w:val="Normal"/>
    <w:rsid w:val="004137CE"/>
    <w:pPr>
      <w:numPr>
        <w:numId w:val="8"/>
      </w:numPr>
      <w:spacing w:line="312" w:lineRule="auto"/>
    </w:pPr>
    <w:rPr>
      <w:rFonts w:ascii="Calibri" w:hAnsi="Calibri" w:cs="Tahoma"/>
      <w:sz w:val="22"/>
      <w:szCs w:val="22"/>
    </w:rPr>
  </w:style>
  <w:style w:type="paragraph" w:customStyle="1" w:styleId="ColorfulGrid-Accent11">
    <w:name w:val="Colorful Grid - Accent 11"/>
    <w:basedOn w:val="Normal"/>
    <w:rsid w:val="004137CE"/>
    <w:pPr>
      <w:keepLines/>
      <w:spacing w:line="312" w:lineRule="auto"/>
      <w:ind w:left="1440" w:right="720"/>
    </w:pPr>
    <w:rPr>
      <w:rFonts w:ascii="Calibri" w:hAnsi="Calibri" w:cs="Tahoma"/>
      <w:sz w:val="22"/>
      <w:szCs w:val="22"/>
    </w:rPr>
  </w:style>
  <w:style w:type="paragraph" w:styleId="BodyText">
    <w:name w:val="Body Text"/>
    <w:basedOn w:val="Normal"/>
    <w:link w:val="BodyTextChar"/>
    <w:rsid w:val="004137CE"/>
    <w:pPr>
      <w:spacing w:line="312" w:lineRule="auto"/>
    </w:pPr>
    <w:rPr>
      <w:rFonts w:ascii="Helv" w:hAnsi="Helv" w:cs="Tahoma"/>
      <w:b/>
      <w:i/>
      <w:snapToGrid w:val="0"/>
      <w:color w:val="000000"/>
      <w:sz w:val="28"/>
      <w:szCs w:val="22"/>
      <w:lang w:eastAsia="en-US"/>
    </w:rPr>
  </w:style>
  <w:style w:type="character" w:customStyle="1" w:styleId="BodyTextChar">
    <w:name w:val="Body Text Char"/>
    <w:basedOn w:val="DefaultParagraphFont"/>
    <w:link w:val="BodyText"/>
    <w:rsid w:val="004137CE"/>
    <w:rPr>
      <w:rFonts w:ascii="Helv" w:eastAsia="Times New Roman" w:hAnsi="Helv" w:cs="Tahoma"/>
      <w:b/>
      <w:i/>
      <w:snapToGrid w:val="0"/>
      <w:color w:val="000000"/>
      <w:sz w:val="28"/>
    </w:rPr>
  </w:style>
  <w:style w:type="paragraph" w:customStyle="1" w:styleId="TableHeading0">
    <w:name w:val="Table Heading"/>
    <w:basedOn w:val="Normal"/>
    <w:next w:val="Normal"/>
    <w:rsid w:val="004137CE"/>
    <w:pPr>
      <w:keepNext/>
      <w:spacing w:before="40" w:after="40" w:line="312" w:lineRule="auto"/>
    </w:pPr>
    <w:rPr>
      <w:rFonts w:ascii="Arial" w:hAnsi="Arial" w:cs="Tahoma"/>
      <w:b/>
      <w:sz w:val="18"/>
      <w:szCs w:val="22"/>
      <w:lang w:val="en-GB" w:eastAsia="en-US"/>
    </w:rPr>
  </w:style>
  <w:style w:type="table" w:customStyle="1" w:styleId="TableGridbeth3">
    <w:name w:val="Table Gridbeth3"/>
    <w:basedOn w:val="TableNormal"/>
    <w:next w:val="TableGrid"/>
    <w:uiPriority w:val="39"/>
    <w:rsid w:val="004137CE"/>
    <w:pPr>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1"/>
    <w:rsid w:val="004137CE"/>
    <w:pPr>
      <w:keepNext/>
      <w:spacing w:before="40" w:after="40"/>
    </w:pPr>
    <w:rPr>
      <w:rFonts w:ascii="Arial Narrow" w:hAnsi="Arial Narrow" w:cs="Tahoma"/>
      <w:sz w:val="20"/>
      <w:szCs w:val="22"/>
      <w:lang w:eastAsia="en-US"/>
    </w:rPr>
  </w:style>
  <w:style w:type="character" w:customStyle="1" w:styleId="TableTextChar1">
    <w:name w:val="Table Text Char"/>
    <w:link w:val="TableText1"/>
    <w:rsid w:val="004137CE"/>
    <w:rPr>
      <w:rFonts w:ascii="Arial Narrow" w:eastAsia="Times New Roman" w:hAnsi="Arial Narrow" w:cs="Tahoma"/>
      <w:sz w:val="20"/>
    </w:rPr>
  </w:style>
  <w:style w:type="paragraph" w:customStyle="1" w:styleId="Boxname">
    <w:name w:val="Box name"/>
    <w:basedOn w:val="TableName"/>
    <w:link w:val="BoxnameChar"/>
    <w:rsid w:val="004137CE"/>
  </w:style>
  <w:style w:type="character" w:customStyle="1" w:styleId="BoxnameChar">
    <w:name w:val="Box name Char"/>
    <w:link w:val="Boxname"/>
    <w:rsid w:val="004137CE"/>
    <w:rPr>
      <w:rFonts w:ascii="Arial Narrow" w:eastAsia="Times New Roman" w:hAnsi="Arial Narrow" w:cs="Tahoma"/>
      <w:b/>
      <w:sz w:val="20"/>
      <w:lang w:eastAsia="en-AU"/>
    </w:rPr>
  </w:style>
  <w:style w:type="paragraph" w:customStyle="1" w:styleId="StyleTableTextArialNarrowFirstline045cm">
    <w:name w:val="Style Table Text + Arial Narrow First line:  0.45 cm"/>
    <w:basedOn w:val="TableText1"/>
    <w:rsid w:val="004137CE"/>
    <w:pPr>
      <w:spacing w:after="360"/>
      <w:ind w:firstLine="720"/>
    </w:pPr>
  </w:style>
  <w:style w:type="paragraph" w:customStyle="1" w:styleId="TableNamea">
    <w:name w:val="Table Name(a)"/>
    <w:basedOn w:val="Normal"/>
    <w:rsid w:val="004137CE"/>
    <w:pPr>
      <w:keepNext/>
      <w:spacing w:before="120" w:after="120" w:line="312" w:lineRule="auto"/>
      <w:ind w:left="1077" w:hanging="1077"/>
    </w:pPr>
    <w:rPr>
      <w:rFonts w:ascii="Arial" w:hAnsi="Arial" w:cs="Tahoma"/>
      <w:b/>
      <w:sz w:val="20"/>
      <w:szCs w:val="22"/>
      <w:lang w:eastAsia="en-US"/>
    </w:rPr>
  </w:style>
  <w:style w:type="paragraph" w:styleId="DocumentMap">
    <w:name w:val="Document Map"/>
    <w:basedOn w:val="Normal"/>
    <w:link w:val="DocumentMapChar"/>
    <w:rsid w:val="004137CE"/>
    <w:pPr>
      <w:spacing w:line="312" w:lineRule="auto"/>
    </w:pPr>
    <w:rPr>
      <w:rFonts w:ascii="Calibri" w:hAnsi="Calibri" w:cs="Tahoma"/>
      <w:sz w:val="16"/>
      <w:szCs w:val="16"/>
    </w:rPr>
  </w:style>
  <w:style w:type="character" w:customStyle="1" w:styleId="DocumentMapChar">
    <w:name w:val="Document Map Char"/>
    <w:basedOn w:val="DefaultParagraphFont"/>
    <w:link w:val="DocumentMap"/>
    <w:rsid w:val="004137CE"/>
    <w:rPr>
      <w:rFonts w:ascii="Calibri" w:eastAsia="Times New Roman" w:hAnsi="Calibri" w:cs="Tahoma"/>
      <w:sz w:val="16"/>
      <w:szCs w:val="16"/>
      <w:lang w:eastAsia="en-AU"/>
    </w:rPr>
  </w:style>
  <w:style w:type="paragraph" w:customStyle="1" w:styleId="ColorfulList-Accent11">
    <w:name w:val="Colorful List - Accent 11"/>
    <w:basedOn w:val="Normal"/>
    <w:link w:val="ColorfulList-Accent1Char"/>
    <w:uiPriority w:val="34"/>
    <w:qFormat/>
    <w:rsid w:val="004137CE"/>
    <w:pPr>
      <w:spacing w:line="312" w:lineRule="auto"/>
      <w:contextualSpacing/>
    </w:pPr>
    <w:rPr>
      <w:rFonts w:ascii="Calibri" w:hAnsi="Calibri" w:cs="Tahoma"/>
      <w:sz w:val="22"/>
      <w:szCs w:val="22"/>
    </w:rPr>
  </w:style>
  <w:style w:type="paragraph" w:customStyle="1" w:styleId="figureheading">
    <w:name w:val="figure heading"/>
    <w:basedOn w:val="Normal"/>
    <w:rsid w:val="004137CE"/>
    <w:pPr>
      <w:keepNext/>
      <w:spacing w:before="120" w:after="120" w:line="312" w:lineRule="auto"/>
      <w:ind w:left="1077" w:hanging="1077"/>
    </w:pPr>
    <w:rPr>
      <w:rFonts w:ascii="Arial" w:hAnsi="Arial" w:cs="Tahoma"/>
      <w:b/>
      <w:sz w:val="20"/>
      <w:szCs w:val="22"/>
      <w:lang w:eastAsia="en-US"/>
    </w:rPr>
  </w:style>
  <w:style w:type="paragraph" w:customStyle="1" w:styleId="Nnumberedlist">
    <w:name w:val="Nnumbered list"/>
    <w:basedOn w:val="Normal"/>
    <w:rsid w:val="004137CE"/>
    <w:pPr>
      <w:numPr>
        <w:numId w:val="9"/>
      </w:numPr>
      <w:spacing w:line="312" w:lineRule="auto"/>
    </w:pPr>
    <w:rPr>
      <w:rFonts w:ascii="Calibri" w:hAnsi="Calibri" w:cs="Tahoma"/>
      <w:sz w:val="22"/>
      <w:szCs w:val="22"/>
    </w:rPr>
  </w:style>
  <w:style w:type="paragraph" w:customStyle="1" w:styleId="Figure">
    <w:name w:val="Figure"/>
    <w:basedOn w:val="TableName"/>
    <w:rsid w:val="004137CE"/>
    <w:pPr>
      <w:spacing w:before="120" w:after="120"/>
      <w:ind w:left="1800" w:hanging="1080"/>
    </w:pPr>
  </w:style>
  <w:style w:type="paragraph" w:styleId="NormalWeb">
    <w:name w:val="Normal (Web)"/>
    <w:basedOn w:val="Normal"/>
    <w:uiPriority w:val="99"/>
    <w:rsid w:val="004137CE"/>
    <w:pPr>
      <w:spacing w:before="100" w:beforeAutospacing="1" w:after="100" w:afterAutospacing="1" w:line="312" w:lineRule="auto"/>
    </w:pPr>
    <w:rPr>
      <w:rFonts w:cs="Tahoma"/>
      <w:color w:val="000000"/>
      <w:sz w:val="22"/>
      <w:szCs w:val="24"/>
      <w:lang w:val="en-US" w:eastAsia="en-US"/>
    </w:rPr>
  </w:style>
  <w:style w:type="paragraph" w:customStyle="1" w:styleId="Equation">
    <w:name w:val="Equation"/>
    <w:basedOn w:val="Header"/>
    <w:rsid w:val="004137CE"/>
    <w:pPr>
      <w:tabs>
        <w:tab w:val="clear" w:pos="4513"/>
        <w:tab w:val="clear" w:pos="9026"/>
      </w:tabs>
      <w:spacing w:line="312" w:lineRule="auto"/>
    </w:pPr>
    <w:rPr>
      <w:rFonts w:ascii="Arial Narrow" w:hAnsi="Arial Narrow" w:cs="Tahoma"/>
      <w:sz w:val="20"/>
      <w:szCs w:val="22"/>
    </w:rPr>
  </w:style>
  <w:style w:type="paragraph" w:customStyle="1" w:styleId="AHTAaddresslines">
    <w:name w:val="AHTA address lines"/>
    <w:basedOn w:val="PlainText"/>
    <w:rsid w:val="004137CE"/>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4137CE"/>
    <w:pPr>
      <w:spacing w:line="312" w:lineRule="auto"/>
    </w:pPr>
    <w:rPr>
      <w:rFonts w:ascii="Courier New" w:hAnsi="Courier New" w:cs="Courier New"/>
      <w:sz w:val="20"/>
      <w:szCs w:val="22"/>
      <w:lang w:eastAsia="en-US"/>
    </w:rPr>
  </w:style>
  <w:style w:type="character" w:customStyle="1" w:styleId="PlainTextChar">
    <w:name w:val="Plain Text Char"/>
    <w:basedOn w:val="DefaultParagraphFont"/>
    <w:link w:val="PlainText"/>
    <w:rsid w:val="004137CE"/>
    <w:rPr>
      <w:rFonts w:ascii="Courier New" w:eastAsia="Times New Roman" w:hAnsi="Courier New" w:cs="Courier New"/>
      <w:sz w:val="20"/>
    </w:rPr>
  </w:style>
  <w:style w:type="character" w:styleId="Strong">
    <w:name w:val="Strong"/>
    <w:uiPriority w:val="22"/>
    <w:qFormat/>
    <w:rsid w:val="004137CE"/>
    <w:rPr>
      <w:b/>
      <w:bCs/>
    </w:rPr>
  </w:style>
  <w:style w:type="character" w:customStyle="1" w:styleId="regulartext">
    <w:name w:val="regulartext"/>
    <w:basedOn w:val="DefaultParagraphFont"/>
    <w:rsid w:val="004137CE"/>
  </w:style>
  <w:style w:type="paragraph" w:customStyle="1" w:styleId="bodytext0">
    <w:name w:val="bodytext"/>
    <w:basedOn w:val="Normal"/>
    <w:rsid w:val="004137CE"/>
    <w:pPr>
      <w:spacing w:before="100" w:beforeAutospacing="1" w:after="100" w:afterAutospacing="1" w:line="312" w:lineRule="auto"/>
    </w:pPr>
    <w:rPr>
      <w:rFonts w:cs="Tahoma"/>
      <w:sz w:val="22"/>
      <w:szCs w:val="24"/>
    </w:rPr>
  </w:style>
  <w:style w:type="character" w:customStyle="1" w:styleId="mainsubheader1">
    <w:name w:val="mainsubheader1"/>
    <w:rsid w:val="004137CE"/>
    <w:rPr>
      <w:b/>
      <w:bCs/>
    </w:rPr>
  </w:style>
  <w:style w:type="paragraph" w:customStyle="1" w:styleId="Bullet12">
    <w:name w:val="Bullet+12"/>
    <w:basedOn w:val="Normal"/>
    <w:rsid w:val="004137CE"/>
    <w:pPr>
      <w:tabs>
        <w:tab w:val="num" w:pos="357"/>
      </w:tabs>
      <w:spacing w:line="312" w:lineRule="auto"/>
      <w:ind w:left="357" w:hanging="357"/>
    </w:pPr>
    <w:rPr>
      <w:rFonts w:cs="Tahoma"/>
      <w:sz w:val="22"/>
      <w:szCs w:val="22"/>
      <w:lang w:eastAsia="en-US"/>
    </w:rPr>
  </w:style>
  <w:style w:type="paragraph" w:customStyle="1" w:styleId="Bullet6">
    <w:name w:val="Bullet+6"/>
    <w:basedOn w:val="Normal"/>
    <w:rsid w:val="004137CE"/>
    <w:pPr>
      <w:tabs>
        <w:tab w:val="num" w:pos="578"/>
      </w:tabs>
      <w:spacing w:line="312" w:lineRule="auto"/>
      <w:ind w:left="578" w:hanging="360"/>
    </w:pPr>
    <w:rPr>
      <w:rFonts w:cs="Tahoma"/>
      <w:sz w:val="22"/>
      <w:szCs w:val="24"/>
    </w:rPr>
  </w:style>
  <w:style w:type="paragraph" w:customStyle="1" w:styleId="Default">
    <w:name w:val="Default"/>
    <w:rsid w:val="004137CE"/>
    <w:pPr>
      <w:autoSpaceDE w:val="0"/>
      <w:autoSpaceDN w:val="0"/>
      <w:adjustRightInd w:val="0"/>
      <w:spacing w:after="0"/>
    </w:pPr>
    <w:rPr>
      <w:rFonts w:ascii="Arial Narrow" w:eastAsia="Times New Roman" w:hAnsi="Arial Narrow" w:cs="Arial Narrow"/>
      <w:color w:val="000000"/>
      <w:szCs w:val="24"/>
      <w:lang w:eastAsia="en-AU"/>
    </w:rPr>
  </w:style>
  <w:style w:type="paragraph" w:customStyle="1" w:styleId="ColorfulShading-Accent11">
    <w:name w:val="Colorful Shading - Accent 11"/>
    <w:hidden/>
    <w:uiPriority w:val="99"/>
    <w:semiHidden/>
    <w:rsid w:val="004137CE"/>
    <w:pPr>
      <w:spacing w:after="0"/>
    </w:pPr>
    <w:rPr>
      <w:rFonts w:ascii="Tahoma" w:eastAsia="Times New Roman" w:hAnsi="Tahoma" w:cs="Tahoma"/>
      <w:sz w:val="22"/>
      <w:lang w:eastAsia="en-AU"/>
    </w:rPr>
  </w:style>
  <w:style w:type="table" w:styleId="TableClassic1">
    <w:name w:val="Table Classic 1"/>
    <w:basedOn w:val="TableNormal"/>
    <w:rsid w:val="004137CE"/>
    <w:pPr>
      <w:spacing w:line="312" w:lineRule="auto"/>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1">
    <w:name w:val="Style1"/>
    <w:basedOn w:val="Normal"/>
    <w:rsid w:val="004137CE"/>
    <w:pPr>
      <w:tabs>
        <w:tab w:val="left" w:pos="720"/>
      </w:tabs>
    </w:pPr>
    <w:rPr>
      <w:rFonts w:ascii="Bookman Old Style" w:hAnsi="Bookman Old Style"/>
      <w:sz w:val="20"/>
      <w:lang w:val="en-US" w:eastAsia="en-US"/>
    </w:rPr>
  </w:style>
  <w:style w:type="character" w:customStyle="1" w:styleId="st1">
    <w:name w:val="st1"/>
    <w:basedOn w:val="DefaultParagraphFont"/>
    <w:rsid w:val="004137CE"/>
  </w:style>
  <w:style w:type="table" w:customStyle="1" w:styleId="TableGrid11">
    <w:name w:val="Table Grid11"/>
    <w:basedOn w:val="TableNormal"/>
    <w:next w:val="TableGrid"/>
    <w:rsid w:val="004137CE"/>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b w:val="0"/>
        <w:sz w:val="20"/>
      </w:rPr>
    </w:tblStylePr>
  </w:style>
  <w:style w:type="table" w:customStyle="1" w:styleId="TableGrid21">
    <w:name w:val="Table Grid21"/>
    <w:basedOn w:val="TableNormal"/>
    <w:next w:val="TableGrid"/>
    <w:rsid w:val="004137CE"/>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b w:val="0"/>
        <w:sz w:val="20"/>
      </w:rPr>
    </w:tblStylePr>
  </w:style>
  <w:style w:type="paragraph" w:customStyle="1" w:styleId="desc">
    <w:name w:val="desc"/>
    <w:basedOn w:val="Normal"/>
    <w:rsid w:val="004137CE"/>
    <w:pPr>
      <w:spacing w:before="100" w:beforeAutospacing="1" w:after="100" w:afterAutospacing="1"/>
    </w:pPr>
    <w:rPr>
      <w:sz w:val="22"/>
      <w:szCs w:val="24"/>
    </w:rPr>
  </w:style>
  <w:style w:type="paragraph" w:customStyle="1" w:styleId="details">
    <w:name w:val="details"/>
    <w:basedOn w:val="Normal"/>
    <w:rsid w:val="004137CE"/>
    <w:pPr>
      <w:spacing w:before="100" w:beforeAutospacing="1" w:after="100" w:afterAutospacing="1"/>
    </w:pPr>
    <w:rPr>
      <w:sz w:val="22"/>
      <w:szCs w:val="24"/>
    </w:rPr>
  </w:style>
  <w:style w:type="character" w:customStyle="1" w:styleId="jrnl">
    <w:name w:val="jrnl"/>
    <w:basedOn w:val="DefaultParagraphFont"/>
    <w:rsid w:val="004137CE"/>
  </w:style>
  <w:style w:type="character" w:customStyle="1" w:styleId="A5">
    <w:name w:val="A5"/>
    <w:uiPriority w:val="99"/>
    <w:rsid w:val="004137CE"/>
    <w:rPr>
      <w:rFonts w:cs="Humanist 77 7 BT"/>
      <w:color w:val="000000"/>
      <w:sz w:val="11"/>
      <w:szCs w:val="11"/>
    </w:rPr>
  </w:style>
  <w:style w:type="paragraph" w:customStyle="1" w:styleId="GridTable31">
    <w:name w:val="Grid Table 31"/>
    <w:basedOn w:val="Heading1"/>
    <w:next w:val="Normal"/>
    <w:uiPriority w:val="39"/>
    <w:unhideWhenUsed/>
    <w:qFormat/>
    <w:rsid w:val="004137CE"/>
    <w:pPr>
      <w:numPr>
        <w:numId w:val="0"/>
      </w:numPr>
      <w:spacing w:before="480" w:line="276" w:lineRule="auto"/>
      <w:outlineLvl w:val="9"/>
    </w:pPr>
    <w:rPr>
      <w:rFonts w:ascii="Cambria" w:eastAsia="MS Gothic" w:hAnsi="Cambria" w:cs="Times New Roman"/>
      <w:smallCaps/>
      <w:color w:val="365F91"/>
      <w:sz w:val="28"/>
      <w:lang w:val="en-US" w:eastAsia="en-US"/>
    </w:rPr>
  </w:style>
  <w:style w:type="character" w:customStyle="1" w:styleId="highlight">
    <w:name w:val="highlight"/>
    <w:basedOn w:val="DefaultParagraphFont"/>
    <w:rsid w:val="004137CE"/>
  </w:style>
  <w:style w:type="paragraph" w:customStyle="1" w:styleId="ESSectionHeading-numbered0">
    <w:name w:val="ES. Section Heading - numbered"/>
    <w:basedOn w:val="Heading3"/>
    <w:link w:val="ESSectionHeading-numberedChar"/>
    <w:rsid w:val="004137CE"/>
    <w:pPr>
      <w:keepLines w:val="0"/>
      <w:numPr>
        <w:numId w:val="12"/>
      </w:numPr>
      <w:spacing w:before="240" w:after="120" w:line="312" w:lineRule="auto"/>
    </w:pPr>
    <w:rPr>
      <w:rFonts w:ascii="Calibri" w:eastAsia="Times New Roman" w:hAnsi="Calibri" w:cs="Tahoma"/>
      <w:b/>
      <w:smallCaps/>
      <w:u w:val="none"/>
    </w:rPr>
  </w:style>
  <w:style w:type="paragraph" w:customStyle="1" w:styleId="MainBodySectionHeading-numbered">
    <w:name w:val="Main Body Section Heading - numbered"/>
    <w:basedOn w:val="Heading2"/>
    <w:link w:val="MainBodySectionHeading-numberedChar"/>
    <w:rsid w:val="004137CE"/>
    <w:pPr>
      <w:keepLines w:val="0"/>
      <w:numPr>
        <w:numId w:val="10"/>
      </w:numPr>
      <w:spacing w:line="312" w:lineRule="auto"/>
      <w:ind w:left="567" w:hanging="567"/>
    </w:pPr>
    <w:rPr>
      <w:rFonts w:ascii="Calibri" w:eastAsia="Times New Roman" w:hAnsi="Calibri" w:cs="Tahoma"/>
      <w:b/>
      <w:bCs w:val="0"/>
      <w:i w:val="0"/>
      <w:smallCaps/>
      <w:szCs w:val="22"/>
    </w:rPr>
  </w:style>
  <w:style w:type="character" w:customStyle="1" w:styleId="ESSectionHeading-numberedChar">
    <w:name w:val="ES. Section Heading - numbered Char"/>
    <w:link w:val="ESSectionHeading-numbered0"/>
    <w:rsid w:val="004137CE"/>
    <w:rPr>
      <w:rFonts w:ascii="Calibri" w:eastAsia="Times New Roman" w:hAnsi="Calibri" w:cs="Tahoma"/>
      <w:b/>
      <w:smallCaps/>
      <w:szCs w:val="24"/>
      <w:lang w:eastAsia="en-AU"/>
    </w:rPr>
  </w:style>
  <w:style w:type="character" w:customStyle="1" w:styleId="MainBodySectionHeading-numberedChar">
    <w:name w:val="Main Body Section Heading - numbered Char"/>
    <w:link w:val="MainBodySectionHeading-numbered"/>
    <w:rsid w:val="004137CE"/>
    <w:rPr>
      <w:rFonts w:ascii="Calibri" w:eastAsia="Times New Roman" w:hAnsi="Calibri" w:cs="Tahoma"/>
      <w:b/>
      <w:smallCaps/>
      <w:lang w:eastAsia="en-AU"/>
    </w:rPr>
  </w:style>
  <w:style w:type="numbering" w:customStyle="1" w:styleId="ESSectionheading-numbered">
    <w:name w:val="ES. Section heading - numbered"/>
    <w:uiPriority w:val="99"/>
    <w:rsid w:val="004137CE"/>
    <w:pPr>
      <w:numPr>
        <w:numId w:val="11"/>
      </w:numPr>
    </w:pPr>
  </w:style>
  <w:style w:type="paragraph" w:customStyle="1" w:styleId="ESNumberedSectionHeading">
    <w:name w:val="ES Numbered Section Heading"/>
    <w:basedOn w:val="ESSectionHeading-numbered0"/>
    <w:link w:val="ESNumberedSectionHeadingChar"/>
    <w:qFormat/>
    <w:rsid w:val="004137CE"/>
    <w:pPr>
      <w:numPr>
        <w:numId w:val="13"/>
      </w:numPr>
      <w:ind w:left="1134" w:hanging="1134"/>
    </w:pPr>
  </w:style>
  <w:style w:type="character" w:customStyle="1" w:styleId="ESNumberedSectionHeadingChar">
    <w:name w:val="ES Numbered Section Heading Char"/>
    <w:link w:val="ESNumberedSectionHeading"/>
    <w:rsid w:val="004137CE"/>
    <w:rPr>
      <w:rFonts w:ascii="Calibri" w:eastAsia="Times New Roman" w:hAnsi="Calibri" w:cs="Tahoma"/>
      <w:b/>
      <w:smallCaps/>
      <w:szCs w:val="24"/>
      <w:lang w:eastAsia="en-AU"/>
    </w:rPr>
  </w:style>
  <w:style w:type="paragraph" w:customStyle="1" w:styleId="TableNotes18">
    <w:name w:val="TableNotes+18"/>
    <w:basedOn w:val="TableText0"/>
    <w:uiPriority w:val="99"/>
    <w:rsid w:val="004137CE"/>
    <w:pPr>
      <w:keepNext w:val="0"/>
      <w:keepLines/>
      <w:spacing w:before="0" w:after="360" w:line="240" w:lineRule="auto"/>
      <w:ind w:left="720"/>
    </w:pPr>
    <w:rPr>
      <w:rFonts w:cs="Times New Roman"/>
      <w:color w:val="000000"/>
      <w:szCs w:val="21"/>
    </w:rPr>
  </w:style>
  <w:style w:type="paragraph" w:customStyle="1" w:styleId="TableNotes00">
    <w:name w:val="TableNotes+0"/>
    <w:basedOn w:val="TableNotes18"/>
    <w:uiPriority w:val="99"/>
    <w:rsid w:val="004137CE"/>
    <w:pPr>
      <w:keepNext/>
      <w:spacing w:after="0"/>
    </w:pPr>
  </w:style>
  <w:style w:type="paragraph" w:customStyle="1" w:styleId="TFAbbrevs0">
    <w:name w:val="TFAbbrevs+0"/>
    <w:basedOn w:val="Normal"/>
    <w:qFormat/>
    <w:rsid w:val="004137CE"/>
    <w:pPr>
      <w:keepNext/>
      <w:keepLines/>
    </w:pPr>
    <w:rPr>
      <w:rFonts w:ascii="Arial Narrow" w:hAnsi="Arial Narrow"/>
      <w:color w:val="000000"/>
      <w:sz w:val="18"/>
      <w:szCs w:val="18"/>
    </w:rPr>
  </w:style>
  <w:style w:type="paragraph" w:customStyle="1" w:styleId="TFAbbrevs18">
    <w:name w:val="TFAbbrevs+18"/>
    <w:basedOn w:val="TFAbbrevs0"/>
    <w:next w:val="Normal"/>
    <w:qFormat/>
    <w:rsid w:val="004137CE"/>
    <w:pPr>
      <w:spacing w:after="360"/>
    </w:pPr>
  </w:style>
  <w:style w:type="paragraph" w:customStyle="1" w:styleId="Comment">
    <w:name w:val="Comment"/>
    <w:basedOn w:val="Normal"/>
    <w:link w:val="CommentChar"/>
    <w:rsid w:val="004137CE"/>
    <w:pPr>
      <w:tabs>
        <w:tab w:val="num" w:pos="720"/>
      </w:tabs>
      <w:spacing w:line="312" w:lineRule="auto"/>
    </w:pPr>
    <w:rPr>
      <w:rFonts w:ascii="Calibri" w:hAnsi="Calibri" w:cs="Tahoma"/>
      <w:i/>
      <w:sz w:val="22"/>
      <w:szCs w:val="22"/>
    </w:rPr>
  </w:style>
  <w:style w:type="character" w:customStyle="1" w:styleId="CommentChar">
    <w:name w:val="Comment Char"/>
    <w:link w:val="Comment"/>
    <w:rsid w:val="004137CE"/>
    <w:rPr>
      <w:rFonts w:ascii="Calibri" w:eastAsia="Times New Roman" w:hAnsi="Calibri" w:cs="Tahoma"/>
      <w:i/>
      <w:sz w:val="22"/>
      <w:lang w:eastAsia="en-AU"/>
    </w:rPr>
  </w:style>
  <w:style w:type="paragraph" w:customStyle="1" w:styleId="hidden">
    <w:name w:val="hidden"/>
    <w:basedOn w:val="Normal"/>
    <w:qFormat/>
    <w:rsid w:val="004137CE"/>
    <w:pPr>
      <w:spacing w:line="312" w:lineRule="auto"/>
    </w:pPr>
    <w:rPr>
      <w:rFonts w:ascii="Calibri" w:hAnsi="Calibri" w:cs="Tahoma"/>
      <w:sz w:val="22"/>
      <w:szCs w:val="22"/>
    </w:rPr>
  </w:style>
  <w:style w:type="paragraph" w:customStyle="1" w:styleId="Guidelines">
    <w:name w:val="Guidelines"/>
    <w:basedOn w:val="Normal"/>
    <w:link w:val="GuidelinesChar"/>
    <w:qFormat/>
    <w:rsid w:val="004137CE"/>
    <w:pPr>
      <w:spacing w:line="312" w:lineRule="auto"/>
    </w:pPr>
    <w:rPr>
      <w:rFonts w:ascii="Calibri" w:hAnsi="Calibri" w:cs="Tahoma"/>
      <w:vanish/>
      <w:color w:val="C00000"/>
      <w:sz w:val="22"/>
      <w:szCs w:val="22"/>
    </w:rPr>
  </w:style>
  <w:style w:type="character" w:customStyle="1" w:styleId="GuidelinesChar">
    <w:name w:val="Guidelines Char"/>
    <w:link w:val="Guidelines"/>
    <w:rsid w:val="004137CE"/>
    <w:rPr>
      <w:rFonts w:ascii="Calibri" w:eastAsia="Times New Roman" w:hAnsi="Calibri" w:cs="Tahoma"/>
      <w:vanish/>
      <w:color w:val="C00000"/>
      <w:sz w:val="22"/>
      <w:lang w:eastAsia="en-AU"/>
    </w:rPr>
  </w:style>
  <w:style w:type="paragraph" w:customStyle="1" w:styleId="Tablenotes2">
    <w:name w:val="Table notes"/>
    <w:basedOn w:val="Normal"/>
    <w:link w:val="TablenotesChar1"/>
    <w:qFormat/>
    <w:rsid w:val="004137CE"/>
    <w:pPr>
      <w:spacing w:after="200"/>
      <w:ind w:left="57" w:right="57"/>
      <w:contextualSpacing/>
    </w:pPr>
    <w:rPr>
      <w:rFonts w:ascii="Arial Narrow" w:eastAsia="Calibri" w:hAnsi="Arial Narrow"/>
      <w:sz w:val="18"/>
      <w:szCs w:val="18"/>
      <w:lang w:eastAsia="en-US"/>
    </w:rPr>
  </w:style>
  <w:style w:type="character" w:customStyle="1" w:styleId="TablenotesChar1">
    <w:name w:val="Table notes Char"/>
    <w:link w:val="Tablenotes2"/>
    <w:rsid w:val="004137CE"/>
    <w:rPr>
      <w:rFonts w:ascii="Arial Narrow" w:eastAsia="Calibri" w:hAnsi="Arial Narrow" w:cs="Times New Roman"/>
      <w:sz w:val="18"/>
      <w:szCs w:val="18"/>
    </w:rPr>
  </w:style>
  <w:style w:type="character" w:customStyle="1" w:styleId="UnresolvedMention1">
    <w:name w:val="Unresolved Mention1"/>
    <w:uiPriority w:val="99"/>
    <w:semiHidden/>
    <w:unhideWhenUsed/>
    <w:rsid w:val="004137CE"/>
    <w:rPr>
      <w:color w:val="605E5C"/>
      <w:shd w:val="clear" w:color="auto" w:fill="E1DFDD"/>
    </w:rPr>
  </w:style>
  <w:style w:type="table" w:customStyle="1" w:styleId="PlainTable21">
    <w:name w:val="Plain Table 21"/>
    <w:basedOn w:val="TableNormal"/>
    <w:uiPriority w:val="42"/>
    <w:rsid w:val="004137CE"/>
    <w:pPr>
      <w:spacing w:after="0"/>
    </w:pPr>
    <w:rPr>
      <w:rFonts w:eastAsia="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1">
    <w:name w:val="Table Grid41"/>
    <w:basedOn w:val="TableNormal"/>
    <w:next w:val="TableGrid"/>
    <w:uiPriority w:val="39"/>
    <w:rsid w:val="004137CE"/>
    <w:pPr>
      <w:spacing w:after="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137CE"/>
    <w:pPr>
      <w:spacing w:line="312" w:lineRule="auto"/>
      <w:jc w:val="center"/>
    </w:pPr>
    <w:rPr>
      <w:rFonts w:ascii="Tahoma" w:hAnsi="Tahoma" w:cs="Tahoma"/>
      <w:noProof/>
      <w:sz w:val="22"/>
      <w:szCs w:val="22"/>
    </w:rPr>
  </w:style>
  <w:style w:type="character" w:customStyle="1" w:styleId="EndNoteBibliographyTitleChar">
    <w:name w:val="EndNote Bibliography Title Char"/>
    <w:link w:val="EndNoteBibliographyTitle"/>
    <w:rsid w:val="004137CE"/>
    <w:rPr>
      <w:rFonts w:ascii="Tahoma" w:eastAsia="Times New Roman" w:hAnsi="Tahoma" w:cs="Tahoma"/>
      <w:noProof/>
      <w:sz w:val="22"/>
      <w:lang w:eastAsia="en-AU"/>
    </w:rPr>
  </w:style>
  <w:style w:type="paragraph" w:customStyle="1" w:styleId="EndNoteBibliography">
    <w:name w:val="EndNote Bibliography"/>
    <w:basedOn w:val="Normal"/>
    <w:link w:val="EndNoteBibliographyChar"/>
    <w:rsid w:val="004137CE"/>
    <w:rPr>
      <w:rFonts w:ascii="Tahoma" w:hAnsi="Tahoma" w:cs="Tahoma"/>
      <w:noProof/>
      <w:sz w:val="22"/>
      <w:szCs w:val="22"/>
    </w:rPr>
  </w:style>
  <w:style w:type="character" w:customStyle="1" w:styleId="EndNoteBibliographyChar">
    <w:name w:val="EndNote Bibliography Char"/>
    <w:link w:val="EndNoteBibliography"/>
    <w:rsid w:val="004137CE"/>
    <w:rPr>
      <w:rFonts w:ascii="Tahoma" w:eastAsia="Times New Roman" w:hAnsi="Tahoma" w:cs="Tahoma"/>
      <w:noProof/>
      <w:sz w:val="22"/>
      <w:lang w:eastAsia="en-AU"/>
    </w:rPr>
  </w:style>
  <w:style w:type="table" w:customStyle="1" w:styleId="TableGrid31">
    <w:name w:val="Table Grid31"/>
    <w:basedOn w:val="TableNormal"/>
    <w:next w:val="TableGrid"/>
    <w:uiPriority w:val="39"/>
    <w:rsid w:val="004137CE"/>
    <w:pPr>
      <w:spacing w:after="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37CE"/>
    <w:pPr>
      <w:spacing w:after="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TD">
    <w:name w:val="Body Text STD"/>
    <w:basedOn w:val="Normal"/>
    <w:link w:val="BodyTextSTDChar"/>
    <w:qFormat/>
    <w:rsid w:val="004137CE"/>
    <w:pPr>
      <w:spacing w:line="312" w:lineRule="auto"/>
    </w:pPr>
    <w:rPr>
      <w:rFonts w:ascii="Calibri" w:hAnsi="Calibri" w:cs="Tahoma"/>
      <w:sz w:val="22"/>
      <w:szCs w:val="22"/>
    </w:rPr>
  </w:style>
  <w:style w:type="character" w:customStyle="1" w:styleId="BodyTextSTDChar">
    <w:name w:val="Body Text STD Char"/>
    <w:link w:val="BodyTextSTD"/>
    <w:rsid w:val="004137CE"/>
    <w:rPr>
      <w:rFonts w:ascii="Calibri" w:eastAsia="Times New Roman" w:hAnsi="Calibri" w:cs="Tahoma"/>
      <w:sz w:val="22"/>
      <w:lang w:eastAsia="en-AU"/>
    </w:rPr>
  </w:style>
  <w:style w:type="paragraph" w:customStyle="1" w:styleId="Tablecontents">
    <w:name w:val="Table contents"/>
    <w:basedOn w:val="Normal"/>
    <w:link w:val="TablecontentsChar"/>
    <w:qFormat/>
    <w:rsid w:val="004137CE"/>
    <w:pPr>
      <w:spacing w:before="60"/>
      <w:ind w:left="57" w:right="57"/>
      <w:contextualSpacing/>
    </w:pPr>
    <w:rPr>
      <w:rFonts w:ascii="Arial Narrow" w:eastAsia="Calibri" w:hAnsi="Arial Narrow"/>
      <w:sz w:val="20"/>
      <w:lang w:eastAsia="en-US"/>
    </w:rPr>
  </w:style>
  <w:style w:type="character" w:customStyle="1" w:styleId="TablecontentsChar">
    <w:name w:val="Table contents Char"/>
    <w:link w:val="Tablecontents"/>
    <w:rsid w:val="004137CE"/>
    <w:rPr>
      <w:rFonts w:ascii="Arial Narrow" w:eastAsia="Calibri" w:hAnsi="Arial Narrow" w:cs="Times New Roman"/>
      <w:sz w:val="20"/>
      <w:szCs w:val="20"/>
    </w:rPr>
  </w:style>
  <w:style w:type="paragraph" w:customStyle="1" w:styleId="TableFigNotes0">
    <w:name w:val="TableFigNotes+0"/>
    <w:basedOn w:val="Normal"/>
    <w:uiPriority w:val="4"/>
    <w:qFormat/>
    <w:rsid w:val="004137CE"/>
    <w:pPr>
      <w:keepNext/>
      <w:keepLines/>
    </w:pPr>
    <w:rPr>
      <w:rFonts w:ascii="Calibri" w:hAnsi="Calibri" w:cs="Tahoma"/>
      <w:color w:val="000000"/>
      <w:sz w:val="16"/>
      <w:szCs w:val="18"/>
      <w:lang w:val="en-US"/>
    </w:rPr>
  </w:style>
  <w:style w:type="table" w:customStyle="1" w:styleId="OPTUMTableNormal1">
    <w:name w:val="OPTUM Table Normal1"/>
    <w:basedOn w:val="TableNormal"/>
    <w:rsid w:val="004137CE"/>
    <w:pPr>
      <w:spacing w:before="40" w:after="20"/>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OPTUMTableNormal">
    <w:name w:val="OPTUM Table Normal"/>
    <w:basedOn w:val="TableNormal"/>
    <w:rsid w:val="004137CE"/>
    <w:pPr>
      <w:spacing w:before="40" w:after="20"/>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Heading5underline">
    <w:name w:val="Heading 5 underline"/>
    <w:basedOn w:val="BodyTextSTD"/>
    <w:link w:val="Heading5underlineChar"/>
    <w:qFormat/>
    <w:rsid w:val="004137CE"/>
    <w:pPr>
      <w:keepNext/>
    </w:pPr>
    <w:rPr>
      <w:u w:val="single"/>
    </w:rPr>
  </w:style>
  <w:style w:type="character" w:customStyle="1" w:styleId="Heading5underlineChar">
    <w:name w:val="Heading 5 underline Char"/>
    <w:link w:val="Heading5underline"/>
    <w:rsid w:val="004137CE"/>
    <w:rPr>
      <w:rFonts w:ascii="Calibri" w:eastAsia="Times New Roman" w:hAnsi="Calibri" w:cs="Tahoma"/>
      <w:sz w:val="22"/>
      <w:u w:val="single"/>
      <w:lang w:eastAsia="en-AU"/>
    </w:rPr>
  </w:style>
  <w:style w:type="paragraph" w:customStyle="1" w:styleId="Tableheader">
    <w:name w:val="Table header"/>
    <w:basedOn w:val="BodyText"/>
    <w:next w:val="BodyText"/>
    <w:uiPriority w:val="99"/>
    <w:qFormat/>
    <w:rsid w:val="004137CE"/>
    <w:pPr>
      <w:tabs>
        <w:tab w:val="left" w:pos="1134"/>
      </w:tabs>
      <w:spacing w:before="120" w:after="60" w:line="276" w:lineRule="auto"/>
    </w:pPr>
    <w:rPr>
      <w:rFonts w:ascii="Calibri" w:eastAsia="Calibri" w:hAnsi="Calibri" w:cs="Calibri"/>
      <w:bCs/>
      <w:i w:val="0"/>
      <w:snapToGrid/>
      <w:color w:val="auto"/>
      <w:sz w:val="20"/>
      <w:szCs w:val="20"/>
      <w:lang w:val="en-US"/>
    </w:rPr>
  </w:style>
  <w:style w:type="paragraph" w:customStyle="1" w:styleId="TableNotes3">
    <w:name w:val="Table Notes"/>
    <w:basedOn w:val="Tablenotes2"/>
    <w:next w:val="BodyText"/>
    <w:qFormat/>
    <w:rsid w:val="004137CE"/>
  </w:style>
  <w:style w:type="paragraph" w:customStyle="1" w:styleId="Tablenote">
    <w:name w:val="Table note"/>
    <w:basedOn w:val="TableNotes3"/>
    <w:link w:val="TablenoteChar"/>
    <w:qFormat/>
    <w:rsid w:val="004137CE"/>
  </w:style>
  <w:style w:type="character" w:customStyle="1" w:styleId="TablenoteChar">
    <w:name w:val="Table note Char"/>
    <w:link w:val="Tablenote"/>
    <w:rsid w:val="004137CE"/>
    <w:rPr>
      <w:rFonts w:ascii="Arial Narrow" w:eastAsia="Calibri" w:hAnsi="Arial Narrow" w:cs="Times New Roman"/>
      <w:sz w:val="18"/>
      <w:szCs w:val="18"/>
    </w:rPr>
  </w:style>
  <w:style w:type="paragraph" w:customStyle="1" w:styleId="TableH1">
    <w:name w:val="Table H1"/>
    <w:basedOn w:val="BodyText"/>
    <w:uiPriority w:val="4"/>
    <w:qFormat/>
    <w:rsid w:val="004137CE"/>
    <w:pPr>
      <w:keepNext/>
      <w:tabs>
        <w:tab w:val="left" w:pos="416"/>
        <w:tab w:val="left" w:pos="582"/>
        <w:tab w:val="left" w:pos="1134"/>
      </w:tabs>
      <w:spacing w:line="240" w:lineRule="auto"/>
    </w:pPr>
    <w:rPr>
      <w:rFonts w:ascii="Calibri" w:hAnsi="Calibri" w:cs="Times New Roman"/>
      <w:bCs/>
      <w:i w:val="0"/>
      <w:snapToGrid/>
      <w:color w:val="auto"/>
      <w:sz w:val="20"/>
      <w:szCs w:val="20"/>
      <w:lang w:val="en-US"/>
    </w:rPr>
  </w:style>
  <w:style w:type="paragraph" w:customStyle="1" w:styleId="Tablename0">
    <w:name w:val="Table name"/>
    <w:basedOn w:val="Normal"/>
    <w:uiPriority w:val="4"/>
    <w:qFormat/>
    <w:rsid w:val="004137CE"/>
    <w:pPr>
      <w:keepNext/>
      <w:tabs>
        <w:tab w:val="left" w:pos="1418"/>
      </w:tabs>
      <w:spacing w:before="120" w:after="120"/>
      <w:ind w:left="1418" w:hanging="1418"/>
    </w:pPr>
    <w:rPr>
      <w:rFonts w:ascii="Calibri" w:hAnsi="Calibri"/>
      <w:b/>
      <w:bCs/>
      <w:sz w:val="22"/>
      <w:lang w:eastAsia="en-US"/>
    </w:rPr>
  </w:style>
  <w:style w:type="paragraph" w:customStyle="1" w:styleId="TFfootnote">
    <w:name w:val="T&amp;F footnote"/>
    <w:basedOn w:val="Tabletext"/>
    <w:next w:val="BodyText"/>
    <w:uiPriority w:val="4"/>
    <w:rsid w:val="004137CE"/>
    <w:pPr>
      <w:tabs>
        <w:tab w:val="left" w:pos="416"/>
        <w:tab w:val="left" w:pos="582"/>
      </w:tabs>
      <w:spacing w:before="0" w:after="0"/>
    </w:pPr>
    <w:rPr>
      <w:rFonts w:ascii="Calibri" w:hAnsi="Calibri"/>
      <w:bCs/>
      <w:sz w:val="16"/>
      <w:szCs w:val="22"/>
      <w:lang w:val="en-GB" w:eastAsia="en-GB"/>
    </w:rPr>
  </w:style>
  <w:style w:type="table" w:customStyle="1" w:styleId="TableGridLight1">
    <w:name w:val="Table Grid Light1"/>
    <w:basedOn w:val="TableNormal"/>
    <w:uiPriority w:val="40"/>
    <w:rsid w:val="004137CE"/>
    <w:pPr>
      <w:spacing w:after="0"/>
    </w:pPr>
    <w:rPr>
      <w:rFonts w:eastAsia="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137CE"/>
    <w:pPr>
      <w:spacing w:after="0"/>
    </w:pPr>
    <w:rPr>
      <w:rFonts w:eastAsia="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Classic1"/>
    <w:uiPriority w:val="46"/>
    <w:rsid w:val="004137CE"/>
    <w:rPr>
      <w:rFonts w:ascii="Arial Narrow" w:hAnsi="Arial Narro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b/>
        <w:bCs/>
        <w:i/>
        <w:iCs/>
      </w:rPr>
      <w:tblPr/>
      <w:tcPr>
        <w:tcBorders>
          <w:bottom w:val="single" w:sz="12" w:space="0" w:color="666666"/>
          <w:tl2br w:val="none" w:sz="0" w:space="0" w:color="auto"/>
          <w:tr2bl w:val="none" w:sz="0" w:space="0" w:color="auto"/>
        </w:tcBorders>
      </w:tcPr>
    </w:tblStylePr>
    <w:tblStylePr w:type="lastRow">
      <w:rPr>
        <w:b/>
        <w:bCs/>
        <w:color w:val="auto"/>
      </w:rPr>
      <w:tblPr/>
      <w:tcPr>
        <w:tcBorders>
          <w:top w:val="double" w:sz="2" w:space="0" w:color="66666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31">
    <w:name w:val="Plain Table 31"/>
    <w:basedOn w:val="TableNormal"/>
    <w:uiPriority w:val="43"/>
    <w:rsid w:val="004137CE"/>
    <w:pPr>
      <w:spacing w:after="0"/>
    </w:pPr>
    <w:rPr>
      <w:rFonts w:eastAsia="Times New Roman" w:cs="Times New Roman"/>
      <w:sz w:val="20"/>
      <w:szCs w:val="20"/>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137CE"/>
    <w:pPr>
      <w:spacing w:after="0"/>
    </w:pPr>
    <w:rPr>
      <w:rFonts w:eastAsia="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137CE"/>
    <w:pPr>
      <w:spacing w:after="0"/>
    </w:pPr>
    <w:rPr>
      <w:rFonts w:eastAsia="Times New Roman" w:cs="Times New Roman"/>
      <w:sz w:val="20"/>
      <w:szCs w:val="20"/>
      <w:lang w:eastAsia="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6Colorful1">
    <w:name w:val="List Table 6 Colorful1"/>
    <w:basedOn w:val="TableNormal"/>
    <w:uiPriority w:val="51"/>
    <w:rsid w:val="004137CE"/>
    <w:pPr>
      <w:spacing w:after="0"/>
    </w:pPr>
    <w:rPr>
      <w:rFonts w:eastAsia="Times New Roman" w:cs="Times New Roman"/>
      <w:color w:val="000000"/>
      <w:sz w:val="20"/>
      <w:szCs w:val="20"/>
      <w:lang w:eastAsia="en-A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1">
    <w:name w:val="List Table 1 Light1"/>
    <w:basedOn w:val="TableNormal"/>
    <w:uiPriority w:val="46"/>
    <w:rsid w:val="004137CE"/>
    <w:pPr>
      <w:spacing w:after="0"/>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uiPriority w:val="52"/>
    <w:rsid w:val="004137CE"/>
    <w:pPr>
      <w:spacing w:after="0"/>
    </w:pPr>
    <w:rPr>
      <w:rFonts w:eastAsia="Times New Roman" w:cs="Times New Roman"/>
      <w:color w:val="000000"/>
      <w:sz w:val="20"/>
      <w:szCs w:val="20"/>
      <w:lang w:eastAsia="en-AU"/>
    </w:rPr>
    <w:tblPr>
      <w:tblStyleRowBandSize w:val="1"/>
      <w:tblStyleColBandSize w:val="1"/>
    </w:tblPr>
    <w:tblStylePr w:type="firstRow">
      <w:rPr>
        <w:rFonts w:ascii="Helvetica" w:eastAsia="Angsana New" w:hAnsi="Helvetica" w:cs="Times New Roman"/>
        <w:i/>
        <w:iCs/>
        <w:sz w:val="26"/>
      </w:rPr>
      <w:tblPr/>
      <w:tcPr>
        <w:tcBorders>
          <w:bottom w:val="single" w:sz="4" w:space="0" w:color="000000"/>
        </w:tcBorders>
        <w:shd w:val="clear" w:color="auto" w:fill="FFFFFF"/>
      </w:tcPr>
    </w:tblStylePr>
    <w:tblStylePr w:type="lastRow">
      <w:rPr>
        <w:rFonts w:ascii="Helvetica" w:eastAsia="Angsana New" w:hAnsi="Helvetica" w:cs="Times New Roman"/>
        <w:i/>
        <w:iCs/>
        <w:sz w:val="26"/>
      </w:rPr>
      <w:tblPr/>
      <w:tcPr>
        <w:tcBorders>
          <w:top w:val="single" w:sz="4" w:space="0" w:color="000000"/>
        </w:tcBorders>
        <w:shd w:val="clear" w:color="auto" w:fill="FFFFFF"/>
      </w:tcPr>
    </w:tblStylePr>
    <w:tblStylePr w:type="firstCol">
      <w:pPr>
        <w:jc w:val="right"/>
      </w:pPr>
      <w:rPr>
        <w:rFonts w:ascii="Helvetica" w:eastAsia="Angsana New" w:hAnsi="Helvetica" w:cs="Times New Roman"/>
        <w:i/>
        <w:iCs/>
        <w:sz w:val="26"/>
      </w:rPr>
      <w:tblPr/>
      <w:tcPr>
        <w:tcBorders>
          <w:right w:val="single" w:sz="4" w:space="0" w:color="000000"/>
        </w:tcBorders>
        <w:shd w:val="clear" w:color="auto" w:fill="FFFFFF"/>
      </w:tcPr>
    </w:tblStylePr>
    <w:tblStylePr w:type="lastCol">
      <w:rPr>
        <w:rFonts w:ascii="Helvetica" w:eastAsia="Angsana New" w:hAnsi="Helvetic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1">
    <w:name w:val="List Table 21"/>
    <w:basedOn w:val="TableNormal"/>
    <w:uiPriority w:val="47"/>
    <w:rsid w:val="004137CE"/>
    <w:pPr>
      <w:spacing w:after="0"/>
    </w:pPr>
    <w:rPr>
      <w:rFonts w:eastAsia="Times New Roman" w:cs="Times New Roman"/>
      <w:sz w:val="20"/>
      <w:szCs w:val="20"/>
      <w:lang w:eastAsia="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
    <w:name w:val="List Table 31"/>
    <w:basedOn w:val="TableNormal"/>
    <w:uiPriority w:val="48"/>
    <w:rsid w:val="004137CE"/>
    <w:pPr>
      <w:spacing w:after="0"/>
    </w:pPr>
    <w:rPr>
      <w:rFonts w:eastAsia="Times New Roman" w:cs="Times New Roman"/>
      <w:sz w:val="20"/>
      <w:szCs w:val="20"/>
      <w:lang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1">
    <w:name w:val="List Table 41"/>
    <w:basedOn w:val="TableNormal"/>
    <w:uiPriority w:val="49"/>
    <w:rsid w:val="004137CE"/>
    <w:pPr>
      <w:spacing w:after="0"/>
    </w:pPr>
    <w:rPr>
      <w:rFonts w:eastAsia="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
    <w:name w:val="Grid Table 6 Colorful1"/>
    <w:basedOn w:val="TableNormal"/>
    <w:uiPriority w:val="51"/>
    <w:rsid w:val="004137CE"/>
    <w:pPr>
      <w:spacing w:after="0"/>
    </w:pPr>
    <w:rPr>
      <w:rFonts w:eastAsia="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Paragraph">
    <w:name w:val="Table Paragraph"/>
    <w:basedOn w:val="Normal"/>
    <w:uiPriority w:val="1"/>
    <w:qFormat/>
    <w:rsid w:val="004137CE"/>
    <w:pPr>
      <w:widowControl w:val="0"/>
    </w:pPr>
    <w:rPr>
      <w:rFonts w:ascii="Calibri" w:eastAsia="Calibri" w:hAnsi="Calibri"/>
      <w:sz w:val="22"/>
      <w:szCs w:val="22"/>
      <w:lang w:val="en-US" w:eastAsia="en-US"/>
    </w:rPr>
  </w:style>
  <w:style w:type="table" w:customStyle="1" w:styleId="Summarybox1">
    <w:name w:val="Summary box1"/>
    <w:basedOn w:val="TableNormal"/>
    <w:next w:val="TableGrid"/>
    <w:rsid w:val="004137CE"/>
    <w:pPr>
      <w:spacing w:after="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ColorfulList-Accent11"/>
    <w:uiPriority w:val="34"/>
    <w:rsid w:val="004137CE"/>
    <w:rPr>
      <w:rFonts w:ascii="Calibri" w:eastAsia="Times New Roman" w:hAnsi="Calibri" w:cs="Tahoma"/>
      <w:sz w:val="22"/>
      <w:lang w:eastAsia="en-AU"/>
    </w:rPr>
  </w:style>
  <w:style w:type="character" w:customStyle="1" w:styleId="TablefootnoteChar">
    <w:name w:val="Table footnote Char"/>
    <w:link w:val="Tablefootnote"/>
    <w:locked/>
    <w:rsid w:val="004137CE"/>
    <w:rPr>
      <w:rFonts w:ascii="Arial Narrow" w:hAnsi="Arial Narrow" w:cs="Arial Narrow"/>
      <w:noProof/>
      <w:sz w:val="16"/>
      <w:szCs w:val="16"/>
      <w:lang w:val="en-GB"/>
    </w:rPr>
  </w:style>
  <w:style w:type="paragraph" w:customStyle="1" w:styleId="Tablefootnote">
    <w:name w:val="Table footnote"/>
    <w:basedOn w:val="Normal"/>
    <w:link w:val="TablefootnoteChar"/>
    <w:qFormat/>
    <w:rsid w:val="004137CE"/>
    <w:pPr>
      <w:keepNext/>
      <w:keepLines/>
      <w:spacing w:after="360"/>
      <w:contextualSpacing/>
    </w:pPr>
    <w:rPr>
      <w:rFonts w:ascii="Arial Narrow" w:eastAsiaTheme="minorHAnsi" w:hAnsi="Arial Narrow" w:cs="Arial Narrow"/>
      <w:noProof/>
      <w:sz w:val="16"/>
      <w:szCs w:val="16"/>
      <w:lang w:val="en-GB" w:eastAsia="en-US"/>
    </w:rPr>
  </w:style>
  <w:style w:type="paragraph" w:customStyle="1" w:styleId="Synopsis">
    <w:name w:val="Synopsis"/>
    <w:basedOn w:val="Normal"/>
    <w:rsid w:val="004137CE"/>
    <w:pPr>
      <w:spacing w:before="120"/>
    </w:pPr>
    <w:rPr>
      <w:rFonts w:ascii="Arial" w:hAnsi="Arial"/>
      <w:sz w:val="20"/>
      <w:lang w:val="en-US" w:eastAsia="en-US"/>
    </w:rPr>
  </w:style>
  <w:style w:type="paragraph" w:customStyle="1" w:styleId="MediumGrid21">
    <w:name w:val="Medium Grid 21"/>
    <w:uiPriority w:val="1"/>
    <w:qFormat/>
    <w:rsid w:val="004137CE"/>
    <w:pPr>
      <w:spacing w:after="0"/>
    </w:pPr>
    <w:rPr>
      <w:rFonts w:ascii="Calibri" w:eastAsia="Calibri" w:hAnsi="Calibri" w:cs="Times New Roman"/>
      <w:sz w:val="22"/>
      <w:lang w:val="en-US"/>
    </w:rPr>
  </w:style>
  <w:style w:type="table" w:customStyle="1" w:styleId="PlainTable12">
    <w:name w:val="Plain Table 12"/>
    <w:basedOn w:val="TableNormal"/>
    <w:uiPriority w:val="41"/>
    <w:rsid w:val="004137CE"/>
    <w:pPr>
      <w:spacing w:after="0"/>
    </w:pPr>
    <w:rPr>
      <w:rFonts w:eastAsia="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1">
    <w:name w:val="Table heading"/>
    <w:basedOn w:val="Normal"/>
    <w:link w:val="TableheadingChar0"/>
    <w:qFormat/>
    <w:rsid w:val="004137CE"/>
    <w:pPr>
      <w:ind w:left="57" w:right="57"/>
    </w:pPr>
    <w:rPr>
      <w:rFonts w:ascii="Arial Narrow" w:eastAsia="Calibri" w:hAnsi="Arial Narrow"/>
      <w:b/>
      <w:sz w:val="20"/>
      <w:lang w:eastAsia="en-US"/>
    </w:rPr>
  </w:style>
  <w:style w:type="character" w:customStyle="1" w:styleId="TableheadingChar0">
    <w:name w:val="Table heading Char"/>
    <w:link w:val="Tableheading1"/>
    <w:rsid w:val="004137CE"/>
    <w:rPr>
      <w:rFonts w:ascii="Arial Narrow" w:eastAsia="Calibri" w:hAnsi="Arial Narrow" w:cs="Times New Roman"/>
      <w:b/>
      <w:sz w:val="20"/>
      <w:szCs w:val="20"/>
    </w:rPr>
  </w:style>
  <w:style w:type="character" w:customStyle="1" w:styleId="UnresolvedMention2">
    <w:name w:val="Unresolved Mention2"/>
    <w:uiPriority w:val="99"/>
    <w:semiHidden/>
    <w:unhideWhenUsed/>
    <w:rsid w:val="004137CE"/>
    <w:rPr>
      <w:color w:val="605E5C"/>
      <w:shd w:val="clear" w:color="auto" w:fill="E1DFDD"/>
    </w:rPr>
  </w:style>
  <w:style w:type="character" w:customStyle="1" w:styleId="cell-value">
    <w:name w:val="cell-value"/>
    <w:basedOn w:val="DefaultParagraphFont"/>
    <w:rsid w:val="004137CE"/>
  </w:style>
  <w:style w:type="paragraph" w:styleId="Revision">
    <w:name w:val="Revision"/>
    <w:hidden/>
    <w:uiPriority w:val="71"/>
    <w:rsid w:val="004137CE"/>
    <w:pPr>
      <w:spacing w:after="0"/>
    </w:pPr>
    <w:rPr>
      <w:rFonts w:ascii="Calibri" w:eastAsia="Times New Roman" w:hAnsi="Calibri" w:cs="Tahoma"/>
      <w:sz w:val="22"/>
      <w:lang w:eastAsia="en-AU"/>
    </w:rPr>
  </w:style>
  <w:style w:type="character" w:customStyle="1" w:styleId="UnresolvedMention3">
    <w:name w:val="Unresolved Mention3"/>
    <w:basedOn w:val="DefaultParagraphFont"/>
    <w:uiPriority w:val="99"/>
    <w:semiHidden/>
    <w:unhideWhenUsed/>
    <w:rsid w:val="004137CE"/>
    <w:rPr>
      <w:color w:val="605E5C"/>
      <w:shd w:val="clear" w:color="auto" w:fill="E1DFDD"/>
    </w:rPr>
  </w:style>
  <w:style w:type="character" w:customStyle="1" w:styleId="UnresolvedMention4">
    <w:name w:val="Unresolved Mention4"/>
    <w:basedOn w:val="DefaultParagraphFont"/>
    <w:uiPriority w:val="99"/>
    <w:semiHidden/>
    <w:unhideWhenUsed/>
    <w:rsid w:val="004137CE"/>
    <w:rPr>
      <w:color w:val="605E5C"/>
      <w:shd w:val="clear" w:color="auto" w:fill="E1DFDD"/>
    </w:rPr>
  </w:style>
  <w:style w:type="paragraph" w:customStyle="1" w:styleId="TableStyle2">
    <w:name w:val="Table Style2"/>
    <w:basedOn w:val="Normal"/>
    <w:qFormat/>
    <w:rsid w:val="004137CE"/>
    <w:rPr>
      <w:rFonts w:ascii="Calibri" w:eastAsia="Calibri" w:hAnsi="Calibri"/>
      <w:sz w:val="20"/>
      <w:szCs w:val="22"/>
      <w:lang w:eastAsia="en-US"/>
    </w:rPr>
  </w:style>
  <w:style w:type="table" w:customStyle="1" w:styleId="TableGrid111">
    <w:name w:val="Table Grid111"/>
    <w:basedOn w:val="TableNormal"/>
    <w:rsid w:val="004137CE"/>
    <w:pPr>
      <w:spacing w:before="40" w:after="40"/>
    </w:pPr>
    <w:rPr>
      <w:rFonts w:ascii="Arial Narrow" w:eastAsia="Times New Roman" w:hAnsi="Arial Narrow"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hint="default"/>
        <w:b w:val="0"/>
        <w:sz w:val="20"/>
        <w:szCs w:val="20"/>
      </w:rPr>
    </w:tblStylePr>
  </w:style>
  <w:style w:type="table" w:customStyle="1" w:styleId="TableGrid211">
    <w:name w:val="Table Grid211"/>
    <w:basedOn w:val="TableNormal"/>
    <w:rsid w:val="004137CE"/>
    <w:pPr>
      <w:spacing w:before="40" w:after="40"/>
    </w:pPr>
    <w:rPr>
      <w:rFonts w:ascii="Arial Narrow" w:eastAsia="Times New Roman" w:hAnsi="Arial Narrow"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hint="default"/>
        <w:b w:val="0"/>
        <w:sz w:val="20"/>
        <w:szCs w:val="20"/>
      </w:rPr>
    </w:tblStylePr>
  </w:style>
  <w:style w:type="table" w:customStyle="1" w:styleId="TableGridbeth4">
    <w:name w:val="Table Gridbeth4"/>
    <w:basedOn w:val="TableNormal"/>
    <w:next w:val="TableGrid"/>
    <w:uiPriority w:val="39"/>
    <w:rsid w:val="00A909C6"/>
    <w:pPr>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39"/>
    <w:rsid w:val="00AA414D"/>
    <w:pPr>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39"/>
    <w:rsid w:val="00DA73AC"/>
    <w:pPr>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C74F3"/>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b w:val="0"/>
        <w:sz w:val="20"/>
      </w:rPr>
    </w:tblStylePr>
  </w:style>
  <w:style w:type="table" w:customStyle="1" w:styleId="TableGrid14">
    <w:name w:val="Table Grid14"/>
    <w:basedOn w:val="TableNormal"/>
    <w:next w:val="TableGrid"/>
    <w:rsid w:val="00FC74F3"/>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b w:val="0"/>
        <w:sz w:val="20"/>
      </w:rPr>
    </w:tblStylePr>
  </w:style>
  <w:style w:type="table" w:customStyle="1" w:styleId="TableGrid15">
    <w:name w:val="Table Grid15"/>
    <w:basedOn w:val="TableNormal"/>
    <w:next w:val="TableGrid"/>
    <w:rsid w:val="00FC74F3"/>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b w:val="0"/>
        <w:sz w:val="20"/>
      </w:rPr>
    </w:tblStylePr>
  </w:style>
  <w:style w:type="table" w:customStyle="1" w:styleId="TableGrid16">
    <w:name w:val="Table Grid16"/>
    <w:basedOn w:val="TableNormal"/>
    <w:next w:val="TableGrid"/>
    <w:rsid w:val="00FE58B0"/>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b w:val="0"/>
        <w:sz w:val="20"/>
      </w:rPr>
    </w:tblStylePr>
  </w:style>
  <w:style w:type="table" w:customStyle="1" w:styleId="TableGrid112">
    <w:name w:val="Table Grid112"/>
    <w:basedOn w:val="TableNormal"/>
    <w:rsid w:val="00B972B2"/>
    <w:pPr>
      <w:spacing w:before="40" w:after="40"/>
    </w:pPr>
    <w:rPr>
      <w:rFonts w:ascii="Arial Narrow" w:eastAsia="Times New Roman" w:hAnsi="Arial Narrow"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hint="default"/>
        <w:b w:val="0"/>
        <w:sz w:val="20"/>
        <w:szCs w:val="20"/>
      </w:rPr>
    </w:tblStylePr>
  </w:style>
  <w:style w:type="table" w:customStyle="1" w:styleId="TableGrid113">
    <w:name w:val="Table Grid113"/>
    <w:basedOn w:val="TableNormal"/>
    <w:rsid w:val="00B972B2"/>
    <w:pPr>
      <w:spacing w:before="40" w:after="40"/>
    </w:pPr>
    <w:rPr>
      <w:rFonts w:ascii="Arial Narrow" w:eastAsia="Times New Roman" w:hAnsi="Arial Narrow"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hint="default"/>
        <w:b w:val="0"/>
        <w:sz w:val="20"/>
        <w:szCs w:val="20"/>
      </w:rPr>
    </w:tblStylePr>
  </w:style>
  <w:style w:type="table" w:customStyle="1" w:styleId="TableGrid114">
    <w:name w:val="Table Grid114"/>
    <w:basedOn w:val="TableNormal"/>
    <w:rsid w:val="00DE16C3"/>
    <w:pPr>
      <w:spacing w:before="40" w:after="40"/>
    </w:pPr>
    <w:rPr>
      <w:rFonts w:ascii="Arial Narrow" w:eastAsia="Times New Roman" w:hAnsi="Arial Narrow"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hint="default"/>
        <w:b w:val="0"/>
        <w:sz w:val="20"/>
        <w:szCs w:val="20"/>
      </w:rPr>
    </w:tblStylePr>
  </w:style>
  <w:style w:type="table" w:customStyle="1" w:styleId="TableGrid17">
    <w:name w:val="Table Grid17"/>
    <w:basedOn w:val="TableNormal"/>
    <w:next w:val="TableGrid"/>
    <w:rsid w:val="00486D86"/>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b w:val="0"/>
        <w:sz w:val="20"/>
      </w:rPr>
    </w:tblStylePr>
  </w:style>
  <w:style w:type="table" w:customStyle="1" w:styleId="TableGrid18">
    <w:name w:val="Table Grid18"/>
    <w:basedOn w:val="TableNormal"/>
    <w:next w:val="TableGrid"/>
    <w:rsid w:val="00461523"/>
    <w:pPr>
      <w:spacing w:before="40" w:after="40"/>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 w:hAnsi="Helv"/>
        <w:b w:val="0"/>
        <w:sz w:val="20"/>
      </w:rPr>
    </w:tblStylePr>
  </w:style>
  <w:style w:type="paragraph" w:styleId="Subtitle">
    <w:name w:val="Subtitle"/>
    <w:basedOn w:val="Normal"/>
    <w:next w:val="Normal"/>
    <w:link w:val="SubtitleChar"/>
    <w:qFormat/>
    <w:rsid w:val="00A36DE2"/>
    <w:pPr>
      <w:jc w:val="center"/>
    </w:pPr>
    <w:rPr>
      <w:rFonts w:ascii="Arial" w:hAnsi="Arial" w:cs="Arial"/>
      <w:b/>
      <w:bCs/>
      <w:i/>
      <w:color w:val="000080"/>
      <w:sz w:val="28"/>
      <w:szCs w:val="28"/>
    </w:rPr>
  </w:style>
  <w:style w:type="character" w:customStyle="1" w:styleId="SubtitleChar">
    <w:name w:val="Subtitle Char"/>
    <w:basedOn w:val="DefaultParagraphFont"/>
    <w:link w:val="Subtitle"/>
    <w:rsid w:val="00A36DE2"/>
    <w:rPr>
      <w:rFonts w:ascii="Arial" w:eastAsia="Times New Roman" w:hAnsi="Arial" w:cs="Arial"/>
      <w:b/>
      <w:bCs/>
      <w:i/>
      <w:color w:val="000080"/>
      <w:sz w:val="28"/>
      <w:szCs w:val="28"/>
      <w:lang w:eastAsia="en-AU"/>
    </w:rPr>
  </w:style>
  <w:style w:type="character" w:customStyle="1" w:styleId="UnresolvedMention5">
    <w:name w:val="Unresolved Mention5"/>
    <w:basedOn w:val="DefaultParagraphFont"/>
    <w:uiPriority w:val="99"/>
    <w:semiHidden/>
    <w:unhideWhenUsed/>
    <w:rsid w:val="00FD6801"/>
    <w:rPr>
      <w:color w:val="605E5C"/>
      <w:shd w:val="clear" w:color="auto" w:fill="E1DFDD"/>
    </w:rPr>
  </w:style>
  <w:style w:type="character" w:customStyle="1" w:styleId="UnresolvedMention6">
    <w:name w:val="Unresolved Mention6"/>
    <w:basedOn w:val="DefaultParagraphFont"/>
    <w:uiPriority w:val="99"/>
    <w:semiHidden/>
    <w:unhideWhenUsed/>
    <w:rsid w:val="00F0084A"/>
    <w:rPr>
      <w:color w:val="605E5C"/>
      <w:shd w:val="clear" w:color="auto" w:fill="E1DFDD"/>
    </w:rPr>
  </w:style>
  <w:style w:type="character" w:customStyle="1" w:styleId="UnresolvedMention7">
    <w:name w:val="Unresolved Mention7"/>
    <w:basedOn w:val="DefaultParagraphFont"/>
    <w:uiPriority w:val="99"/>
    <w:semiHidden/>
    <w:unhideWhenUsed/>
    <w:rsid w:val="00B40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87934">
      <w:bodyDiv w:val="1"/>
      <w:marLeft w:val="0"/>
      <w:marRight w:val="0"/>
      <w:marTop w:val="0"/>
      <w:marBottom w:val="0"/>
      <w:divBdr>
        <w:top w:val="none" w:sz="0" w:space="0" w:color="auto"/>
        <w:left w:val="none" w:sz="0" w:space="0" w:color="auto"/>
        <w:bottom w:val="none" w:sz="0" w:space="0" w:color="auto"/>
        <w:right w:val="none" w:sz="0" w:space="0" w:color="auto"/>
      </w:divBdr>
      <w:divsChild>
        <w:div w:id="338117123">
          <w:marLeft w:val="0"/>
          <w:marRight w:val="0"/>
          <w:marTop w:val="75"/>
          <w:marBottom w:val="0"/>
          <w:divBdr>
            <w:top w:val="none" w:sz="0" w:space="0" w:color="auto"/>
            <w:left w:val="none" w:sz="0" w:space="0" w:color="auto"/>
            <w:bottom w:val="none" w:sz="0" w:space="0" w:color="auto"/>
            <w:right w:val="none" w:sz="0" w:space="0" w:color="auto"/>
          </w:divBdr>
        </w:div>
      </w:divsChild>
    </w:div>
    <w:div w:id="775247493">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616595656">
      <w:bodyDiv w:val="1"/>
      <w:marLeft w:val="0"/>
      <w:marRight w:val="0"/>
      <w:marTop w:val="0"/>
      <w:marBottom w:val="0"/>
      <w:divBdr>
        <w:top w:val="none" w:sz="0" w:space="0" w:color="auto"/>
        <w:left w:val="none" w:sz="0" w:space="0" w:color="auto"/>
        <w:bottom w:val="none" w:sz="0" w:space="0" w:color="auto"/>
        <w:right w:val="none" w:sz="0" w:space="0" w:color="auto"/>
      </w:divBdr>
    </w:div>
    <w:div w:id="1976448481">
      <w:bodyDiv w:val="1"/>
      <w:marLeft w:val="0"/>
      <w:marRight w:val="0"/>
      <w:marTop w:val="0"/>
      <w:marBottom w:val="0"/>
      <w:divBdr>
        <w:top w:val="none" w:sz="0" w:space="0" w:color="auto"/>
        <w:left w:val="none" w:sz="0" w:space="0" w:color="auto"/>
        <w:bottom w:val="none" w:sz="0" w:space="0" w:color="auto"/>
        <w:right w:val="none" w:sz="0" w:space="0" w:color="auto"/>
      </w:divBdr>
    </w:div>
    <w:div w:id="2033220300">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sac.gov.au/internet/msac/publishing.nsf/Content/1566-public" TargetMode="External"/><Relationship Id="rId18" Type="http://schemas.openxmlformats.org/officeDocument/2006/relationships/hyperlink" Target="https://www.criteria.blood.gov.au/MedicalCondition/View/262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msac.gov.au/internet/msac/publishing.nsf/Content/1565-public" TargetMode="External"/><Relationship Id="rId17" Type="http://schemas.openxmlformats.org/officeDocument/2006/relationships/hyperlink" Target="http://www.msac.gov.au/internet/msac/publishing.nsf/Content/1564-publi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internet/msac/publishing.nsf/Content/1592-public" TargetMode="Externa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iteria.blood.gov.au/" TargetMode="External"/><Relationship Id="rId24"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hyperlink" Target="http://www.msac.gov.au/internet/msac/publishing.nsf/Content/1591-public" TargetMode="External"/><Relationship Id="rId23" Type="http://schemas.openxmlformats.org/officeDocument/2006/relationships/image" Target="media/image4.emf"/><Relationship Id="rId10" Type="http://schemas.openxmlformats.org/officeDocument/2006/relationships/hyperlink" Target="https://www.blood.gov.au/bloodstar"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590-public" TargetMode="External"/><Relationship Id="rId22" Type="http://schemas.openxmlformats.org/officeDocument/2006/relationships/package" Target="embeddings/Microsoft_Visio_Drawing12.vsdx"/><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ood.gov.au/igcriteria-version3" TargetMode="External"/><Relationship Id="rId2" Type="http://schemas.openxmlformats.org/officeDocument/2006/relationships/hyperlink" Target="https://www.blood.gov.au/igcriteria-version3" TargetMode="External"/><Relationship Id="rId1" Type="http://schemas.openxmlformats.org/officeDocument/2006/relationships/hyperlink" Target="https://www.pmc.gov.au/public-data/data-integration-partnership-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1A35-0110-426F-AD6B-AAB857A6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12408</Words>
  <Characters>70730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2021-10-18T00:12:00Z</dcterms:created>
  <dcterms:modified xsi:type="dcterms:W3CDTF">2021-10-26T00:49:00Z</dcterms:modified>
</cp:coreProperties>
</file>